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-127635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4"/>
          <w:szCs w:val="24"/>
          <w:color w:val="auto"/>
        </w:rPr>
      </w:pPr>
    </w:p>
    <w:p>
      <w:pPr>
        <w:ind w:left="580" w:right="3960" w:hanging="572"/>
        <w:spacing w:after="0" w:line="493" w:lineRule="auto"/>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July 29,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-7620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63103</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rPr>
              <w:t>BBW</w:t>
            </w:r>
          </w:p>
        </w:tc>
        <w:tc>
          <w:tcPr>
            <w:tcW w:w="434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Arial" w:cs="Arial" w:eastAsia="Arial" w:hAnsi="Arial"/>
                <w:sz w:val="18"/>
                <w:szCs w:val="18"/>
                <w:color w:val="auto"/>
                <w:w w:val="79"/>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ind w:right="6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44" w:lineRule="exact"/>
        <w:rPr>
          <w:sz w:val="20"/>
          <w:szCs w:val="20"/>
          <w:color w:val="auto"/>
        </w:rPr>
      </w:pPr>
    </w:p>
    <w:p>
      <w:pPr>
        <w:sectPr>
          <w:pgSz w:w="11900" w:h="16838" w:orient="portrait"/>
          <w:cols w:equalWidth="0" w:num="3">
            <w:col w:w="1620" w:space="100"/>
            <w:col w:w="5200" w:space="720"/>
            <w:col w:w="3600"/>
          </w:cols>
          <w:pgMar w:left="320" w:top="125" w:right="339" w:bottom="1440" w:gutter="0" w:footer="0" w:header="0"/>
          <w:type w:val="continuous"/>
        </w:sectPr>
      </w:pPr>
    </w:p>
    <w:p>
      <w:pPr>
        <w:spacing w:after="0" w:line="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5" w:right="339" w:bottom="1440" w:gutter="0" w:footer="0" w:header="0"/>
          <w:type w:val="continuous"/>
        </w:sectPr>
      </w:pPr>
    </w:p>
    <w:p>
      <w:pPr>
        <w:spacing w:after="0" w:line="32" w:lineRule="exact"/>
        <w:rPr>
          <w:sz w:val="20"/>
          <w:szCs w:val="20"/>
          <w:color w:val="auto"/>
        </w:rPr>
      </w:pPr>
    </w:p>
    <w:p>
      <w:pPr>
        <w:ind w:right="160" w:firstLine="648"/>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1"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4, 2023, there were 14,531,574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7"/>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Arial" w:cs="Arial" w:eastAsia="Arial" w:hAnsi="Arial"/>
                <w:sz w:val="18"/>
                <w:szCs w:val="18"/>
                <w:color w:val="auto"/>
                <w:w w:val="85"/>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Arial" w:cs="Arial" w:eastAsia="Arial" w:hAnsi="Arial"/>
                <w:sz w:val="18"/>
                <w:szCs w:val="18"/>
                <w:color w:val="0000EE"/>
                <w:w w:val="79"/>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Arial" w:cs="Arial" w:eastAsia="Arial" w:hAnsi="Arial"/>
                <w:sz w:val="18"/>
                <w:szCs w:val="18"/>
                <w:color w:val="0000EE"/>
                <w:w w:val="79"/>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Arial" w:cs="Arial" w:eastAsia="Arial" w:hAnsi="Arial"/>
                <w:sz w:val="18"/>
                <w:szCs w:val="18"/>
                <w:color w:val="0000EE"/>
                <w:w w:val="79"/>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Arial" w:cs="Arial" w:eastAsia="Arial" w:hAnsi="Arial"/>
                <w:sz w:val="18"/>
                <w:szCs w:val="18"/>
                <w:color w:val="0000EE"/>
                <w:w w:val="79"/>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Arial" w:cs="Arial" w:eastAsia="Arial" w:hAnsi="Arial"/>
                <w:sz w:val="18"/>
                <w:szCs w:val="18"/>
                <w:color w:val="0000EE"/>
                <w:w w:val="79"/>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color w:val="0000EE"/>
                <w:w w:val="94"/>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16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Arial" w:cs="Arial" w:eastAsia="Arial" w:hAnsi="Arial"/>
                <w:sz w:val="18"/>
                <w:szCs w:val="18"/>
                <w:color w:val="0000EE"/>
                <w:w w:val="8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Arial" w:cs="Arial" w:eastAsia="Arial" w:hAnsi="Arial"/>
                <w:sz w:val="18"/>
                <w:szCs w:val="18"/>
                <w:color w:val="0000EE"/>
                <w:w w:val="89"/>
              </w:rPr>
              <w:t>27</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Arial" w:cs="Arial" w:eastAsia="Arial" w:hAnsi="Arial"/>
                <w:sz w:val="18"/>
                <w:szCs w:val="18"/>
                <w:color w:val="auto"/>
                <w:w w:val="79"/>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July 29,</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January 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July 30,</w:t>
            </w:r>
          </w:p>
        </w:tc>
      </w:tr>
      <w:tr>
        <w:trPr>
          <w:trHeight w:val="234"/>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66,329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70,485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87,722</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13,120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15,337</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130,406</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70,915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76,560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50,435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50,759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46,689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258,413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280,794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263,435</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29,086</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37,358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22,873</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25,244</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18,305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19,425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17,969</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93,888</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101,151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99,588</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55,368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59,080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68,291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or outstanding at July 29, 2023, January 28, 2023 and July 30, 2022</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14,526,600, 14,802,338, and 15,032,708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66,773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69,868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69,409</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(12,385)</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52,965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61,375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36,690</w:t>
            </w: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107,866</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258,413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280,794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263,435</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2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AND COMPREHENSIVE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320" w:type="dxa"/>
            <w:vAlign w:val="bottom"/>
            <w:gridSpan w:val="6"/>
          </w:tcPr>
          <w:p>
            <w:pPr>
              <w:jc w:val="center"/>
              <w:ind w:left="2290"/>
              <w:spacing w:after="0"/>
              <w:rPr>
                <w:sz w:val="20"/>
                <w:szCs w:val="20"/>
                <w:color w:val="auto"/>
              </w:rPr>
            </w:pPr>
            <w:r>
              <w:rPr>
                <w:rFonts w:ascii="Arial" w:cs="Arial" w:eastAsia="Arial" w:hAnsi="Arial"/>
                <w:sz w:val="18"/>
                <w:szCs w:val="18"/>
                <w:color w:val="auto"/>
                <w:w w:val="88"/>
              </w:rPr>
              <w:t>(Dollars in thousands, except share and per share 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4"/>
                <w:szCs w:val="24"/>
                <w:color w:val="auto"/>
              </w:rPr>
            </w:pPr>
          </w:p>
        </w:tc>
        <w:tc>
          <w:tcPr>
            <w:tcW w:w="2360" w:type="dxa"/>
            <w:vAlign w:val="bottom"/>
            <w:gridSpan w:val="5"/>
          </w:tcPr>
          <w:p>
            <w:pPr>
              <w:ind w:left="12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0"/>
              </w:rPr>
              <w:t>July 29,</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0"/>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July 29,</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July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103,465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95,882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215,561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208,772</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218,347</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retail</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47,710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48,387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98,614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101,987</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w w:val="94"/>
              </w:rPr>
              <w:t>Cost of merchandise sold - international franchising</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cost of merchandise sold</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106,607</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Arial" w:cs="Arial" w:eastAsia="Arial" w:hAnsi="Arial"/>
                <w:sz w:val="18"/>
                <w:szCs w:val="18"/>
                <w:color w:val="auto"/>
              </w:rPr>
              <w:t>Consolidated gross profit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58,636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49,912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123,539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111,740</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85,884</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Interest (income) expense, net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2,141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5,814</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w:t>
            </w:r>
          </w:p>
        </w:tc>
      </w:tr>
      <w:tr>
        <w:trPr>
          <w:trHeight w:val="197"/>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Arial" w:cs="Arial" w:eastAsia="Arial" w:hAnsi="Arial"/>
                <w:sz w:val="18"/>
                <w:szCs w:val="18"/>
                <w:color w:val="auto"/>
              </w:rPr>
              <w:t>Comprehensive income</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8,498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23,203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20,105</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0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0.57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1"/>
              </w:rPr>
              <w:t>Shares used in computing common per share amounts: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14,419,365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15,274,770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14,438,611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15,375,250</w:t>
            </w: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14,500,971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15,536,308</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14,630,089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15,749,058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0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1"/>
              </w:rPr>
              <w:t>(Unaudited)</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Arial" w:cs="Arial" w:eastAsia="Arial" w:hAnsi="Arial"/>
                <w:sz w:val="18"/>
                <w:szCs w:val="18"/>
                <w:color w:val="auto"/>
                <w:w w:val="91"/>
              </w:rPr>
              <w:t>(Dollars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8"/>
              </w:rPr>
              <w:t>Twenty-six weeks ended</w:t>
            </w:r>
          </w:p>
        </w:tc>
      </w:tr>
      <w:tr>
        <w:trPr>
          <w:trHeight w:val="191"/>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w w:val="96"/>
              </w:rPr>
              <w:t>July 29,</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July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22,946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20,020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Share-based and performance-based stock compensation</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Provision/adjustments for doubtful accounts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Taxes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Change in assets and liabilities: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(16,929)</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(3,754)</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5,804</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Operating leases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(3,565)</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Gift cards and customer deposits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(2,926)</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(6,138)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used in financing activities:</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employee equity awards, net of tax</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Cash dividends paid on vested participating securities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(22,098)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Company’s common stock</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(35,269)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(21,540)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(9,556)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(18,408)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32,642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14,437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32,246</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Restricted cash from long-term deposits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32,642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paid during the period for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100" w:type="dxa"/>
            <w:vAlign w:val="bottom"/>
            <w:gridSpan w:val="2"/>
          </w:tcPr>
          <w:p>
            <w:pPr>
              <w:jc w:val="center"/>
              <w:ind w:left="149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28, 2023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28, 2023, which were included in the Company’s Annual Report on Form 10-K filed with the SEC on April 13, 2023.</w:t>
      </w:r>
    </w:p>
    <w:p>
      <w:pPr>
        <w:spacing w:after="0" w:line="172" w:lineRule="exact"/>
        <w:rPr>
          <w:sz w:val="20"/>
          <w:szCs w:val="20"/>
          <w:color w:val="auto"/>
        </w:rPr>
      </w:pPr>
    </w:p>
    <w:p>
      <w:pPr>
        <w:ind w:left="160" w:right="480" w:firstLine="486"/>
        <w:spacing w:after="0" w:line="308" w:lineRule="auto"/>
        <w:rPr>
          <w:sz w:val="20"/>
          <w:szCs w:val="20"/>
          <w:color w:val="auto"/>
        </w:rPr>
      </w:pPr>
      <w:r>
        <w:rPr>
          <w:rFonts w:ascii="Arial" w:cs="Arial" w:eastAsia="Arial" w:hAnsi="Arial"/>
          <w:sz w:val="17"/>
          <w:szCs w:val="17"/>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its Form 10-K for the year ended January 28, 2023. An update and supplement to these policies is needed for the Company's accounting for credit impairment as a result of a recently adopted accounting standard during the first quarter of fiscal 2023.</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left="160" w:right="20" w:firstLine="486"/>
        <w:spacing w:after="0" w:line="253" w:lineRule="auto"/>
        <w:rPr>
          <w:sz w:val="20"/>
          <w:szCs w:val="20"/>
          <w:color w:val="auto"/>
        </w:rPr>
      </w:pPr>
      <w:r>
        <w:rPr>
          <w:rFonts w:ascii="Arial" w:cs="Arial" w:eastAsia="Arial" w:hAnsi="Arial"/>
          <w:sz w:val="18"/>
          <w:szCs w:val="18"/>
          <w:color w:val="auto"/>
        </w:rPr>
        <w:t xml:space="preserve">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w:t>
      </w:r>
      <w:r>
        <w:rPr>
          <w:rFonts w:ascii="Arial" w:cs="Arial" w:eastAsia="Arial" w:hAnsi="Arial"/>
          <w:sz w:val="18"/>
          <w:szCs w:val="18"/>
          <w:i w:val="1"/>
          <w:iCs w:val="1"/>
          <w:color w:val="auto"/>
        </w:rPr>
        <w:t>2023,</w:t>
      </w:r>
      <w:r>
        <w:rPr>
          <w:rFonts w:ascii="Arial" w:cs="Arial" w:eastAsia="Arial" w:hAnsi="Arial"/>
          <w:sz w:val="18"/>
          <w:szCs w:val="18"/>
          <w:color w:val="auto"/>
        </w:rPr>
        <w:t xml:space="preserve"> the Company adopted ASU </w:t>
      </w:r>
      <w:r>
        <w:rPr>
          <w:rFonts w:ascii="Arial" w:cs="Arial" w:eastAsia="Arial" w:hAnsi="Arial"/>
          <w:sz w:val="18"/>
          <w:szCs w:val="18"/>
          <w:i w:val="1"/>
          <w:iCs w:val="1"/>
          <w:color w:val="auto"/>
        </w:rPr>
        <w:t>No. 2016</w:t>
      </w:r>
      <w:r>
        <w:rPr>
          <w:rFonts w:ascii="Arial" w:cs="Arial" w:eastAsia="Arial" w:hAnsi="Arial"/>
          <w:sz w:val="18"/>
          <w:szCs w:val="18"/>
          <w:color w:val="auto"/>
        </w:rPr>
        <w:t>-</w:t>
      </w:r>
      <w:r>
        <w:rPr>
          <w:rFonts w:ascii="Arial" w:cs="Arial" w:eastAsia="Arial" w:hAnsi="Arial"/>
          <w:sz w:val="18"/>
          <w:szCs w:val="18"/>
          <w:i w:val="1"/>
          <w:iCs w:val="1"/>
          <w:color w:val="auto"/>
        </w:rPr>
        <w:t>13,</w:t>
      </w:r>
      <w:r>
        <w:rPr>
          <w:rFonts w:ascii="Arial" w:cs="Arial" w:eastAsia="Arial" w:hAnsi="Arial"/>
          <w:sz w:val="18"/>
          <w:szCs w:val="18"/>
          <w:color w:val="auto"/>
        </w:rPr>
        <w:t xml:space="preserve"> “Financial Instruments - Credit Losses (Topic </w:t>
      </w:r>
      <w:r>
        <w:rPr>
          <w:rFonts w:ascii="Arial" w:cs="Arial" w:eastAsia="Arial" w:hAnsi="Arial"/>
          <w:sz w:val="18"/>
          <w:szCs w:val="18"/>
          <w:i w:val="1"/>
          <w:iCs w:val="1"/>
          <w:color w:val="auto"/>
        </w:rPr>
        <w:t>326</w:t>
      </w:r>
      <w:r>
        <w:rPr>
          <w:rFonts w:ascii="Arial" w:cs="Arial" w:eastAsia="Arial" w:hAnsi="Arial"/>
          <w:sz w:val="18"/>
          <w:szCs w:val="18"/>
          <w:color w:val="auto"/>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Upon adoption, the Company recognized a charge of $0.8 million to the opening balance of retained earnings which represents a reduction in its account receivable balance associated with expected credit losses.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95% of consolidated revenue for the second quarter of fiscal 2023. The majority of these sales transactions were single performance obligations that were recorded when control of merchandise was transferred to the customer.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The Company’s direct-to-consumer segment includes the operating activities of corporately-operated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Company’s gift cards, revenue, including any related gift card discounts, is deferred for single transactions until redemption . Historically,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Subsequent to stores reopening following shutdowns caused by the COVID-19 pandemic, the Company has experienced lower redemptions of its gift cards for all periods of outstanding activated cards compared to pre-pandemic redemption patterns (fiscal year 2019 and earlier), which impacts the gift card breakage rate. The Company utilizes historical redemption data to develop a model to analyze the amount of breakage expected for gift cards sold to consumers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6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6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twenty-six weeks ended July 29, 2023 are not material to the financial statements.</w:t>
      </w:r>
    </w:p>
    <w:p>
      <w:pPr>
        <w:sectPr>
          <w:pgSz w:w="11900" w:h="16838" w:orient="portrait"/>
          <w:cols w:equalWidth="0" w:num="1">
            <w:col w:w="11200"/>
          </w:cols>
          <w:pgMar w:left="320" w:top="125" w:right="379"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and twenty-six weeks ended July 29, 2023 and July 30, 2022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Twenty-six weeks ended</w:t>
            </w: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July 29, 2023</w:t>
            </w:r>
          </w:p>
        </w:tc>
        <w:tc>
          <w:tcPr>
            <w:tcW w:w="1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July 30, 2022</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July 29, 2023</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July 30, 2022</w:t>
            </w:r>
          </w:p>
        </w:tc>
      </w:tr>
      <w:tr>
        <w:trPr>
          <w:trHeight w:val="210"/>
        </w:trPr>
        <w:tc>
          <w:tcPr>
            <w:tcW w:w="3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16,969</w:t>
            </w:r>
          </w:p>
        </w:tc>
      </w:tr>
      <w:tr>
        <w:trPr>
          <w:trHeight w:val="216"/>
        </w:trPr>
        <w:tc>
          <w:tcPr>
            <w:tcW w:w="33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Variable lease costs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4,190</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11,253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10,693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22,376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21,186</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700" w:hanging="47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thirteen and twenty-six weeks ended July 29, 2023 and July 30, 2022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c>
          <w:tcPr>
            <w:tcW w:w="27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Twenty-six weeks ended</w:t>
            </w:r>
          </w:p>
        </w:tc>
      </w:tr>
      <w:tr>
        <w:trPr>
          <w:trHeight w:val="234"/>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July 29, 2023</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July 30, 2022</w:t>
            </w:r>
          </w:p>
        </w:tc>
        <w:tc>
          <w:tcPr>
            <w:tcW w:w="200" w:type="dxa"/>
            <w:vAlign w:val="bottom"/>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July 29, 2023</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July 30, 2022</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10,097</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19,781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18,275</w:t>
            </w:r>
          </w:p>
        </w:tc>
      </w:tr>
    </w:tbl>
    <w:p>
      <w:pPr>
        <w:spacing w:after="0" w:line="202" w:lineRule="exact"/>
        <w:rPr>
          <w:sz w:val="20"/>
          <w:szCs w:val="20"/>
          <w:color w:val="auto"/>
        </w:rPr>
      </w:pPr>
    </w:p>
    <w:p>
      <w:pPr>
        <w:jc w:val="both"/>
        <w:ind w:left="160" w:right="320" w:firstLine="486"/>
        <w:spacing w:after="0" w:line="263" w:lineRule="auto"/>
        <w:rPr>
          <w:sz w:val="20"/>
          <w:szCs w:val="20"/>
          <w:color w:val="auto"/>
        </w:rPr>
      </w:pPr>
      <w:r>
        <w:rPr>
          <w:rFonts w:ascii="Arial" w:cs="Arial" w:eastAsia="Arial" w:hAnsi="Arial"/>
          <w:sz w:val="18"/>
          <w:szCs w:val="18"/>
          <w:color w:val="auto"/>
        </w:rPr>
        <w:t>As of July 29, 2023 and July 30, 2022, the weighted-average remaining operating lease term was 3.9 years and 4.3 years, respectively, and the weighted-average discount rate was 6.4% and 5.7%, respectively, for operating leases recognized on the Company's condensed consolidated balance sheets.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thirteen and twenty-six weeks ended July 29, 2023 and the thirteen and twenty-six weeks ended July 30, 2022 the Company did not incur impairment charges against its right-of-use operating lease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25" w:lineRule="exact"/>
        <w:rPr>
          <w:sz w:val="20"/>
          <w:szCs w:val="20"/>
          <w:color w:val="auto"/>
        </w:rPr>
      </w:pPr>
    </w:p>
    <w:p>
      <w:pPr>
        <w:ind w:left="500" w:right="440" w:firstLine="16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29,723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11,791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10,495</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94,030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(11,468)</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82,562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(27,194)</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55,368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July 29, 2023, the Company had additional executed leases that had not yet commenced with operating lease liabilities of $2.3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leases are expected to commence in the third quarter of fiscal 2023 with lease terms of two to ten years.</w:t>
      </w:r>
    </w:p>
    <w:p>
      <w:pPr>
        <w:sectPr>
          <w:pgSz w:w="11900" w:h="16838" w:orient="portrait"/>
          <w:cols w:equalWidth="0" w:num="1">
            <w:col w:w="11180"/>
          </w:cols>
          <w:pgMar w:left="320" w:top="125" w:right="399" w:bottom="1440" w:gutter="0" w:footer="0" w:header="0"/>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28,</w:t>
            </w: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30,</w:t>
            </w:r>
          </w:p>
        </w:tc>
      </w:tr>
      <w:tr>
        <w:trPr>
          <w:trHeight w:val="234"/>
        </w:trPr>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merchandise (2)</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6,047</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1,188</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taxes (3)</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1,355</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(4)</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5,259</w:t>
            </w:r>
          </w:p>
        </w:tc>
      </w:tr>
      <w:tr>
        <w:trPr>
          <w:trHeight w:val="20"/>
        </w:trPr>
        <w:tc>
          <w:tcPr>
            <w:tcW w:w="39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11,898</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19,374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12,910</w:t>
            </w:r>
          </w:p>
        </w:tc>
      </w:tr>
      <w:tr>
        <w:trPr>
          <w:trHeight w:val="20"/>
        </w:trPr>
        <w:tc>
          <w:tcPr>
            <w:tcW w:w="3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920" w:hanging="3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variable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merchandise consists of prepaid purchase orders of inventory that are not in transit.</w:t>
      </w:r>
    </w:p>
    <w:p>
      <w:pPr>
        <w:spacing w:after="0" w:line="9" w:lineRule="exact"/>
        <w:rPr>
          <w:rFonts w:ascii="Arial" w:cs="Arial" w:eastAsia="Arial" w:hAnsi="Arial"/>
          <w:sz w:val="18"/>
          <w:szCs w:val="18"/>
          <w:color w:val="auto"/>
        </w:rPr>
      </w:pPr>
    </w:p>
    <w:p>
      <w:pPr>
        <w:ind w:left="920" w:hanging="3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taxes consist of prepaid federal and state income tax.</w:t>
      </w:r>
    </w:p>
    <w:p>
      <w:pPr>
        <w:spacing w:after="0" w:line="9" w:lineRule="exact"/>
        <w:rPr>
          <w:rFonts w:ascii="Arial" w:cs="Arial" w:eastAsia="Arial" w:hAnsi="Arial"/>
          <w:sz w:val="18"/>
          <w:szCs w:val="18"/>
          <w:color w:val="auto"/>
        </w:rPr>
      </w:pPr>
    </w:p>
    <w:p>
      <w:pPr>
        <w:ind w:left="920" w:hanging="359"/>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consists primarily of prepaid expense related to information technology maintenance contracts and software as a service.</w:t>
      </w: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28,</w:t>
            </w: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30,</w:t>
            </w:r>
          </w:p>
        </w:tc>
      </w:tr>
      <w:tr>
        <w:trPr>
          <w:trHeight w:val="234"/>
        </w:trPr>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r>
      <w:tr>
        <w:trPr>
          <w:trHeight w:val="20"/>
        </w:trPr>
        <w:tc>
          <w:tcPr>
            <w:tcW w:w="39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6,246</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4,221</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r>
      <w:tr>
        <w:trPr>
          <w:trHeight w:val="20"/>
        </w:trPr>
        <w:tc>
          <w:tcPr>
            <w:tcW w:w="3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consists primarily of deferred financing costs related to the Company's credit facility.</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w w:val="96"/>
              </w:rPr>
              <w:t>Accrued expenses consist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28,</w:t>
            </w:r>
          </w:p>
        </w:tc>
        <w:tc>
          <w:tcPr>
            <w:tcW w:w="2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30,</w:t>
            </w:r>
          </w:p>
        </w:tc>
      </w:tr>
      <w:tr>
        <w:trPr>
          <w:trHeight w:val="234"/>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15,063</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Sales and value added taxes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4,561</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2,266</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w:t>
            </w:r>
          </w:p>
        </w:tc>
      </w:tr>
      <w:tr>
        <w:trPr>
          <w:trHeight w:val="229"/>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Current income taxes payable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3,418</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Expense - Other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37,358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22,873</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Accrued expense - Other consists of accrued costs associated with a legal reserve accrual.</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160" w:firstLine="648"/>
        <w:spacing w:after="0" w:line="268" w:lineRule="auto"/>
        <w:rPr>
          <w:sz w:val="20"/>
          <w:szCs w:val="20"/>
          <w:color w:val="auto"/>
        </w:rPr>
      </w:pPr>
      <w:r>
        <w:rPr>
          <w:rFonts w:ascii="Arial" w:cs="Arial" w:eastAsia="Arial" w:hAnsi="Arial"/>
          <w:sz w:val="17"/>
          <w:szCs w:val="17"/>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“Annual Meeting”),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will increase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8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thirteen weeks ended July 29, 2023 and July 30, 2022, selling, general and administrative expense included stock-based compensation expense of $0.7 million and $0.6 million, respectively. For the twenty-six weeks ended July 29, 2023 and July 30, 2022 selling, general, and administrative expense included stock-based compensation expense of $1.8 million and $1.3 million, respectively. As of July 29, 2023, there was $2.1 million of total unrecognized compensation expense related to unvested restricted stock awards which is expected to be recognized over a weighted-average period of 1.9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twenty-six weeks ended July 29, 2023:</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rPr>
              <w:t>Options</w:t>
            </w:r>
          </w:p>
        </w:tc>
      </w:tr>
      <w:tr>
        <w:trPr>
          <w:trHeight w:val="191"/>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80" w:type="dxa"/>
            <w:vAlign w:val="bottom"/>
          </w:tcPr>
          <w:p>
            <w:pPr>
              <w:spacing w:after="0"/>
              <w:rPr>
                <w:sz w:val="16"/>
                <w:szCs w:val="16"/>
                <w:color w:val="auto"/>
              </w:rPr>
            </w:pPr>
          </w:p>
        </w:tc>
      </w:tr>
      <w:tr>
        <w:trPr>
          <w:trHeight w:val="234"/>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28, 2023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(131,811)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Outstanding, July 29, 2023</w:t>
            </w:r>
          </w:p>
        </w:tc>
        <w:tc>
          <w:tcPr>
            <w:tcW w:w="1440" w:type="dxa"/>
            <w:vAlign w:val="bottom"/>
          </w:tcPr>
          <w:p>
            <w:pPr>
              <w:jc w:val="right"/>
              <w:spacing w:after="0"/>
              <w:rPr>
                <w:sz w:val="20"/>
                <w:szCs w:val="20"/>
                <w:color w:val="auto"/>
              </w:rPr>
            </w:pPr>
            <w:r>
              <w:rPr>
                <w:rFonts w:ascii="Arial" w:cs="Arial" w:eastAsia="Arial" w:hAnsi="Arial"/>
                <w:sz w:val="18"/>
                <w:szCs w:val="18"/>
                <w:color w:val="auto"/>
              </w:rPr>
              <w:t>45,708</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18.67</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twenty-six weeks ended July 29, 2023:</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Performance-Based Restricted</w:t>
            </w:r>
          </w:p>
        </w:tc>
      </w:tr>
      <w:tr>
        <w:trPr>
          <w:trHeight w:val="234"/>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Time-Based Restricted Stock</w:t>
            </w:r>
          </w:p>
        </w:tc>
        <w:tc>
          <w:tcPr>
            <w:tcW w:w="162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9"/>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Average Grant</w:t>
            </w:r>
          </w:p>
        </w:tc>
      </w:tr>
      <w:tr>
        <w:trPr>
          <w:trHeight w:val="234"/>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28, 2023</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295,048</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65,759</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23.52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65,254</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24.75</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(208,620)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Earned and Vested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(215,130)</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Canceled or expired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57,756</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July 29,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199,462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total fair value of shares vested during the twenty-six weeks ended July 29, 2023 and July 30, 2022 was $2.1 million and $2.0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performance shares as of July 29, 2023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560" w:type="dxa"/>
            <w:vAlign w:val="bottom"/>
          </w:tcPr>
          <w:p>
            <w:pPr>
              <w:ind w:left="180"/>
              <w:spacing w:after="0" w:line="201" w:lineRule="exact"/>
              <w:rPr>
                <w:sz w:val="20"/>
                <w:szCs w:val="20"/>
                <w:color w:val="auto"/>
              </w:rPr>
            </w:pPr>
            <w:r>
              <w:rPr>
                <w:rFonts w:ascii="Arial" w:cs="Arial" w:eastAsia="Arial" w:hAnsi="Arial"/>
                <w:sz w:val="18"/>
                <w:szCs w:val="18"/>
                <w:color w:val="auto"/>
                <w:w w:val="89"/>
              </w:rPr>
              <w:t>2021</w:t>
            </w:r>
          </w:p>
        </w:tc>
        <w:tc>
          <w:tcPr>
            <w:tcW w:w="6920" w:type="dxa"/>
            <w:vAlign w:val="bottom"/>
          </w:tcPr>
          <w:p>
            <w:pPr>
              <w:ind w:left="20"/>
              <w:spacing w:after="0" w:line="201" w:lineRule="exact"/>
              <w:rPr>
                <w:sz w:val="20"/>
                <w:szCs w:val="20"/>
                <w:color w:val="auto"/>
              </w:rPr>
            </w:pPr>
            <w:r>
              <w:rPr>
                <w:rFonts w:ascii="Arial" w:cs="Arial" w:eastAsia="Arial" w:hAnsi="Arial"/>
                <w:sz w:val="18"/>
                <w:szCs w:val="18"/>
                <w:color w:val="auto"/>
              </w:rPr>
              <w:t>- 2023 consolidated, cumulative earnings before interest, taxes, depreciation and</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amortization (EBITDA) objectives</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39,821</w:t>
            </w:r>
          </w:p>
        </w:tc>
      </w:tr>
      <w:tr>
        <w:trPr>
          <w:trHeight w:val="230"/>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2021</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- 2023 consolidated revenue growth objectives</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13,274</w:t>
            </w:r>
          </w:p>
        </w:tc>
      </w:tr>
      <w:tr>
        <w:trPr>
          <w:trHeight w:val="202"/>
        </w:trPr>
        <w:tc>
          <w:tcPr>
            <w:tcW w:w="560" w:type="dxa"/>
            <w:vAlign w:val="bottom"/>
          </w:tcPr>
          <w:p>
            <w:pPr>
              <w:ind w:left="180"/>
              <w:spacing w:after="0" w:line="201" w:lineRule="exact"/>
              <w:rPr>
                <w:sz w:val="20"/>
                <w:szCs w:val="20"/>
                <w:color w:val="auto"/>
              </w:rPr>
            </w:pPr>
            <w:r>
              <w:rPr>
                <w:rFonts w:ascii="Arial" w:cs="Arial" w:eastAsia="Arial" w:hAnsi="Arial"/>
                <w:sz w:val="18"/>
                <w:szCs w:val="18"/>
                <w:color w:val="auto"/>
                <w:w w:val="89"/>
              </w:rPr>
              <w:t>2022</w:t>
            </w: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w w:val="97"/>
              </w:rPr>
              <w:t>-  2024  consolidated,  earnings  before  interest,  taxes,  depreciation  and  amortization</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(EBITDA) growth objectives</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60,835</w:t>
            </w:r>
          </w:p>
        </w:tc>
      </w:tr>
      <w:tr>
        <w:trPr>
          <w:trHeight w:val="216"/>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2022</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- 2024 consolidated revenue growth objectives</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20,278</w:t>
            </w:r>
          </w:p>
        </w:tc>
      </w:tr>
      <w:tr>
        <w:trPr>
          <w:trHeight w:val="216"/>
        </w:trPr>
        <w:tc>
          <w:tcPr>
            <w:tcW w:w="560" w:type="dxa"/>
            <w:vAlign w:val="bottom"/>
          </w:tcPr>
          <w:p>
            <w:pPr>
              <w:ind w:left="180"/>
              <w:spacing w:after="0"/>
              <w:rPr>
                <w:sz w:val="20"/>
                <w:szCs w:val="20"/>
                <w:color w:val="auto"/>
              </w:rPr>
            </w:pPr>
            <w:r>
              <w:rPr>
                <w:rFonts w:ascii="Arial" w:cs="Arial" w:eastAsia="Arial" w:hAnsi="Arial"/>
                <w:sz w:val="18"/>
                <w:szCs w:val="18"/>
                <w:color w:val="auto"/>
                <w:w w:val="89"/>
              </w:rPr>
              <w:t>2023</w:t>
            </w:r>
          </w:p>
        </w:tc>
        <w:tc>
          <w:tcPr>
            <w:tcW w:w="6920" w:type="dxa"/>
            <w:vAlign w:val="bottom"/>
          </w:tcPr>
          <w:p>
            <w:pPr>
              <w:ind w:left="20"/>
              <w:spacing w:after="0"/>
              <w:rPr>
                <w:sz w:val="20"/>
                <w:szCs w:val="20"/>
                <w:color w:val="auto"/>
              </w:rPr>
            </w:pPr>
            <w:r>
              <w:rPr>
                <w:rFonts w:ascii="Arial" w:cs="Arial" w:eastAsia="Arial" w:hAnsi="Arial"/>
                <w:sz w:val="18"/>
                <w:szCs w:val="18"/>
                <w:color w:val="auto"/>
              </w:rPr>
              <w:t>- 2025 consolidated pre-tax income growth objectives</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42,415</w:t>
            </w:r>
          </w:p>
        </w:tc>
      </w:tr>
      <w:tr>
        <w:trPr>
          <w:trHeight w:val="216"/>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2023</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- 2025 consolidated revenue growth objectives</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22,839</w:t>
            </w:r>
          </w:p>
        </w:tc>
      </w:tr>
      <w:tr>
        <w:trPr>
          <w:trHeight w:val="209"/>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Performance shares outstanding, July 29, 2023</w:t>
            </w:r>
          </w:p>
        </w:tc>
        <w:tc>
          <w:tcPr>
            <w:tcW w:w="80" w:type="dxa"/>
            <w:vAlign w:val="bottom"/>
            <w:tcBorders>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199,462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ectPr>
          <w:pgSz w:w="11900" w:h="16838" w:orient="portrait"/>
          <w:cols w:equalWidth="0" w:num="1">
            <w:col w:w="11220"/>
          </w:cols>
          <w:pgMar w:left="320" w:top="125" w:right="359" w:bottom="96"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Company's effective tax rate was 20.4% and 23.1% for the thirteen and twenty-six weeks ended July 29, 2023 compared to 23.5%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22.4% for the thirteen and twenty-six weeks ended July 30, 2022. The 2023 and 2022 effective tax rates differed from the statutory rate of 21%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state income tax expense partially offset by the tax impact of equity awards vesting. In addition, in the second quarter of fiscal 2023 and 2022,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remains in a full valuation allowance in certain foreign jurisdictions.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July 29, 2023 and July 30,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10"/>
          </w:tcPr>
          <w:p>
            <w:pPr>
              <w:jc w:val="right"/>
              <w:ind w:right="330"/>
              <w:spacing w:after="0"/>
              <w:rPr>
                <w:sz w:val="20"/>
                <w:szCs w:val="20"/>
                <w:color w:val="auto"/>
              </w:rPr>
            </w:pPr>
            <w:r>
              <w:rPr>
                <w:rFonts w:ascii="Arial" w:cs="Arial" w:eastAsia="Arial" w:hAnsi="Arial"/>
                <w:sz w:val="18"/>
                <w:szCs w:val="18"/>
                <w:b w:val="1"/>
                <w:bCs w:val="1"/>
                <w:color w:val="auto"/>
                <w:w w:val="98"/>
              </w:rPr>
              <w:t>For the thirteen weeks ended July 29, 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12"/>
          </w:tcPr>
          <w:p>
            <w:pPr>
              <w:jc w:val="center"/>
              <w:ind w:right="30"/>
              <w:spacing w:after="0"/>
              <w:rPr>
                <w:sz w:val="20"/>
                <w:szCs w:val="20"/>
                <w:color w:val="auto"/>
              </w:rPr>
            </w:pPr>
            <w:r>
              <w:rPr>
                <w:rFonts w:ascii="Arial" w:cs="Arial" w:eastAsia="Arial" w:hAnsi="Arial"/>
                <w:sz w:val="18"/>
                <w:szCs w:val="18"/>
                <w:b w:val="1"/>
                <w:bCs w:val="1"/>
                <w:color w:val="auto"/>
                <w:w w:val="89"/>
              </w:rPr>
              <w:t>For the thirteen weeks ended July 30,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APIC</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AOCI</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APIC</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AOCI</w:t>
            </w:r>
          </w:p>
        </w:tc>
        <w:tc>
          <w:tcPr>
            <w:tcW w:w="900" w:type="dxa"/>
            <w:vAlign w:val="bottom"/>
            <w:gridSpan w:val="4"/>
          </w:tcPr>
          <w:p>
            <w:pPr>
              <w:ind w:left="8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earnings</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$ 70,324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(12,177)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50,676</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$ 108,972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$ 71,962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(12,452)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38,872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$ 98,540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plans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withheld in lieu of tax</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Share Repurchase</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(1,853)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(3,208)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(8,030)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Cash Dividends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8,338</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$ 66,773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52,965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$ 107,866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$ 69,409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(12,385)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36,690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$ 93,864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Accumulated other comprehensive loss (“AOCI”)</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twenty-six weeks ended July 29, 2023 and July 30,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gridSpan w:val="11"/>
          </w:tcPr>
          <w:p>
            <w:pPr>
              <w:jc w:val="right"/>
              <w:ind w:right="500"/>
              <w:spacing w:after="0"/>
              <w:rPr>
                <w:sz w:val="20"/>
                <w:szCs w:val="20"/>
                <w:color w:val="auto"/>
              </w:rPr>
            </w:pPr>
            <w:r>
              <w:rPr>
                <w:rFonts w:ascii="Arial" w:cs="Arial" w:eastAsia="Arial" w:hAnsi="Arial"/>
                <w:sz w:val="18"/>
                <w:szCs w:val="18"/>
                <w:b w:val="1"/>
                <w:bCs w:val="1"/>
                <w:color w:val="auto"/>
                <w:w w:val="94"/>
              </w:rPr>
              <w:t>For the twenty-six weeks ended July 29, 2023</w:t>
            </w:r>
          </w:p>
        </w:tc>
        <w:tc>
          <w:tcPr>
            <w:tcW w:w="120" w:type="dxa"/>
            <w:vAlign w:val="bottom"/>
          </w:tcPr>
          <w:p>
            <w:pPr>
              <w:spacing w:after="0"/>
              <w:rPr>
                <w:sz w:val="20"/>
                <w:szCs w:val="20"/>
                <w:color w:val="auto"/>
              </w:rPr>
            </w:pPr>
          </w:p>
        </w:tc>
        <w:tc>
          <w:tcPr>
            <w:tcW w:w="4600" w:type="dxa"/>
            <w:vAlign w:val="bottom"/>
            <w:gridSpan w:val="11"/>
          </w:tcPr>
          <w:p>
            <w:pPr>
              <w:jc w:val="right"/>
              <w:ind w:right="680"/>
              <w:spacing w:after="0"/>
              <w:rPr>
                <w:sz w:val="20"/>
                <w:szCs w:val="20"/>
                <w:color w:val="auto"/>
              </w:rPr>
            </w:pPr>
            <w:r>
              <w:rPr>
                <w:rFonts w:ascii="Arial" w:cs="Arial" w:eastAsia="Arial" w:hAnsi="Arial"/>
                <w:sz w:val="18"/>
                <w:szCs w:val="18"/>
                <w:b w:val="1"/>
                <w:bCs w:val="1"/>
                <w:color w:val="auto"/>
              </w:rPr>
              <w:t>For the twenty-six weeks ended July 30, 2022</w:t>
            </w:r>
          </w:p>
        </w:tc>
        <w:tc>
          <w:tcPr>
            <w:tcW w:w="0" w:type="dxa"/>
            <w:vAlign w:val="bottom"/>
          </w:tcPr>
          <w:p>
            <w:pPr>
              <w:spacing w:after="0"/>
              <w:rPr>
                <w:sz w:val="1"/>
                <w:szCs w:val="1"/>
                <w:color w:val="auto"/>
              </w:rPr>
            </w:pPr>
          </w:p>
        </w:tc>
      </w:tr>
      <w:tr>
        <w:trPr>
          <w:trHeight w:val="425"/>
        </w:trPr>
        <w:tc>
          <w:tcPr>
            <w:tcW w:w="224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78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APIC</w:t>
            </w:r>
          </w:p>
        </w:tc>
        <w:tc>
          <w:tcPr>
            <w:tcW w:w="8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8"/>
                <w:szCs w:val="18"/>
                <w:b w:val="1"/>
                <w:bCs w:val="1"/>
                <w:color w:val="auto"/>
              </w:rPr>
              <w:t>AOCI</w:t>
            </w: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APIC</w:t>
            </w:r>
          </w:p>
        </w:tc>
        <w:tc>
          <w:tcPr>
            <w:tcW w:w="86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AOCI</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Retained</w:t>
            </w: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stock</w:t>
            </w:r>
          </w:p>
        </w:tc>
        <w:tc>
          <w:tcPr>
            <w:tcW w:w="18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6"/>
              </w:rPr>
              <w:t>earnings/(deficit)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$ 69,868</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(12,274)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61,375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$ 119,117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$ 75,490</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(12,470)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$ 93,683</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Adoption of new accounting</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(785)</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20"/>
                <w:szCs w:val="20"/>
                <w:color w:val="auto"/>
              </w:rPr>
            </w:pPr>
            <w:r>
              <w:rPr>
                <w:rFonts w:ascii="Arial" w:cs="Arial" w:eastAsia="Arial" w:hAnsi="Arial"/>
                <w:sz w:val="18"/>
                <w:szCs w:val="18"/>
                <w:color w:val="auto"/>
              </w:rPr>
              <w:t>standard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$ 69,868</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(12,274)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60,590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$ 118,332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$ 75,490</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(12,470)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$ 93,683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7"/>
              </w:rPr>
              <w:t>Issuance of Restricted Stock</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w:t>
            </w:r>
          </w:p>
        </w:tc>
        <w:tc>
          <w:tcPr>
            <w:tcW w:w="6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Shares withheld in lieu of tax</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(2,178)</w:t>
            </w:r>
          </w:p>
        </w:tc>
        <w:tc>
          <w:tcPr>
            <w:tcW w:w="6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 Repurchase</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(2,476)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(8,718)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(11,199)</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(5,521)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(13,850)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(22,049)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4"/>
              </w:rPr>
              <w:t>Other comprehensive income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$ 66,773</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52,965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$ 107,866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$ 69,409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(12,385)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36,690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$ 93,864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Accumulated other comprehensive loss (“AOCI”)</w:t>
      </w:r>
    </w:p>
    <w:p>
      <w:pPr>
        <w:spacing w:after="0" w:line="21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the thirteen and twenty-six weeks ended July 29, 2023, the Company recorded credit impairment charges of $0.8 million on trade receivables into retained earnings as a result of the adoption of ASC 326 - Credit Impairment.</w:t>
      </w:r>
    </w:p>
    <w:p>
      <w:pPr>
        <w:spacing w:after="0" w:line="170"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During the first fiscal half of 2023, the Company utilized $8.1 million in cash to repurchase 394,321 shares under its $50.0 million program that was authorized by its Board of Directors on August 31, 2022. The Company's Board of Directors also authorized a special cash dividend of $1.50 per share that was paid on April 6, 2023, to all stockholders of record as of March 23, 2023, following a $1.25 per share special cash dividend declared on November 30, 2021.</w:t>
      </w:r>
    </w:p>
    <w:p>
      <w:pPr>
        <w:sectPr>
          <w:pgSz w:w="11900" w:h="16838" w:orient="portrait"/>
          <w:cols w:equalWidth="0" w:num="1">
            <w:col w:w="11240"/>
          </w:cols>
          <w:pgMar w:left="320" w:top="125" w:right="339"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6"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Twenty-six weeks ended</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July 29,</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30,</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July 29,</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8,338</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5,830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22,946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 average number of common</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basic</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14,419,365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15,274,770</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14,438,611</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15,375,250</w:t>
            </w: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w w:val="98"/>
              </w:rPr>
              <w:t>Dilutive effect of share-based awards: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261,538</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191,478</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373,808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Weighted average number of common</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14,500,971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15,536,308</w:t>
            </w:r>
          </w:p>
        </w:tc>
        <w:tc>
          <w:tcPr>
            <w:tcW w:w="2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14,630,089</w:t>
            </w:r>
          </w:p>
        </w:tc>
        <w:tc>
          <w:tcPr>
            <w:tcW w:w="22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15,749,058</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shares outstanding - dilutive</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Basic net income per common share</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attributable to Build-A-Bear Workshop, Inc.</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Diluted net income per common share</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w w:val="96"/>
              </w:rPr>
              <w:t>attributable to Build-A-Bear Workshop, Inc.</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0.38</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1.57</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line="190" w:lineRule="exact"/>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calculating the diluted income per share for the thirteen and twenty-six weeks ended July 29, 2023, there were 56,191 and 32,630 shares of common stock, respectively, that were outstanding at the end of the period that were not included in the computation of diluted income per share due to their anti-dilutive effect. For the thirteen and twenty-six weeks ended July 30, 2022, there were 89,558 and 137,137 shares of common stock, respectively, that were outstanding at the end of the period that were not included in the computation of diluted income per share due to their anti-dilutive effect.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balance on July 29, 2023 and July 30, 2022 was comprised entirely of foreign currency translation. For the thirteen weeks ended July 29, 2023 and July 30, 2022, the Company had no reclassifications out of accumulated other comprehensive income.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520" w:firstLine="648"/>
        <w:spacing w:after="0" w:line="291"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commercial and international franchising. The DTC segment includes the operating activities of corporately-operated locations and other retail delivery operations in</w:t>
      </w:r>
    </w:p>
    <w:p>
      <w:pPr>
        <w:spacing w:after="0" w:line="268" w:lineRule="auto"/>
        <w:rPr>
          <w:sz w:val="20"/>
          <w:szCs w:val="20"/>
          <w:color w:val="auto"/>
        </w:rPr>
      </w:pPr>
      <w:r>
        <w:rPr>
          <w:rFonts w:ascii="Arial" w:cs="Arial" w:eastAsia="Arial" w:hAnsi="Arial"/>
          <w:sz w:val="17"/>
          <w:szCs w:val="17"/>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July 29, 2023</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103,465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109,225</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10,479</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3,080</w:t>
            </w: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Thirteen weeks ended July 30,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100,685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7,645</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3,026</w:t>
            </w:r>
          </w:p>
        </w:tc>
      </w:tr>
      <w:tr>
        <w:trPr>
          <w:trHeight w:val="216"/>
        </w:trPr>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Twenty-six weeks ended July 29, 2023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215,561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229,275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23,992</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29,832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6,138</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6,309</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Twenty-six weeks ended July 30, 2022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208,772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218,347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25,834</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6,276</w:t>
            </w: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Total Assets as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29,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258,413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January 28, 2023</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272,221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280,794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29, 2022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258,719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263,435</w:t>
            </w:r>
          </w:p>
        </w:tc>
      </w:tr>
    </w:tbl>
    <w:p>
      <w:pPr>
        <w:spacing w:after="0" w:line="20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America (1)</w:t>
            </w:r>
          </w:p>
        </w:tc>
        <w:tc>
          <w:tcPr>
            <w:tcW w:w="1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Other (3)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July 29, 2023</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97,336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11,127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109,225</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July 30, 2022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89,017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10,908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100,685</w:t>
            </w: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Twenty-six weeks ended July 29, 2023</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229,275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47,062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50,435</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Twenty-six weeks ended July 30, 2022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192,191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24,903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218,347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44,060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 America includes corporately-operated locations in the United States and Canada.</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 includes corporately-operated locations in the U.K. and Ireland.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ectPr>
          <w:pgSz w:w="11900" w:h="16838" w:orient="portrait"/>
          <w:cols w:equalWidth="0" w:num="1">
            <w:col w:w="11220"/>
          </w:cols>
          <w:pgMar w:left="320" w:top="125" w:right="359" w:bottom="763"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763"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July 29, 2023, the Company had a gross receivable balance of $4.7 million and a reserve of $3.7 million, leaving a net receivable of $1.0 million. The Company believes that the outcome of this dispute will not have a material adverse impact on the results of operations, liquidity, or financial position of the Company.</w:t>
      </w:r>
    </w:p>
    <w:p>
      <w:pPr>
        <w:spacing w:after="0" w:line="16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August 2021, a putative class action lawsuit was filed against Build-A-Bear Workshop, Inc., asserting claims under the Telephone Consumer Protection Act (the "TCPA") alleging that the Company continued to send marketing text messages to mobile phone numbers registered on the National Do Not Call Registry after allegedly opting-out of receiving them. Statutory damages under the TCPA are assessed at $500 per violation (i.e. per text message), and up to $1,500 per violation if the violation was knowing or willful. The Company has reached a settlement with the Plaintiff and an insurance carrier which, if the settlement receives final approval by the Court, is not expected to result in a significant expense for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28, 2023, as filed with the SEC, and include the following:</w:t>
      </w:r>
    </w:p>
    <w:p>
      <w:pPr>
        <w:spacing w:after="0" w:line="157" w:lineRule="exact"/>
        <w:rPr>
          <w:sz w:val="20"/>
          <w:szCs w:val="20"/>
          <w:color w:val="auto"/>
        </w:rPr>
      </w:pPr>
    </w:p>
    <w:p>
      <w:pPr>
        <w:ind w:left="480" w:right="240" w:hanging="175"/>
        <w:spacing w:after="0" w:line="255"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2" w:lineRule="exact"/>
        <w:rPr>
          <w:rFonts w:ascii="Arial" w:cs="Arial" w:eastAsia="Arial" w:hAnsi="Arial"/>
          <w:sz w:val="18"/>
          <w:szCs w:val="18"/>
          <w:color w:val="auto"/>
        </w:rPr>
      </w:pPr>
    </w:p>
    <w:p>
      <w:pPr>
        <w:ind w:left="480" w:right="66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right="32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global or regional health pandemics or epidemics, such as the COVID-19 pandemic, could negatively impact our business, financial position and results of operations;</w:t>
      </w:r>
    </w:p>
    <w:p>
      <w:pPr>
        <w:ind w:left="480" w:hanging="175"/>
        <w:spacing w:after="0"/>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480" w:hanging="175"/>
        <w:spacing w:after="0"/>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variety of significant competitive threats;</w:t>
      </w:r>
    </w:p>
    <w:p>
      <w:pPr>
        <w:spacing w:after="0" w:line="9" w:lineRule="exact"/>
        <w:rPr>
          <w:rFonts w:ascii="Arial" w:cs="Arial" w:eastAsia="Arial" w:hAnsi="Arial"/>
          <w:sz w:val="18"/>
          <w:szCs w:val="18"/>
          <w:color w:val="auto"/>
        </w:rPr>
      </w:pPr>
    </w:p>
    <w:p>
      <w:pPr>
        <w:ind w:left="480" w:right="8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96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right="34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hanging="175"/>
        <w:spacing w:after="0"/>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480" w:hanging="175"/>
        <w:spacing w:after="0"/>
        <w:tabs>
          <w:tab w:leader="none" w:pos="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may not be able to evolve our store locations over time to align with market trends, successfully diversify our store formats and business</w:t>
      </w:r>
    </w:p>
    <w:p>
      <w:pPr>
        <w:spacing w:after="0" w:line="20" w:lineRule="exact"/>
        <w:rPr>
          <w:rFonts w:ascii="Arial" w:cs="Arial" w:eastAsia="Arial" w:hAnsi="Arial"/>
          <w:sz w:val="17"/>
          <w:szCs w:val="17"/>
          <w:color w:val="auto"/>
        </w:rPr>
      </w:pPr>
    </w:p>
    <w:p>
      <w:pPr>
        <w:ind w:left="480" w:right="40"/>
        <w:spacing w:after="0" w:line="250" w:lineRule="auto"/>
        <w:rPr>
          <w:rFonts w:ascii="Arial" w:cs="Arial" w:eastAsia="Arial" w:hAnsi="Arial"/>
          <w:sz w:val="17"/>
          <w:szCs w:val="17"/>
          <w:color w:val="auto"/>
        </w:rPr>
      </w:pPr>
      <w:r>
        <w:rPr>
          <w:rFonts w:ascii="Arial" w:cs="Arial" w:eastAsia="Arial" w:hAnsi="Arial"/>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81" w:lineRule="auto"/>
        <w:tabs>
          <w:tab w:leader="none" w:pos="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 w:lineRule="exact"/>
        <w:rPr>
          <w:rFonts w:ascii="Arial" w:cs="Arial" w:eastAsia="Arial" w:hAnsi="Arial"/>
          <w:sz w:val="16"/>
          <w:szCs w:val="16"/>
          <w:color w:val="auto"/>
        </w:rPr>
      </w:pPr>
    </w:p>
    <w:p>
      <w:pPr>
        <w:ind w:left="480" w:right="400" w:hanging="175"/>
        <w:spacing w:after="0" w:line="281" w:lineRule="auto"/>
        <w:tabs>
          <w:tab w:leader="none" w:pos="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spacing w:after="0" w:line="1" w:lineRule="exact"/>
        <w:rPr>
          <w:rFonts w:ascii="Arial" w:cs="Arial" w:eastAsia="Arial" w:hAnsi="Arial"/>
          <w:sz w:val="16"/>
          <w:szCs w:val="16"/>
          <w:color w:val="auto"/>
        </w:rPr>
      </w:pPr>
    </w:p>
    <w:p>
      <w:pPr>
        <w:ind w:left="480" w:hanging="175"/>
        <w:spacing w:after="0"/>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corporately-operated locations profitability;</w:t>
      </w:r>
    </w:p>
    <w:p>
      <w:pPr>
        <w:spacing w:after="0" w:line="9" w:lineRule="exact"/>
        <w:rPr>
          <w:rFonts w:ascii="Arial" w:cs="Arial" w:eastAsia="Arial" w:hAnsi="Arial"/>
          <w:sz w:val="18"/>
          <w:szCs w:val="18"/>
          <w:color w:val="auto"/>
        </w:rPr>
      </w:pPr>
    </w:p>
    <w:p>
      <w:pPr>
        <w:ind w:left="480" w:right="220" w:hanging="175"/>
        <w:spacing w:after="0" w:line="250" w:lineRule="auto"/>
        <w:tabs>
          <w:tab w:leader="none" w:pos="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Arial" w:cs="Arial" w:eastAsia="Arial" w:hAnsi="Arial"/>
          <w:sz w:val="18"/>
          <w:szCs w:val="18"/>
          <w:color w:val="auto"/>
        </w:rPr>
      </w:pPr>
    </w:p>
    <w:p>
      <w:pPr>
        <w:ind w:left="480" w:right="480" w:hanging="175"/>
        <w:spacing w:after="0" w:line="265" w:lineRule="auto"/>
        <w:tabs>
          <w:tab w:leader="none" w:pos="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Arial" w:cs="Arial" w:eastAsia="Arial" w:hAnsi="Arial"/>
          <w:sz w:val="18"/>
          <w:szCs w:val="18"/>
          <w:color w:val="auto"/>
        </w:rPr>
      </w:pPr>
    </w:p>
    <w:p>
      <w:pPr>
        <w:ind w:left="460" w:hanging="169"/>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fail to renew, register or otherwise protect our trademarks or other intellectual property and may be sued by third parties for infringement</w:t>
      </w:r>
    </w:p>
    <w:p>
      <w:pPr>
        <w:spacing w:after="0" w:line="32" w:lineRule="exact"/>
        <w:rPr>
          <w:rFonts w:ascii="Arial" w:cs="Arial" w:eastAsia="Arial" w:hAnsi="Arial"/>
          <w:sz w:val="16"/>
          <w:szCs w:val="16"/>
          <w:color w:val="auto"/>
        </w:rPr>
      </w:pPr>
    </w:p>
    <w:p>
      <w:pPr>
        <w:ind w:left="460" w:right="60"/>
        <w:spacing w:after="0" w:line="250" w:lineRule="auto"/>
        <w:rPr>
          <w:rFonts w:ascii="Arial" w:cs="Arial" w:eastAsia="Arial" w:hAnsi="Arial"/>
          <w:sz w:val="16"/>
          <w:szCs w:val="16"/>
          <w:color w:val="auto"/>
        </w:rPr>
      </w:pPr>
      <w:r>
        <w:rPr>
          <w:rFonts w:ascii="Arial" w:cs="Arial" w:eastAsia="Arial" w:hAnsi="Arial"/>
          <w:sz w:val="18"/>
          <w:szCs w:val="18"/>
          <w:color w:val="auto"/>
        </w:rPr>
        <w:t>or misappropriation of their proprietary rights, which could be costly, distract our management and personnel and result in the diminution in value of our trademarks and other important intellectual property;</w:t>
      </w:r>
    </w:p>
    <w:p>
      <w:pPr>
        <w:ind w:left="460" w:right="140" w:hanging="169"/>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460" w:right="6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460" w:right="36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Arial" w:cs="Arial" w:eastAsia="Arial" w:hAnsi="Arial"/>
          <w:sz w:val="18"/>
          <w:szCs w:val="18"/>
          <w:color w:val="auto"/>
        </w:rPr>
      </w:pPr>
    </w:p>
    <w:p>
      <w:pPr>
        <w:ind w:left="460" w:hanging="169"/>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relatively low market capitalization can cause the market price of our common stock to become volatile;</w:t>
      </w:r>
    </w:p>
    <w:p>
      <w:pPr>
        <w:spacing w:after="0" w:line="9" w:lineRule="exact"/>
        <w:rPr>
          <w:rFonts w:ascii="Arial" w:cs="Arial" w:eastAsia="Arial" w:hAnsi="Arial"/>
          <w:sz w:val="18"/>
          <w:szCs w:val="18"/>
          <w:color w:val="auto"/>
        </w:rPr>
      </w:pPr>
    </w:p>
    <w:p>
      <w:pPr>
        <w:ind w:left="460" w:right="420" w:hanging="169"/>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5" w:right="339" w:bottom="79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90" w:gutter="0" w:footer="0" w:header="0"/>
          <w:type w:val="continuous"/>
        </w:sectPr>
      </w:pPr>
    </w:p>
    <w:bookmarkStart w:id="17" w:name="page18"/>
    <w:bookmarkEnd w:id="17"/>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 w:right="20" w:firstLine="648"/>
        <w:spacing w:after="0" w:line="284" w:lineRule="auto"/>
        <w:rPr>
          <w:sz w:val="20"/>
          <w:szCs w:val="20"/>
          <w:color w:val="auto"/>
        </w:rPr>
      </w:pPr>
      <w:r>
        <w:rPr>
          <w:rFonts w:ascii="Arial" w:cs="Arial" w:eastAsia="Arial" w:hAnsi="Arial"/>
          <w:sz w:val="16"/>
          <w:szCs w:val="16"/>
          <w:color w:val="auto"/>
        </w:rPr>
        <w:t>Build-A-Bear Workshop, Inc., a Delaware corporation, was formed in 1997 as a mall-based, experiential specialty retailer where children and their families could create their own stuffed animals. Over the last 25 years, Build-A-Bear has become a brand with high consumer awareness and positive affinity with over 225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total addressable market beyond children by adding teens and adults with entertainment/sports licensing, collectible and gifting offerings.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 As of July 29, 2023, we had 351 corporately-operated stores globally and 6 seasonal locations,</w:t>
      </w:r>
    </w:p>
    <w:p>
      <w:pPr>
        <w:spacing w:after="0" w:line="1" w:lineRule="exact"/>
        <w:rPr>
          <w:sz w:val="20"/>
          <w:szCs w:val="20"/>
          <w:color w:val="auto"/>
        </w:rPr>
      </w:pPr>
    </w:p>
    <w:p>
      <w:pPr>
        <w:ind w:left="20" w:right="180"/>
        <w:spacing w:after="0" w:line="295" w:lineRule="auto"/>
        <w:rPr>
          <w:sz w:val="20"/>
          <w:szCs w:val="20"/>
          <w:color w:val="auto"/>
        </w:rPr>
      </w:pPr>
      <w:r>
        <w:rPr>
          <w:rFonts w:ascii="Arial" w:cs="Arial" w:eastAsia="Arial" w:hAnsi="Arial"/>
          <w:sz w:val="16"/>
          <w:szCs w:val="16"/>
          <w:color w:val="auto"/>
        </w:rPr>
        <w:t>76 partner-operated locations operating through our "third-party retail" model in which we sell our products on a wholesale basis to other companies that then, in turn, execute our retail experience, and 64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61" w:lineRule="exact"/>
        <w:rPr>
          <w:sz w:val="20"/>
          <w:szCs w:val="20"/>
          <w:color w:val="auto"/>
        </w:rPr>
      </w:pPr>
    </w:p>
    <w:p>
      <w:pPr>
        <w:ind w:left="20" w:right="42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59" w:lineRule="exact"/>
        <w:rPr>
          <w:sz w:val="20"/>
          <w:szCs w:val="20"/>
          <w:color w:val="auto"/>
        </w:rPr>
      </w:pPr>
    </w:p>
    <w:p>
      <w:pPr>
        <w:ind w:left="500" w:hanging="162"/>
        <w:spacing w:after="0"/>
        <w:tabs>
          <w:tab w:leader="none" w:pos="500" w:val="left"/>
        </w:tabs>
        <w:numPr>
          <w:ilvl w:val="0"/>
          <w:numId w:val="12"/>
        </w:numPr>
        <w:rPr>
          <w:rFonts w:ascii="Arial" w:cs="Arial" w:eastAsia="Arial" w:hAnsi="Arial"/>
          <w:sz w:val="21"/>
          <w:szCs w:val="21"/>
          <w:color w:val="auto"/>
        </w:rPr>
      </w:pPr>
      <w:r>
        <w:rPr>
          <w:rFonts w:ascii="Arial" w:cs="Arial" w:eastAsia="Arial" w:hAnsi="Arial"/>
          <w:sz w:val="17"/>
          <w:szCs w:val="17"/>
          <w:color w:val="auto"/>
        </w:rPr>
        <w:t>Direct-to-Consumer (“DTC”) – Corporately-operated retail stores located in the U.S., Canada, the U.K., and Ireland and two e-commerce sites;</w:t>
      </w:r>
    </w:p>
    <w:p>
      <w:pPr>
        <w:spacing w:after="0" w:line="28" w:lineRule="exact"/>
        <w:rPr>
          <w:rFonts w:ascii="Arial" w:cs="Arial" w:eastAsia="Arial" w:hAnsi="Arial"/>
          <w:sz w:val="21"/>
          <w:szCs w:val="21"/>
          <w:color w:val="auto"/>
        </w:rPr>
      </w:pPr>
    </w:p>
    <w:p>
      <w:pPr>
        <w:ind w:left="500" w:right="100" w:hanging="162"/>
        <w:spacing w:after="0" w:line="224"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Arial" w:cs="Arial" w:eastAsia="Arial" w:hAnsi="Arial"/>
          <w:sz w:val="22"/>
          <w:szCs w:val="22"/>
          <w:color w:val="auto"/>
        </w:rPr>
      </w:pPr>
    </w:p>
    <w:p>
      <w:pPr>
        <w:ind w:left="500" w:hanging="162"/>
        <w:spacing w:after="0" w:line="214" w:lineRule="auto"/>
        <w:tabs>
          <w:tab w:leader="none" w:pos="500" w:val="left"/>
        </w:tabs>
        <w:numPr>
          <w:ilvl w:val="0"/>
          <w:numId w:val="12"/>
        </w:numPr>
        <w:rPr>
          <w:rFonts w:ascii="Arial" w:cs="Arial" w:eastAsia="Arial" w:hAnsi="Arial"/>
          <w:sz w:val="21"/>
          <w:szCs w:val="21"/>
          <w:color w:val="auto"/>
        </w:rPr>
      </w:pPr>
      <w:r>
        <w:rPr>
          <w:rFonts w:ascii="Arial" w:cs="Arial" w:eastAsia="Arial" w:hAnsi="Arial"/>
          <w:sz w:val="17"/>
          <w:szCs w:val="17"/>
          <w:color w:val="auto"/>
        </w:rPr>
        <w:t>International franchising – Royalties as well as products and fixtures sales from other international operations under franchise agreements.</w:t>
      </w:r>
    </w:p>
    <w:p>
      <w:pPr>
        <w:spacing w:after="0" w:line="229" w:lineRule="exact"/>
        <w:rPr>
          <w:sz w:val="20"/>
          <w:szCs w:val="20"/>
          <w:color w:val="auto"/>
        </w:rPr>
      </w:pPr>
    </w:p>
    <w:p>
      <w:pPr>
        <w:ind w:left="20" w:right="260" w:firstLine="648"/>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weeks ended July 29, 2023 and July 30, 2022 are set forth in the notes to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ind w:left="20" w:firstLine="648"/>
        <w:spacing w:after="0" w:line="270" w:lineRule="auto"/>
        <w:rPr>
          <w:sz w:val="20"/>
          <w:szCs w:val="20"/>
          <w:color w:val="auto"/>
        </w:rPr>
      </w:pPr>
      <w:r>
        <w:rPr>
          <w:rFonts w:ascii="Arial" w:cs="Arial" w:eastAsia="Arial" w:hAnsi="Arial"/>
          <w:sz w:val="17"/>
          <w:szCs w:val="17"/>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1" w:lineRule="exact"/>
        <w:rPr>
          <w:sz w:val="20"/>
          <w:szCs w:val="20"/>
          <w:color w:val="auto"/>
        </w:rPr>
      </w:pPr>
    </w:p>
    <w:p>
      <w:pPr>
        <w:ind w:left="20" w:right="100" w:firstLine="648"/>
        <w:spacing w:after="0" w:line="257" w:lineRule="auto"/>
        <w:rPr>
          <w:sz w:val="20"/>
          <w:szCs w:val="20"/>
          <w:color w:val="auto"/>
        </w:rPr>
      </w:pPr>
      <w:r>
        <w:rPr>
          <w:rFonts w:ascii="Arial" w:cs="Arial" w:eastAsia="Arial" w:hAnsi="Arial"/>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8"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 We remain focused on our strategic priorities which are centered on three key areas:</w:t>
      </w:r>
    </w:p>
    <w:p>
      <w:pPr>
        <w:spacing w:after="0" w:line="188" w:lineRule="exact"/>
        <w:rPr>
          <w:sz w:val="20"/>
          <w:szCs w:val="20"/>
          <w:color w:val="auto"/>
        </w:rPr>
      </w:pPr>
    </w:p>
    <w:p>
      <w:pPr>
        <w:ind w:left="600" w:right="20" w:hanging="235"/>
        <w:spacing w:after="0" w:line="271"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Drive continued digital transformation and broaden our total addressable market while leveraging enhanced omni-channel capabilities</w:t>
      </w:r>
      <w:r>
        <w:rPr>
          <w:rFonts w:ascii="Arial" w:cs="Arial" w:eastAsia="Arial" w:hAnsi="Arial"/>
          <w:sz w:val="17"/>
          <w:szCs w:val="17"/>
          <w:color w:val="auto"/>
        </w:rPr>
        <w:t>. We expect to more effectively use our expanded digital capabilities and platforms to inform and drive marketing and content campaigns and deliver personalized experiences and promotional messaging to both acquire new guests and increase repeat purchases from existing consumers. We also plan to leverage the expansion of our total addressable market by reaching beyond the core kid base and continuing to acquire new tween, teen, and adult consumers by offering unique affinity offerings, expanding gift-giving and adding new purchase occasions. We prepared for and launched the planned update to our e-commerce site with extended testing and algorithm refinements being made throughout the year on multiple points from the landing page to checkout. In addition, we plan to grow our core kids and family business with new product launches, incremental purchase occasions and engaging digital marketing content.</w:t>
      </w:r>
    </w:p>
    <w:p>
      <w:pPr>
        <w:spacing w:after="0" w:line="178" w:lineRule="exact"/>
        <w:rPr>
          <w:rFonts w:ascii="Arial" w:cs="Arial" w:eastAsia="Arial" w:hAnsi="Arial"/>
          <w:sz w:val="17"/>
          <w:szCs w:val="17"/>
          <w:color w:val="auto"/>
        </w:rPr>
      </w:pPr>
    </w:p>
    <w:p>
      <w:pPr>
        <w:ind w:left="600" w:right="20" w:hanging="235"/>
        <w:spacing w:after="0" w:line="269"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Expand brand access with additional experience locations and increase brand engagement leveraging strategic partnerships, pop-culture status and digital media, content and entertainment</w:t>
      </w:r>
      <w:r>
        <w:rPr>
          <w:rFonts w:ascii="Arial" w:cs="Arial" w:eastAsia="Arial" w:hAnsi="Arial"/>
          <w:sz w:val="17"/>
          <w:szCs w:val="17"/>
          <w:color w:val="auto"/>
        </w:rPr>
        <w:t>. In fiscal 2023, we expect a net increase in the number of stores in North America inclusive of third-party retail sites and to have fewer locations in Europe compared to the end of fiscal 2022. Combined across geographies and business models, we plan to have more total locations at the end of fiscal 2023 compared to the end of fiscal 2022. We have made a concerted effort to shift to non-traditional locations including family-centric tourist and hospitality sites and now have approximately 35% of our total retail locations in non-traditional settings. While tourist sites have been and will remain a critical part of our overarching location expansion strategy, recent research data supports our opportunity to reengage in profitable expansion of our corporately-operated experience locations on a more localized level, particularly given the numerous and flexible models we have developed in the past few years. We also continue to develop innovative experiences to expand our brand reach. This includes Build-A-Bear vending machines, also known as ATMs or automatic teddy machines. In addition, we plan to continue to utilize digital media, content and entertainment as marketing and brand-building tools to engage consumers, create incremental value and drive in-person and online traffic and demand.</w:t>
      </w:r>
    </w:p>
    <w:p>
      <w:pPr>
        <w:spacing w:after="0" w:line="181" w:lineRule="exact"/>
        <w:rPr>
          <w:rFonts w:ascii="Arial" w:cs="Arial" w:eastAsia="Arial" w:hAnsi="Arial"/>
          <w:sz w:val="17"/>
          <w:szCs w:val="17"/>
          <w:color w:val="auto"/>
        </w:rPr>
      </w:pPr>
    </w:p>
    <w:p>
      <w:pPr>
        <w:ind w:left="600" w:right="20" w:hanging="235"/>
        <w:spacing w:after="0" w:line="311"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Optimize our solid financial position including a strong balance sheet to support our business, make investments that drive sustained profitable growth and continue to deliver value to shareholders</w:t>
      </w:r>
      <w:r>
        <w:rPr>
          <w:rFonts w:ascii="Arial" w:cs="Arial" w:eastAsia="Arial" w:hAnsi="Arial"/>
          <w:sz w:val="16"/>
          <w:szCs w:val="16"/>
          <w:color w:val="auto"/>
        </w:rPr>
        <w:t>. We plan to maintain disciplined expense management particularly in light of recent inflationary pressures, wage increases and supply chain challenges. We are also focused on ongoing lease negotiations as we continue to evolve our</w:t>
      </w:r>
    </w:p>
    <w:p>
      <w:pPr>
        <w:sectPr>
          <w:pgSz w:w="11900" w:h="16863" w:orient="portrait"/>
          <w:cols w:equalWidth="0" w:num="1">
            <w:col w:w="11260"/>
          </w:cols>
          <w:pgMar w:left="300" w:top="125" w:right="339" w:bottom="0" w:gutter="0" w:footer="0" w:header="0"/>
        </w:sectPr>
      </w:pPr>
    </w:p>
    <w:bookmarkStart w:id="18" w:name="page19"/>
    <w:bookmarkEnd w:id="18"/>
    <w:p>
      <w:pPr>
        <w:spacing w:after="0" w:line="273" w:lineRule="auto"/>
        <w:rPr>
          <w:sz w:val="20"/>
          <w:szCs w:val="20"/>
          <w:color w:val="auto"/>
        </w:rPr>
      </w:pPr>
      <w:r>
        <w:rPr>
          <w:rFonts w:ascii="Arial" w:cs="Arial" w:eastAsia="Arial" w:hAnsi="Arial"/>
          <w:sz w:val="17"/>
          <w:szCs w:val="17"/>
          <w:color w:val="auto"/>
        </w:rPr>
        <w:t>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 the dividend announced by our Board of Directors and paid in fiscal 2021, the recent completion of the share repurchase program that was adopted in November 2021, the buyback of additional shares through a newly-authorized share repurchase program announced in August 2022, and the special dividend announced by our Board of Directors and paid in April 2023, which we believe demonstrates the confidence our Board of Directors continues to have in our strategy and future..</w:t>
      </w:r>
    </w:p>
    <w:p>
      <w:pPr>
        <w:spacing w:after="0" w:line="39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00" w:top="125" w:right="4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Corporately-Operated Locations:</w:t>
      </w:r>
    </w:p>
    <w:p>
      <w:pPr>
        <w:spacing w:after="0" w:line="225" w:lineRule="exact"/>
        <w:rPr>
          <w:sz w:val="20"/>
          <w:szCs w:val="20"/>
          <w:color w:val="auto"/>
        </w:rPr>
      </w:pPr>
    </w:p>
    <w:p>
      <w:pPr>
        <w:ind w:left="20" w:right="52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corporately-operated stores in North America and Europe for the periods presented: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2"/>
              </w:rPr>
              <w:t>Twenty-six weeks ended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July 29, 2023</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July 30, 2022</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080" w:type="dxa"/>
            <w:vAlign w:val="bottom"/>
          </w:tcPr>
          <w:p>
            <w:pPr>
              <w:spacing w:after="0"/>
              <w:rPr>
                <w:sz w:val="16"/>
                <w:szCs w:val="16"/>
                <w:color w:val="auto"/>
              </w:rPr>
            </w:pPr>
          </w:p>
        </w:tc>
        <w:tc>
          <w:tcPr>
            <w:tcW w:w="10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North</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America</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Opened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80" w:firstLine="648"/>
        <w:spacing w:after="0" w:line="259" w:lineRule="auto"/>
        <w:rPr>
          <w:sz w:val="20"/>
          <w:szCs w:val="20"/>
          <w:color w:val="auto"/>
        </w:rPr>
      </w:pPr>
      <w:r>
        <w:rPr>
          <w:rFonts w:ascii="Arial" w:cs="Arial" w:eastAsia="Arial" w:hAnsi="Arial"/>
          <w:sz w:val="18"/>
          <w:szCs w:val="18"/>
          <w:color w:val="auto"/>
        </w:rPr>
        <w:t>As of July 29, 2023, 47% of our corporately-operated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Retail Locations: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third-party retail locations opened and closed for the periods presented below is summarized as follows:</w:t>
      </w:r>
    </w:p>
    <w:p>
      <w:pPr>
        <w:spacing w:after="0" w:line="200" w:lineRule="exact"/>
        <w:rPr>
          <w:sz w:val="20"/>
          <w:szCs w:val="20"/>
          <w:color w:val="auto"/>
        </w:rPr>
      </w:pPr>
    </w:p>
    <w:p>
      <w:pPr>
        <w:spacing w:after="0" w:line="23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9"/>
              </w:rPr>
              <w:t>July 29, 2023</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July 30, 2022</w:t>
            </w: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firstLine="648"/>
        <w:spacing w:after="0" w:line="296" w:lineRule="auto"/>
        <w:rPr>
          <w:sz w:val="20"/>
          <w:szCs w:val="20"/>
          <w:color w:val="auto"/>
        </w:rPr>
      </w:pPr>
      <w:r>
        <w:rPr>
          <w:rFonts w:ascii="Arial" w:cs="Arial" w:eastAsia="Arial" w:hAnsi="Arial"/>
          <w:sz w:val="16"/>
          <w:szCs w:val="16"/>
          <w:color w:val="auto"/>
        </w:rPr>
        <w:t>Through our partner-operated third-party retail model, there were 76 stores in operation at the end of the second quarter of fiscal 2023 with relationships that included Carnival Cruise Line, Great Wolf Lodge Resorts, Landry's, Beaches Family Resorts, and Kalahari. This model is capital light for us, with the partner company building out and operating the workshops including providing the real estate location and covering the cost of labor and inventory, which is purchased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jc w:val="both"/>
        <w:ind w:left="20" w:right="8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corporately-operated stores. As of July 29, 2023, we had 5 master franchise agreements, which typically grant franchise rights for a particular country or group of countries, covering an aggregate of 8 countries.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93"/>
              </w:rPr>
              <w:t>July 29, 2023</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July 30, 2022</w:t>
            </w:r>
          </w:p>
        </w:tc>
        <w:tc>
          <w:tcPr>
            <w:tcW w:w="80" w:type="dxa"/>
            <w:vAlign w:val="bottom"/>
          </w:tcPr>
          <w:p>
            <w:pPr>
              <w:spacing w:after="0"/>
              <w:rPr>
                <w:sz w:val="18"/>
                <w:szCs w:val="18"/>
                <w:color w:val="auto"/>
              </w:rPr>
            </w:pPr>
          </w:p>
        </w:tc>
      </w:tr>
      <w:tr>
        <w:trPr>
          <w:trHeight w:val="21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r>
      <w:tr>
        <w:trPr>
          <w:trHeight w:val="216"/>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56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r>
      <w:tr>
        <w:trPr>
          <w:trHeight w:val="20"/>
        </w:trPr>
        <w:tc>
          <w:tcPr>
            <w:tcW w:w="5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corporately-operated locations such as concourses and shop-in-shops with our franchisees.</w:t>
      </w:r>
    </w:p>
    <w:p>
      <w:pPr>
        <w:sectPr>
          <w:pgSz w:w="11900" w:h="16838" w:orient="portrait"/>
          <w:cols w:equalWidth="0" w:num="1">
            <w:col w:w="11220"/>
          </w:cols>
          <w:pgMar w:left="300" w:top="125" w:right="379" w:bottom="1440" w:gutter="0" w:footer="0" w:header="0"/>
        </w:sectPr>
      </w:pP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820" w:type="dxa"/>
            <w:vAlign w:val="bottom"/>
            <w:gridSpan w:val="4"/>
          </w:tcPr>
          <w:p>
            <w:pPr>
              <w:ind w:left="40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324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July 29,</w:t>
            </w:r>
          </w:p>
        </w:tc>
        <w:tc>
          <w:tcPr>
            <w:tcW w:w="12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July 30,</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29,</w:t>
            </w: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July 30,</w:t>
            </w:r>
          </w:p>
        </w:tc>
        <w:tc>
          <w:tcPr>
            <w:tcW w:w="16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Net retail sales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95.6%</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59" w:gutter="0" w:footer="0" w:header="0"/>
        </w:sectPr>
      </w:pP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300" w:right="420"/>
        <w:spacing w:after="0" w:line="214" w:lineRule="auto"/>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Cost of merchandise sold - commercial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(1)</w:t>
      </w:r>
    </w:p>
    <w:p>
      <w:pPr>
        <w:spacing w:after="0" w:line="5" w:lineRule="exact"/>
        <w:rPr>
          <w:sz w:val="20"/>
          <w:szCs w:val="20"/>
          <w:color w:val="auto"/>
        </w:rPr>
      </w:pPr>
    </w:p>
    <w:p>
      <w:pPr>
        <w:ind w:left="1300" w:right="360"/>
        <w:spacing w:after="0" w:line="185" w:lineRule="auto"/>
        <w:rPr>
          <w:sz w:val="20"/>
          <w:szCs w:val="20"/>
          <w:color w:val="auto"/>
        </w:rPr>
      </w:pPr>
      <w:r>
        <w:rPr>
          <w:rFonts w:ascii="Arial" w:cs="Arial" w:eastAsia="Arial" w:hAnsi="Arial"/>
          <w:sz w:val="18"/>
          <w:szCs w:val="18"/>
          <w:color w:val="auto"/>
        </w:rPr>
        <w:t xml:space="preserve">Cost of merchandise sold - international franchising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46.1</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50.5</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45.7</w:t>
            </w: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392"/>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48.7</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48.1</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49.6</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418"/>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58.1</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58.3</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65.3</w:t>
            </w: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-788035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-513715</wp:posOffset>
            </wp:positionV>
            <wp:extent cx="5700395"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40" w:space="720"/>
            <w:col w:w="5980"/>
          </w:cols>
          <w:pgMar w:left="320" w:top="125" w:right="339" w:bottom="159" w:gutter="0" w:footer="0" w:header="0"/>
          <w:type w:val="continuous"/>
        </w:sectPr>
      </w:pPr>
    </w:p>
    <w:tbl>
      <w:tblPr>
        <w:tblLayout w:type="fixed"/>
        <w:tblInd w:w="1120" w:type="dxa"/>
        <w:tblCellMar>
          <w:top w:w="0" w:type="dxa"/>
          <w:left w:w="0" w:type="dxa"/>
          <w:bottom w:w="0" w:type="dxa"/>
          <w:right w:w="0" w:type="dxa"/>
        </w:tblCellMar>
      </w:tblP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Total cost of merchandise sold</w:t>
            </w:r>
          </w:p>
        </w:tc>
        <w:tc>
          <w:tcPr>
            <w:tcW w:w="1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46.3</w:t>
            </w:r>
          </w:p>
        </w:tc>
        <w:tc>
          <w:tcPr>
            <w:tcW w:w="1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50.4</w:t>
            </w:r>
          </w:p>
        </w:tc>
        <w:tc>
          <w:tcPr>
            <w:tcW w:w="14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46.1</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48.8</w:t>
            </w:r>
          </w:p>
        </w:tc>
      </w:tr>
      <w:tr>
        <w:trPr>
          <w:trHeight w:val="20"/>
        </w:trPr>
        <w:tc>
          <w:tcPr>
            <w:tcW w:w="3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color w:val="auto"/>
              </w:rPr>
              <w:t>Consolidated gross profit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53.7</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49.5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r>
      <w:tr>
        <w:trPr>
          <w:trHeight w:val="196"/>
        </w:trPr>
        <w:tc>
          <w:tcPr>
            <w:tcW w:w="324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Retail Gross Margin </w:t>
            </w:r>
            <w:r>
              <w:rPr>
                <w:rFonts w:ascii="Arial" w:cs="Arial" w:eastAsia="Arial" w:hAnsi="Arial"/>
                <w:sz w:val="25"/>
                <w:szCs w:val="25"/>
                <w:color w:val="auto"/>
                <w:vertAlign w:val="superscript"/>
              </w:rPr>
              <w:t>(2)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r>
    </w:tbl>
    <w:p>
      <w:pPr>
        <w:spacing w:after="0" w:line="202" w:lineRule="exact"/>
        <w:rPr>
          <w:sz w:val="20"/>
          <w:szCs w:val="20"/>
          <w:color w:val="auto"/>
        </w:rPr>
      </w:pPr>
    </w:p>
    <w:p>
      <w:pPr>
        <w:ind w:left="380" w:right="140" w:hanging="372"/>
        <w:spacing w:after="0" w:line="31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500" w:hanging="372"/>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July 29, 2023 compared to thirteen weeks ended July 30, 2022</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Consolidated revenues increased 8.5%, primarily fueled by increased retail transactions in North American brick-and-mortar stores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an increase in consumer traffic, as well as growth in the commercial and international franchising segments' revenue.</w:t>
      </w:r>
    </w:p>
    <w:p>
      <w:pPr>
        <w:spacing w:after="0" w:line="14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Net retail sales for the thirteen weeks ended July 29, 2023 were $103.5 million, compared to $95.9 million for the thirteen weeks ended July 30, 2022, an increase of $7.6 million, or 7.9%, compared to the prior year period. The components of this increase are as follows (dollars in thousands):</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48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July 29, 2023</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Digital sales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Change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retail revenue increase was primarily the result of an increase in sales from corporately-operated retail locations through growth in the number of transactions, as our traffic continues to significantly outpace reported national retail traffic data, as well as an increase in digital demand.</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Commercial revenue was $5.0 million for the thirteen weeks ended July 29, 2023 compared to $4.1 million for the thirteen weeks ended July 30, 2022. The $0.9 million increase is primarily the result of increased sales volume from our commercial accounts through our partner-operated third-party retail model.</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International franchising revenue was $0.8 million for the thirteen weeks ended July 29, 2023 compared to $0.7 million for the thirteen weeks ended July 30, 2022. The $0.1 million increase is primarily due to an overall increase in sales from franchisees.</w:t>
      </w:r>
    </w:p>
    <w:p>
      <w:pPr>
        <w:sectPr>
          <w:pgSz w:w="11900" w:h="16838" w:orient="portrait"/>
          <w:cols w:equalWidth="0" w:num="1">
            <w:col w:w="11240"/>
          </w:cols>
          <w:pgMar w:left="320" w:top="125" w:right="339" w:bottom="159" w:gutter="0" w:footer="0" w:header="0"/>
          <w:type w:val="continuous"/>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increased $8.3 million to $55.8 million from $47.5 million for the thirteen weeks ended July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retail gross margin rate increased 440 basis points compared to the prior year primarily driven by lower freight costs, as expected, and leverage of fixed occupancy costs compared to the fiscal 2022 second quarter.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SG&amp;A expenses were $48.3 million, or 44.2% of consolidated revenue, for the thirteen weeks ended July 29,</w:t>
      </w:r>
      <w:r>
        <w:rPr>
          <w:rFonts w:ascii="Arial" w:cs="Arial" w:eastAsia="Arial" w:hAnsi="Arial"/>
          <w:sz w:val="17"/>
          <w:szCs w:val="17"/>
          <w:i w:val="1"/>
          <w:iCs w:val="1"/>
          <w:color w:val="auto"/>
        </w:rPr>
        <w:t xml:space="preserve"> </w:t>
      </w:r>
      <w:r>
        <w:rPr>
          <w:rFonts w:ascii="Arial" w:cs="Arial" w:eastAsia="Arial" w:hAnsi="Arial"/>
          <w:sz w:val="17"/>
          <w:szCs w:val="17"/>
          <w:color w:val="auto"/>
        </w:rPr>
        <w:t>2023, compared to $42.3 million, or 42.0% of consolidated revenue, for the thirteen weeks ended July 30, 2022. The increase in overall expense was driven by higher wages due to inflation, the planned addition of talent, and other investments to support future growth.</w:t>
      </w:r>
    </w:p>
    <w:p>
      <w:pPr>
        <w:spacing w:after="0" w:line="16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was $167,000 for the thirteen weeks ended July 29, 2023 compared to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$3,000 for the thirteen weeks ended July 30, 2022.</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$2.1 million with a tax rate of 20.4% for the thirteen weeks ended July 29, 2023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 million with a tax rate of 23.5% for the thirteen weeks ended July 30, 2022. In the first half of fiscal 2023 and 2022, the effective tax rate differed from the statutory rate of 21% primarily due to state income tax expense partially offset by the tax impact of equity awards vesting. In addition, the Company remains in a full valuation allowance in certain foreign jurisdictions.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Twenty-six weeks ended July 29, 2023 compared to twenty-six weeks ended July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increased 4.9%, primarily driven by a 6.2% increase in North America and partially offset</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by a 4.5% decrease in Europe. The overall revenue growth was primarily fueled by increased retail transactions in North American brick-and-mortar stores driven by an increase in consumer traffic, as well as growth in the commercial and international franchising segments' revenue.</w:t>
      </w:r>
    </w:p>
    <w:p>
      <w:pPr>
        <w:spacing w:after="0" w:line="16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Net retail sales for the twenty-six weeks ended July 29, 2023 were $215.6 million, compared to $208.8 million for the twenty-six weeks ended July 30, 2022, an increase of $6.8 million, or 3.3%, compared to the prior year period. The components of this increase are as follows (dollars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Twenty-six weeks</w:t>
            </w: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July 29, 2023</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from:</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Existing stores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7,537</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sales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3,735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closures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retail revenue increase was primarily the result of an increase in sales from corporately-operated retail locations through growth in the number of transactions, as our traffic continues to significantly outpace national retail traffic data, offset by a decline in web demand due to the timing of product launches. The negative foreign currency translation effect is due to the British Pound and the Canadian dollar weakening against the US dollar compared to the fiscal 2022 first half. This negative foreign currency effect has, in turn, decreased European revenue compared to the fiscal 2022 first half.</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Commercial revenue was $11.7 million for the twenty-six weeks ended July 29, 2023 compared to $8.3 million for the twenty-six weeks ended July 30, 2022. The $3.4 million increase is primarily the result of increased sales volume from our commercial accounts through our partner-operated third-party retail model.</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International franchising revenue was $2.0 million for the twenty-six weeks ended July 29, 2023 compared to $1.2 million for the twenty-six weeks ended July 30, 2022. The $0.8 million increase is primarily due to an overall increase in sales from franchisees.</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increased $10.1 million to $116.9 million from $106.8 million for the twenty-six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30, 2022. The retail gross margin rate increased 310 basis points compared to the prior year primarily driven by lower freight costs, as expected, and leverage of distribution costs compared to the fiscal 2022 first half.</w:t>
      </w:r>
    </w:p>
    <w:p>
      <w:pPr>
        <w:spacing w:after="0" w:line="1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SG&amp;A expenses were $94.0 million, or 41.0% of consolidated revenue, for the twenty-six weeks ended July</w:t>
      </w:r>
      <w:r>
        <w:rPr>
          <w:rFonts w:ascii="Arial" w:cs="Arial" w:eastAsia="Arial" w:hAnsi="Arial"/>
          <w:sz w:val="17"/>
          <w:szCs w:val="17"/>
          <w:i w:val="1"/>
          <w:iCs w:val="1"/>
          <w:color w:val="auto"/>
        </w:rPr>
        <w:t xml:space="preserve"> </w:t>
      </w:r>
      <w:r>
        <w:rPr>
          <w:rFonts w:ascii="Arial" w:cs="Arial" w:eastAsia="Arial" w:hAnsi="Arial"/>
          <w:sz w:val="17"/>
          <w:szCs w:val="17"/>
          <w:color w:val="auto"/>
        </w:rPr>
        <w:t>29, 2023, compared to $85.9 million, or 39.3% of consolidated revenue, for the twenty-six weeks ended July 30, 2022. The increase in overall expense was driven by higher wages due to inflation, the planned addition of talent, and other investments to support future growth.</w:t>
      </w:r>
    </w:p>
    <w:p>
      <w:pPr>
        <w:spacing w:after="0" w:line="16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was $243,000 for the twenty-six weeks ended July 29, 2023 compared to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$22,000 for the twenty-six weeks ended July 30, 2022.</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$6.9 million with an effective tax rate of 23.1% for the twenty-six weeks ended July 29,</w:t>
      </w:r>
      <w:r>
        <w:rPr>
          <w:rFonts w:ascii="Arial" w:cs="Arial" w:eastAsia="Arial" w:hAnsi="Arial"/>
          <w:sz w:val="17"/>
          <w:szCs w:val="17"/>
          <w:i w:val="1"/>
          <w:iCs w:val="1"/>
          <w:color w:val="auto"/>
        </w:rPr>
        <w:t xml:space="preserve"> </w:t>
      </w:r>
      <w:r>
        <w:rPr>
          <w:rFonts w:ascii="Arial" w:cs="Arial" w:eastAsia="Arial" w:hAnsi="Arial"/>
          <w:sz w:val="17"/>
          <w:szCs w:val="17"/>
          <w:color w:val="auto"/>
        </w:rPr>
        <w:t>2023 as compared to $5.8 million with an effective tax rate of 22.4% for the twenty-six weeks ended July 30, 2022. In the second quarter of fiscal 2023 and 2022, the effective tax rate differed from the statutory rate of 21% primarily due to state income tax expense partially offset by the tax impact of equity awards vesting. In addition, the Company remains in a full valuation allowance in certain foreign jurisdictions.</w:t>
      </w:r>
    </w:p>
    <w:p>
      <w:pPr>
        <w:sectPr>
          <w:pgSz w:w="11900" w:h="16838" w:orient="portrait"/>
          <w:cols w:equalWidth="0" w:num="1">
            <w:col w:w="11220"/>
          </w:cols>
          <w:pgMar w:left="320" w:top="125" w:right="359" w:bottom="1440" w:gutter="0" w:footer="0" w:header="0"/>
        </w:sectPr>
      </w:pP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 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July 29, 2023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July 30, 2022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July 29, 2023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July 30, 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(pre-tax)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25,834</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Pr>
          <w:p>
            <w:pPr>
              <w:ind w:left="20"/>
              <w:spacing w:after="0" w:line="195" w:lineRule="exact"/>
              <w:rPr>
                <w:sz w:val="20"/>
                <w:szCs w:val="20"/>
                <w:color w:val="auto"/>
              </w:rPr>
            </w:pPr>
            <w:r>
              <w:rPr>
                <w:rFonts w:ascii="Arial" w:cs="Arial" w:eastAsia="Arial" w:hAnsi="Arial"/>
                <w:sz w:val="18"/>
                <w:szCs w:val="18"/>
                <w:color w:val="auto"/>
                <w:w w:val="92"/>
              </w:rPr>
              <w:t>Earnings before interest, taxes, depreciation,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13,541</w:t>
            </w:r>
          </w:p>
        </w:tc>
        <w:tc>
          <w:tcPr>
            <w:tcW w:w="20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10,674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35,898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32,132</w:t>
            </w: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line="190" w:lineRule="exact"/>
              <w:rPr>
                <w:sz w:val="20"/>
                <w:szCs w:val="20"/>
                <w:color w:val="auto"/>
              </w:rPr>
            </w:pPr>
            <w:r>
              <w:rPr>
                <w:rFonts w:ascii="Arial" w:cs="Arial" w:eastAsia="Arial" w:hAnsi="Arial"/>
                <w:sz w:val="18"/>
                <w:szCs w:val="18"/>
                <w:color w:val="auto"/>
              </w:rPr>
              <w:t>and amortization</w:t>
            </w:r>
          </w:p>
        </w:tc>
        <w:tc>
          <w:tcPr>
            <w:tcW w:w="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EBITDA for the thirteen weeks ended July 29, 2023 increased $2.8 million to $13.5 million from $10.7 million for the thirteen weeks ended July 30, 2022. EBITDA for the twenty-six weeks ended July 29, 2023 increased $3.8 million from $ 32.1 million from the twenty-six weeks ended July 30, 2022 The increase in EBITDA is primarily driven by a decrease in freight costs coupled with an increase in consolidated revenues, allowing for a leverage of merchandise and distribution costs compared to the prior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88"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5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will have 14 weeks.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July 29, 2023, we had a consolidated cash balance of $32.6 million, 85%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56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July 29,</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July 30,</w:t>
            </w:r>
          </w:p>
        </w:tc>
        <w:tc>
          <w:tcPr>
            <w:tcW w:w="8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(6,138)</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(4,064)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(21,540)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(18,408)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increased $25.1 million for the twenty-six weeks ended July 29, 2023,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twenty-six weeks ended July 30, 2022. This increase in cash from operating activities was primarily driven by a decrease in cash spent on inventory purchases, as in the prior year, we proactively and strategically accelerated the timing of our order placement to mitigate the inflationary pressures experienced in the first half of fiscal 2022, coupled with increased sales volume, resulting in higher net income.</w:t>
      </w:r>
    </w:p>
    <w:p>
      <w:pPr>
        <w:spacing w:after="0" w:line="17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increased $2.1 million for the twenty-six weeks ended July 29, 2023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July 30, 2022. This increase in cash used in investing activities was primarily driven by an increase in spending on capital expenditures related to information technology projects and new store openings.</w:t>
      </w:r>
    </w:p>
    <w:p>
      <w:pPr>
        <w:sectPr>
          <w:pgSz w:w="11900" w:h="16838" w:orient="portrait"/>
          <w:cols w:equalWidth="0" w:num="1">
            <w:col w:w="11220"/>
          </w:cols>
          <w:pgMar w:left="320" w:top="125" w:right="359" w:bottom="226" w:gutter="0" w:footer="0" w:header="0"/>
        </w:sectPr>
      </w:pPr>
    </w:p>
    <w:bookmarkStart w:id="24" w:name="page25"/>
    <w:bookmarkEnd w:id="24"/>
    <w:p>
      <w:pPr>
        <w:ind w:firstLine="648"/>
        <w:spacing w:after="0" w:line="238" w:lineRule="auto"/>
        <w:rPr>
          <w:sz w:val="20"/>
          <w:szCs w:val="20"/>
          <w:color w:val="auto"/>
        </w:rPr>
      </w:pPr>
      <w:r>
        <w:rPr>
          <w:rFonts w:ascii="Arial" w:cs="Arial" w:eastAsia="Arial" w:hAnsi="Arial"/>
          <w:sz w:val="22"/>
          <w:szCs w:val="22"/>
          <w:i w:val="1"/>
          <w:iCs w:val="1"/>
          <w:color w:val="auto"/>
        </w:rPr>
        <w:t xml:space="preserve">Financing Activities. </w:t>
      </w:r>
      <w:r>
        <w:rPr>
          <w:rFonts w:ascii="Arial" w:cs="Arial" w:eastAsia="Arial" w:hAnsi="Arial"/>
          <w:sz w:val="22"/>
          <w:szCs w:val="22"/>
          <w:color w:val="auto"/>
        </w:rPr>
        <w:t>Cash used in financing activities increased $13.7 million for the twenty-six weeks ended July 29,</w:t>
      </w:r>
      <w:r>
        <w:rPr>
          <w:rFonts w:ascii="Arial" w:cs="Arial" w:eastAsia="Arial" w:hAnsi="Arial"/>
          <w:sz w:val="22"/>
          <w:szCs w:val="22"/>
          <w:i w:val="1"/>
          <w:iCs w:val="1"/>
          <w:color w:val="auto"/>
        </w:rPr>
        <w:t xml:space="preserve"> </w:t>
      </w:r>
      <w:r>
        <w:rPr>
          <w:rFonts w:ascii="Arial" w:cs="Arial" w:eastAsia="Arial" w:hAnsi="Arial"/>
          <w:sz w:val="22"/>
          <w:szCs w:val="22"/>
          <w:color w:val="auto"/>
        </w:rPr>
        <w:t>2023, as compared to the twenty-six weeks ended July 30, 2022. This increase in cash used in financing activities was driven primarily by the payment of the special cash dividend of $22.1 million and was offset by a decrease in repurchases of our common stock during the twenty-six weeks ended July 29, 2023.</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We have a revolving credit and security agreement with PNC Bank, as agent, that provides for a secured revolving loan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of up to $25.0 million, subject to a borrowing base formula. As of July 29, 2023, borrowings under the agreement bore interest at (a) a base rate determined under the agreement, or (b) the borrower's option, at a rate based on SOFR, plus in either case a margin based on average undrawn availability as determined in accordance with the agreement. As of July 29, 2023, our borrowing base was $25.0 million. As a result of a $250,000 letter of credit outstanding against the line of credit, approximately $24.7 million was available for borrowing as of July 29, 2023. We had no outstanding borrowings as of July 29, 2023.</w:t>
      </w:r>
    </w:p>
    <w:p>
      <w:pPr>
        <w:spacing w:after="0" w:line="192"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Most of our corporately-operated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Business rates also change according to government time schedules to reflect current market rental rates for the locations we lease. Rents are invoiced monthly or quarterly and paid in advance.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Capital spending through the twenty-six weeks ended July 29, 2023 totaled $6.1 million for information technology projects and new store openings, and we expect to spend approximately $15 to $20 million on capital expenditures in fiscal 2023.</w:t>
      </w:r>
    </w:p>
    <w:p>
      <w:pPr>
        <w:spacing w:after="0" w:line="170" w:lineRule="exact"/>
        <w:rPr>
          <w:sz w:val="20"/>
          <w:szCs w:val="20"/>
          <w:color w:val="auto"/>
        </w:rPr>
      </w:pPr>
    </w:p>
    <w:p>
      <w:pPr>
        <w:ind w:left="160" w:right="220" w:firstLine="486"/>
        <w:spacing w:after="0" w:line="277" w:lineRule="auto"/>
        <w:rPr>
          <w:sz w:val="20"/>
          <w:szCs w:val="20"/>
          <w:color w:val="auto"/>
        </w:rPr>
      </w:pPr>
      <w:r>
        <w:rPr>
          <w:rFonts w:ascii="Arial" w:cs="Arial" w:eastAsia="Arial" w:hAnsi="Arial"/>
          <w:sz w:val="18"/>
          <w:szCs w:val="18"/>
          <w:color w:val="auto"/>
        </w:rPr>
        <w:t>Total inventory at quarter end was $66.3 million, a decrease of $21.4 million from the end of the fiscal 2022 second quarter. We are comfortable with the composition and level of our inventory.</w:t>
      </w:r>
    </w:p>
    <w:p>
      <w:pPr>
        <w:spacing w:after="0" w:line="170" w:lineRule="exact"/>
        <w:rPr>
          <w:sz w:val="20"/>
          <w:szCs w:val="20"/>
          <w:color w:val="auto"/>
        </w:rPr>
      </w:pPr>
    </w:p>
    <w:p>
      <w:pPr>
        <w:ind w:left="160" w:firstLine="486"/>
        <w:spacing w:after="0" w:line="286" w:lineRule="auto"/>
        <w:rPr>
          <w:sz w:val="20"/>
          <w:szCs w:val="20"/>
          <w:color w:val="auto"/>
        </w:rPr>
      </w:pPr>
      <w:r>
        <w:rPr>
          <w:rFonts w:ascii="Arial" w:cs="Arial" w:eastAsia="Arial" w:hAnsi="Arial"/>
          <w:sz w:val="17"/>
          <w:szCs w:val="17"/>
          <w:color w:val="auto"/>
        </w:rPr>
        <w:t>We have various contractual or other obligations, including operating lease commitments and obligations under deferred compensation plans. As of July 29, 2023, we had purchase obligations totaling approximately $83.7 million, of which $27.2 million are due in the next 12 months. We believe our operating cash flows are sufficient to meet our material cash requirements for at least the next 12 months.</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utilized $8.1 million in cash to repurchase 394,321 shares during the twenty-six weeks ended July 29, 2023. As of September 7, 2023, we have $35.3 millionavailable under the current $50.0 million stock repurchase program adopted on August 31,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Global inflation is well above recent levels and global interest rates have risen in an effort to curb inflation. The impact of inflation on the Company's business operations was seen throughout fiscal 2022 and continued to adversely affect our business in fiscal 2023, mainly through rising store labor costs. However, we continue to take mitigating actions, such as select strategic price increases on highly sought-after products, and leveraging distribution costs. We expect the inflationary pressures experienced thus far in fiscal 2023 to continue throughout the rest of fiscal 2023, specifically through wage increases but also anticipate a reduction of freight costs compared to the prior year. We continue to monitor the impact of inflation on our business operations on an ongoing basis and may need to adjust our prices further to mitigate the impacts of changes to the rate of inflation during</w:t>
      </w:r>
    </w:p>
    <w:p>
      <w:pPr>
        <w:spacing w:after="0" w:line="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2023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and tension between China and Taiwan. We cannot provide an estimate or range of impact that such inflations may have on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due to the need to maintain higher inventory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28, 2023 as filed with the SEC on April 13, 2023, which includes audited consolidated financial statements for our 2022 and 2021 fiscal years. There have been no material changes to the critical accounting estimates disclosed in the 2022 Form 10-K.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See Note 1 to the Condensed Consolidated Financial Statements — Basis of Presentation — Recent Accounting Pronouncements – Adopted in the Current Year as disclosed in our Annual Report on Form 10-K for the year ended January 28, 2023 as filed with the SEC on April 13,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28, 2023 as filed with the SEC on April 13,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July 29, 2023,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the second quarter fiscal 2023, the Company continued its implementation of new software and control processes to manage inventory at its corporately-operated retail stores within its enterprise resource planning (ERP) system. The transition of this inventory management from the legacy system to the ERP system will occur in phases and is expected to be completed by the end of the third quarter fiscal 2023. This implementation is expected to have minimal effects on the Company's controls and processes over accounting for corporately-operated retail store inventory. Except for the changes to our inventory management process, no other changes in our internal control over financial reporting occurred during the quarter covered by this report that have materially affected, or are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28, 2023 as filed with the SEC on April 13,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(d) Maximum</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Shares (or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Purchased as</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Units) that May</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Shares (or</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(b) Average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Units)</w:t>
            </w: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Price Paid Per</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Plans or</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Purchased (1)</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Share (or Unit)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30, 2023 - May 27,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39,992,329</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May 28, 2023 - July 1, 2023</w:t>
            </w:r>
          </w:p>
        </w:tc>
        <w:tc>
          <w:tcPr>
            <w:tcW w:w="1280" w:type="dxa"/>
            <w:vAlign w:val="bottom"/>
          </w:tcPr>
          <w:p>
            <w:pPr>
              <w:jc w:val="right"/>
              <w:spacing w:after="0"/>
              <w:rPr>
                <w:sz w:val="20"/>
                <w:szCs w:val="20"/>
                <w:color w:val="auto"/>
              </w:rPr>
            </w:pPr>
            <w:r>
              <w:rPr>
                <w:rFonts w:ascii="Arial" w:cs="Arial" w:eastAsia="Arial" w:hAnsi="Arial"/>
                <w:sz w:val="18"/>
                <w:szCs w:val="18"/>
                <w:color w:val="auto"/>
              </w:rPr>
              <w:t>238,312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4,669,994</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35,322,335</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July 2, 2023 - July 29,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35,322,335</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394,321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20.48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8,076,834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35,322,335</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80" w:right="1080" w:hanging="349"/>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exhibits filed as a part of the quarterly report on Form 10-Q:</w:t>
      </w:r>
    </w:p>
    <w:p>
      <w:pPr>
        <w:spacing w:after="0" w:line="23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60"/>
        <w:spacing w:after="0" w:line="308" w:lineRule="auto"/>
        <w:rPr>
          <w:rFonts w:ascii="Arial" w:cs="Arial" w:eastAsia="Arial" w:hAnsi="Arial"/>
          <w:sz w:val="17"/>
          <w:szCs w:val="17"/>
          <w:u w:val="single" w:color="auto"/>
          <w:color w:val="0000EE"/>
        </w:rPr>
      </w:pPr>
      <w:hyperlink r:id="rId41">
        <w:r>
          <w:rPr>
            <w:rFonts w:ascii="Arial" w:cs="Arial" w:eastAsia="Arial" w:hAnsi="Arial"/>
            <w:sz w:val="17"/>
            <w:szCs w:val="17"/>
            <w:u w:val="single" w:color="auto"/>
            <w:color w:val="0000EE"/>
          </w:rPr>
          <w:t>Agreement and Plan of Merger dated April 3, 2000 between Build-A-Bear Workshop, L.L.C. and the Registrant (incorporated by reference</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from Exhibit 2.1 to our Registration Statement on Form S-1, filed on August 12, 2004, Registration No. 333-118142)</w:t>
        </w:r>
      </w:hyperlink>
    </w:p>
    <w:p>
      <w:pPr>
        <w:spacing w:after="0" w:line="146" w:lineRule="exact"/>
        <w:rPr>
          <w:sz w:val="20"/>
          <w:szCs w:val="20"/>
          <w:color w:val="auto"/>
        </w:rPr>
      </w:pPr>
    </w:p>
    <w:p>
      <w:pPr>
        <w:ind w:right="220"/>
        <w:spacing w:after="0" w:line="277"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Third Amended and Restated Certificate of Incorporation (incorporated by reference from Exhibit 3.1 of our Current Report on Form 8-K,</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filed on November 11, 2004)</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Amended and Restated Bylaws, as amended through February 23, 2016 (incorporated by reference from Exhibit 3.1 of our Current Report on</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Form 8-K, filed on February 24, 2016)</w:t>
        </w:r>
      </w:hyperlink>
    </w:p>
    <w:p>
      <w:pPr>
        <w:spacing w:after="0" w:line="170" w:lineRule="exact"/>
        <w:rPr>
          <w:sz w:val="20"/>
          <w:szCs w:val="20"/>
          <w:color w:val="auto"/>
        </w:rPr>
      </w:pPr>
    </w:p>
    <w:p>
      <w:pPr>
        <w:ind w:right="300"/>
        <w:spacing w:after="0" w:line="277" w:lineRule="auto"/>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Specimen Stock Certificate (incorporated by reference from Exhibit 4.1 to Amendment No. 3 to our Registration Statement on Form S-1,</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filed on October 1, 2004, Registration No. 333-118142)</w:t>
        </w:r>
      </w:hyperlink>
    </w:p>
    <w:p>
      <w:pPr>
        <w:spacing w:after="0" w:line="153" w:lineRule="exact"/>
        <w:rPr>
          <w:sz w:val="20"/>
          <w:szCs w:val="20"/>
          <w:color w:val="auto"/>
        </w:rPr>
      </w:pPr>
    </w:p>
    <w:p>
      <w:pPr>
        <w:sectPr>
          <w:pgSz w:w="11900" w:h="16838" w:orient="portrait"/>
          <w:cols w:equalWidth="0" w:num="2">
            <w:col w:w="300" w:space="720"/>
            <w:col w:w="1018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gridSpan w:val="6"/>
          </w:tcPr>
          <w:p>
            <w:pPr>
              <w:spacing w:after="0"/>
              <w:rPr>
                <w:sz w:val="20"/>
                <w:szCs w:val="20"/>
                <w:color w:val="auto"/>
              </w:rPr>
            </w:pPr>
            <w:r>
              <w:rPr>
                <w:rFonts w:ascii="Arial" w:cs="Arial" w:eastAsia="Arial" w:hAnsi="Arial"/>
                <w:sz w:val="18"/>
                <w:szCs w:val="18"/>
                <w:color w:val="0000EE"/>
                <w:w w:val="93"/>
              </w:rPr>
              <w:t>Rule 13a-14(a)/15d-14(a) certification (pursuant to Section 302 of the Sarbanes-Oxley Act of 2002, executed by the President and Chief</w:t>
            </w:r>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Executive Officer)</w:t>
            </w:r>
          </w:p>
        </w:tc>
        <w:tc>
          <w:tcPr>
            <w:tcW w:w="3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Rule 13a-14(a)/15d-14(a) certification (pursuant to Section 302 of the Sarbanes-Oxley Act of 2002, executed by the Chief Financial Officer)</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Section 1350 Certification (pursuant to Section 906 of the Sarbanes-Oxley Act of 2002, executed by the President and Chief Executive</w:t>
            </w:r>
          </w:p>
        </w:tc>
        <w:tc>
          <w:tcPr>
            <w:tcW w:w="4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Officer)</w:t>
            </w:r>
          </w:p>
        </w:tc>
        <w:tc>
          <w:tcPr>
            <w:tcW w:w="9540" w:type="dxa"/>
            <w:vAlign w:val="bottom"/>
            <w:gridSpan w:val="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gridSpan w:val="6"/>
          </w:tcPr>
          <w:p>
            <w:pPr>
              <w:spacing w:after="0"/>
              <w:rPr>
                <w:sz w:val="20"/>
                <w:szCs w:val="20"/>
                <w:color w:val="auto"/>
              </w:rPr>
            </w:pPr>
            <w:r>
              <w:rPr>
                <w:rFonts w:ascii="Arial" w:cs="Arial" w:eastAsia="Arial" w:hAnsi="Arial"/>
                <w:sz w:val="18"/>
                <w:szCs w:val="18"/>
                <w:color w:val="0000EE"/>
                <w:w w:val="99"/>
              </w:rPr>
              <w:t>Section 1350 Certification (pursuant to Section 906 of the Sarbanes-Oxley Act of 2002, executed by the Chief Financial Officer)</w:t>
            </w:r>
          </w:p>
        </w:tc>
      </w:tr>
      <w:tr>
        <w:trPr>
          <w:trHeight w:val="20"/>
        </w:trPr>
        <w:tc>
          <w:tcPr>
            <w:tcW w:w="1020" w:type="dxa"/>
            <w:vAlign w:val="bottom"/>
          </w:tcPr>
          <w:p>
            <w:pPr>
              <w:spacing w:after="0" w:line="20" w:lineRule="exact"/>
              <w:rPr>
                <w:sz w:val="1"/>
                <w:szCs w:val="1"/>
                <w:color w:val="auto"/>
              </w:rPr>
            </w:pPr>
          </w:p>
        </w:tc>
        <w:tc>
          <w:tcPr>
            <w:tcW w:w="926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Extension Presentation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29, 2023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29, 2023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5"/>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41" Type="http://schemas.openxmlformats.org/officeDocument/2006/relationships/hyperlink" Target="http://www.sec.gov/Archives/edgar/data/1113809/000095013704006634/c86750exv2w1.txt" TargetMode="External"/><Relationship Id="rId42" Type="http://schemas.openxmlformats.org/officeDocument/2006/relationships/hyperlink" Target="http://www.sec.gov/Archives/edgar/data/1113809/000095013804000748/exh3-1.htm" TargetMode="External"/><Relationship Id="rId43" Type="http://schemas.openxmlformats.org/officeDocument/2006/relationships/hyperlink" Target="http://www.sec.gov/Archives/edgar/data/1113809/000115752316004713/a51286063ex3_1.htm" TargetMode="External"/><Relationship Id="rId44"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2023-09-07T08:27:05Z</dcterms:created>
  <dcterms:modified xsi:type="dcterms:W3CDTF">2023-09-07T08:27:05Z</dcterms:modified>
</cp:coreProperties>
</file>