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195580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500" w:right="4160" w:hanging="492"/>
        <w:spacing w:after="0" w:line="524" w:lineRule="auto"/>
        <w:tabs>
          <w:tab w:leader="none" w:pos="5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August 4, 2018</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66" w:lineRule="exact"/>
        <w:rPr>
          <w:sz w:val="24"/>
          <w:szCs w:val="24"/>
          <w:color w:val="auto"/>
        </w:rPr>
      </w:pPr>
    </w:p>
    <w:p>
      <w:pPr>
        <w:ind w:left="50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1819275</wp:posOffset>
            </wp:positionH>
            <wp:positionV relativeFrom="paragraph">
              <wp:posOffset>-7620</wp:posOffset>
            </wp:positionV>
            <wp:extent cx="866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775" cy="8890"/>
                    </a:xfrm>
                    <a:prstGeom prst="rect">
                      <a:avLst/>
                    </a:prstGeom>
                    <a:noFill/>
                  </pic:spPr>
                </pic:pic>
              </a:graphicData>
            </a:graphic>
          </wp:anchor>
        </w:drawing>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189230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BUILD-A-BEAR WORKSHOP,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240" w:type="dxa"/>
        <w:tblCellMar>
          <w:top w:w="0" w:type="dxa"/>
          <w:left w:w="0" w:type="dxa"/>
          <w:bottom w:w="0" w:type="dxa"/>
          <w:right w:w="0" w:type="dxa"/>
        </w:tblCellMar>
      </w:tblPr>
      <w:tr>
        <w:trPr>
          <w:trHeight w:val="216"/>
        </w:trPr>
        <w:tc>
          <w:tcPr>
            <w:tcW w:w="350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Delaware</w:t>
            </w:r>
          </w:p>
        </w:tc>
        <w:tc>
          <w:tcPr>
            <w:tcW w:w="4300" w:type="dxa"/>
            <w:vAlign w:val="bottom"/>
          </w:tcPr>
          <w:p>
            <w:pPr>
              <w:jc w:val="right"/>
              <w:ind w:right="190"/>
              <w:spacing w:after="0"/>
              <w:rPr>
                <w:sz w:val="20"/>
                <w:szCs w:val="20"/>
                <w:color w:val="auto"/>
              </w:rPr>
            </w:pPr>
            <w:r>
              <w:rPr>
                <w:rFonts w:ascii="Arial" w:cs="Arial" w:eastAsia="Arial" w:hAnsi="Arial"/>
                <w:sz w:val="18"/>
                <w:szCs w:val="18"/>
                <w:b w:val="1"/>
                <w:bCs w:val="1"/>
                <w:color w:val="auto"/>
              </w:rPr>
              <w:t>43-1883836</w:t>
            </w:r>
          </w:p>
        </w:tc>
      </w:tr>
      <w:tr>
        <w:trPr>
          <w:trHeight w:val="216"/>
        </w:trPr>
        <w:tc>
          <w:tcPr>
            <w:tcW w:w="350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(State or Other Jurisdiction of</w:t>
            </w:r>
          </w:p>
        </w:tc>
        <w:tc>
          <w:tcPr>
            <w:tcW w:w="4300" w:type="dxa"/>
            <w:vAlign w:val="bottom"/>
          </w:tcPr>
          <w:p>
            <w:pPr>
              <w:jc w:val="center"/>
              <w:ind w:left="27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500" w:type="dxa"/>
            <w:vAlign w:val="bottom"/>
          </w:tcPr>
          <w:p>
            <w:pPr>
              <w:jc w:val="center"/>
              <w:ind w:right="310"/>
              <w:spacing w:after="0"/>
              <w:rPr>
                <w:sz w:val="20"/>
                <w:szCs w:val="20"/>
                <w:color w:val="auto"/>
              </w:rPr>
            </w:pPr>
            <w:r>
              <w:rPr>
                <w:rFonts w:ascii="Arial" w:cs="Arial" w:eastAsia="Arial" w:hAnsi="Arial"/>
                <w:sz w:val="18"/>
                <w:szCs w:val="18"/>
                <w:b w:val="1"/>
                <w:bCs w:val="1"/>
                <w:color w:val="auto"/>
                <w:w w:val="93"/>
              </w:rPr>
              <w:t>Incorporation or Organization)</w:t>
            </w:r>
          </w:p>
        </w:tc>
        <w:tc>
          <w:tcPr>
            <w:tcW w:w="4300" w:type="dxa"/>
            <w:vAlign w:val="bottom"/>
          </w:tcPr>
          <w:p>
            <w:pPr>
              <w:jc w:val="center"/>
              <w:ind w:left="2790"/>
              <w:spacing w:after="0"/>
              <w:rPr>
                <w:sz w:val="20"/>
                <w:szCs w:val="20"/>
                <w:color w:val="auto"/>
              </w:rPr>
            </w:pPr>
            <w:r>
              <w:rPr>
                <w:rFonts w:ascii="Arial" w:cs="Arial" w:eastAsia="Arial" w:hAnsi="Arial"/>
                <w:sz w:val="18"/>
                <w:szCs w:val="18"/>
                <w:b w:val="1"/>
                <w:bCs w:val="1"/>
                <w:color w:val="auto"/>
                <w:w w:val="93"/>
              </w:rPr>
              <w:t>Identification No.)</w:t>
            </w:r>
          </w:p>
        </w:tc>
      </w:tr>
      <w:tr>
        <w:trPr>
          <w:trHeight w:val="630"/>
        </w:trPr>
        <w:tc>
          <w:tcPr>
            <w:tcW w:w="350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1954 Innerbelt Business Center Drive</w:t>
            </w:r>
          </w:p>
        </w:tc>
        <w:tc>
          <w:tcPr>
            <w:tcW w:w="4300" w:type="dxa"/>
            <w:vAlign w:val="bottom"/>
          </w:tcPr>
          <w:p>
            <w:pPr>
              <w:spacing w:after="0"/>
              <w:rPr>
                <w:sz w:val="24"/>
                <w:szCs w:val="24"/>
                <w:color w:val="auto"/>
              </w:rPr>
            </w:pPr>
          </w:p>
        </w:tc>
      </w:tr>
      <w:tr>
        <w:trPr>
          <w:trHeight w:val="216"/>
        </w:trPr>
        <w:tc>
          <w:tcPr>
            <w:tcW w:w="350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St. Louis, Missouri</w:t>
            </w:r>
          </w:p>
        </w:tc>
        <w:tc>
          <w:tcPr>
            <w:tcW w:w="4300" w:type="dxa"/>
            <w:vAlign w:val="bottom"/>
          </w:tcPr>
          <w:p>
            <w:pPr>
              <w:jc w:val="right"/>
              <w:ind w:right="410"/>
              <w:spacing w:after="0"/>
              <w:rPr>
                <w:sz w:val="20"/>
                <w:szCs w:val="20"/>
                <w:color w:val="auto"/>
              </w:rPr>
            </w:pPr>
            <w:r>
              <w:rPr>
                <w:rFonts w:ascii="Arial" w:cs="Arial" w:eastAsia="Arial" w:hAnsi="Arial"/>
                <w:sz w:val="18"/>
                <w:szCs w:val="18"/>
                <w:b w:val="1"/>
                <w:bCs w:val="1"/>
                <w:color w:val="auto"/>
              </w:rPr>
              <w:t>63114</w:t>
            </w:r>
          </w:p>
        </w:tc>
      </w:tr>
      <w:tr>
        <w:trPr>
          <w:trHeight w:val="234"/>
        </w:trPr>
        <w:tc>
          <w:tcPr>
            <w:tcW w:w="350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4300" w:type="dxa"/>
            <w:vAlign w:val="bottom"/>
          </w:tcPr>
          <w:p>
            <w:pPr>
              <w:jc w:val="center"/>
              <w:ind w:left="2770"/>
              <w:spacing w:after="0"/>
              <w:rPr>
                <w:sz w:val="20"/>
                <w:szCs w:val="20"/>
                <w:color w:val="auto"/>
              </w:rPr>
            </w:pPr>
            <w:r>
              <w:rPr>
                <w:rFonts w:ascii="Arial" w:cs="Arial" w:eastAsia="Arial" w:hAnsi="Arial"/>
                <w:sz w:val="18"/>
                <w:szCs w:val="18"/>
                <w:b w:val="1"/>
                <w:bCs w:val="1"/>
                <w:color w:val="auto"/>
                <w:w w:val="94"/>
              </w:rPr>
              <w:t>(Zip Code)</w:t>
            </w:r>
          </w:p>
        </w:tc>
      </w:tr>
      <w:tr>
        <w:trPr>
          <w:trHeight w:val="432"/>
        </w:trPr>
        <w:tc>
          <w:tcPr>
            <w:tcW w:w="3500" w:type="dxa"/>
            <w:vAlign w:val="bottom"/>
          </w:tcPr>
          <w:p>
            <w:pPr>
              <w:spacing w:after="0"/>
              <w:rPr>
                <w:sz w:val="24"/>
                <w:szCs w:val="24"/>
                <w:color w:val="auto"/>
              </w:rPr>
            </w:pPr>
          </w:p>
        </w:tc>
        <w:tc>
          <w:tcPr>
            <w:tcW w:w="4300" w:type="dxa"/>
            <w:vAlign w:val="bottom"/>
          </w:tcPr>
          <w:p>
            <w:pPr>
              <w:jc w:val="right"/>
              <w:ind w:right="2670"/>
              <w:spacing w:after="0"/>
              <w:rPr>
                <w:sz w:val="20"/>
                <w:szCs w:val="20"/>
                <w:color w:val="auto"/>
              </w:rPr>
            </w:pPr>
            <w:r>
              <w:rPr>
                <w:rFonts w:ascii="Arial" w:cs="Arial" w:eastAsia="Arial" w:hAnsi="Arial"/>
                <w:sz w:val="18"/>
                <w:szCs w:val="18"/>
                <w:b w:val="1"/>
                <w:bCs w:val="1"/>
                <w:color w:val="auto"/>
              </w:rPr>
              <w:t>(314) 423-8000</w:t>
            </w:r>
          </w:p>
        </w:tc>
      </w:tr>
    </w:tbl>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left="4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right="22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692" w:right="279" w:bottom="316" w:gutter="0" w:footer="0" w:header="0"/>
        </w:sectPr>
      </w:pP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3">
            <w:col w:w="1620" w:space="100"/>
            <w:col w:w="5160" w:space="720"/>
            <w:col w:w="3780"/>
          </w:cols>
          <w:pgMar w:left="240" w:top="692" w:right="279" w:bottom="316" w:gutter="0" w:footer="0" w:header="0"/>
          <w:type w:val="continuous"/>
        </w:sectPr>
      </w:pPr>
    </w:p>
    <w:p>
      <w:pPr>
        <w:spacing w:after="0" w:line="1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80"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880" w:space="720"/>
            <w:col w:w="3780"/>
          </w:cols>
          <w:pgMar w:left="240" w:top="692" w:right="279" w:bottom="316" w:gutter="0" w:footer="0" w:header="0"/>
          <w:type w:val="continuous"/>
        </w:sectPr>
      </w:pPr>
    </w:p>
    <w:p>
      <w:pPr>
        <w:spacing w:after="0" w:line="32" w:lineRule="exact"/>
        <w:rPr>
          <w:sz w:val="24"/>
          <w:szCs w:val="24"/>
          <w:color w:val="auto"/>
        </w:rPr>
      </w:pPr>
    </w:p>
    <w:p>
      <w:pPr>
        <w:ind w:left="220"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14(a)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220"/>
        <w:spacing w:after="0" w:line="207" w:lineRule="exact"/>
        <w:tabs>
          <w:tab w:leader="none" w:pos="8560" w:val="left"/>
          <w:tab w:leader="none" w:pos="92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September 6, 2018, there were 14,971,775 issued and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692" w:right="279" w:bottom="316"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90805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20" w:type="dxa"/>
            <w:vAlign w:val="bottom"/>
            <w:gridSpan w:val="21"/>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400" w:type="dxa"/>
            <w:vAlign w:val="bottom"/>
            <w:gridSpan w:val="2"/>
          </w:tcPr>
          <w:p>
            <w:pPr>
              <w:spacing w:after="0"/>
              <w:rPr>
                <w:sz w:val="20"/>
                <w:szCs w:val="20"/>
                <w:color w:val="auto"/>
              </w:rPr>
            </w:pPr>
            <w:r>
              <w:rPr>
                <w:rFonts w:ascii="Arial" w:cs="Arial" w:eastAsia="Arial" w:hAnsi="Arial"/>
                <w:sz w:val="18"/>
                <w:szCs w:val="18"/>
                <w:color w:val="auto"/>
                <w:w w:val="90"/>
              </w:rPr>
              <w:t>Page</w:t>
            </w:r>
          </w:p>
        </w:tc>
        <w:tc>
          <w:tcPr>
            <w:tcW w:w="0" w:type="dxa"/>
            <w:vAlign w:val="bottom"/>
          </w:tcPr>
          <w:p>
            <w:pPr>
              <w:spacing w:after="0"/>
              <w:rPr>
                <w:sz w:val="1"/>
                <w:szCs w:val="1"/>
                <w:color w:val="auto"/>
              </w:rPr>
            </w:pPr>
          </w:p>
        </w:tc>
      </w:tr>
      <w:tr>
        <w:trPr>
          <w:trHeight w:val="196"/>
        </w:trPr>
        <w:tc>
          <w:tcPr>
            <w:tcW w:w="11020" w:type="dxa"/>
            <w:vAlign w:val="bottom"/>
            <w:gridSpan w:val="21"/>
            <w:vMerge w:val="continue"/>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80" w:type="dxa"/>
            <w:vAlign w:val="bottom"/>
            <w:gridSpan w:val="3"/>
          </w:tcPr>
          <w:p>
            <w:pPr>
              <w:spacing w:after="0"/>
              <w:rPr>
                <w:sz w:val="24"/>
                <w:szCs w:val="24"/>
                <w:color w:val="auto"/>
              </w:rPr>
            </w:pPr>
          </w:p>
        </w:tc>
        <w:tc>
          <w:tcPr>
            <w:tcW w:w="1010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94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6720" w:type="dxa"/>
            <w:vAlign w:val="bottom"/>
            <w:gridSpan w:val="7"/>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60" w:type="dxa"/>
            <w:vAlign w:val="bottom"/>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and Comprehensive Income (Loss)</w:t>
              </w:r>
            </w:hyperlink>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2500" w:type="dxa"/>
            <w:vAlign w:val="bottom"/>
            <w:tcBorders>
              <w:top w:val="single" w:sz="8" w:color="0000EE"/>
            </w:tcBorders>
            <w:gridSpan w:val="5"/>
          </w:tcPr>
          <w:p>
            <w:pPr>
              <w:spacing w:after="0"/>
              <w:rPr>
                <w:sz w:val="17"/>
                <w:szCs w:val="17"/>
                <w:color w:val="auto"/>
              </w:rPr>
            </w:pPr>
          </w:p>
        </w:tc>
        <w:tc>
          <w:tcPr>
            <w:tcW w:w="3440" w:type="dxa"/>
            <w:vAlign w:val="bottom"/>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79"/>
              </w:rPr>
              <w:t>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566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2.</w:t>
              </w:r>
            </w:hyperlink>
          </w:p>
        </w:tc>
        <w:tc>
          <w:tcPr>
            <w:tcW w:w="180" w:type="dxa"/>
            <w:vAlign w:val="bottom"/>
            <w:gridSpan w:val="3"/>
          </w:tcPr>
          <w:p>
            <w:pPr>
              <w:spacing w:after="0"/>
              <w:rPr>
                <w:sz w:val="24"/>
                <w:szCs w:val="24"/>
                <w:color w:val="auto"/>
              </w:rPr>
            </w:pPr>
          </w:p>
        </w:tc>
        <w:tc>
          <w:tcPr>
            <w:tcW w:w="10100" w:type="dxa"/>
            <w:vAlign w:val="bottom"/>
            <w:gridSpan w:val="15"/>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3.</w:t>
              </w:r>
            </w:hyperlink>
          </w:p>
        </w:tc>
        <w:tc>
          <w:tcPr>
            <w:tcW w:w="180" w:type="dxa"/>
            <w:vAlign w:val="bottom"/>
            <w:gridSpan w:val="3"/>
          </w:tcPr>
          <w:p>
            <w:pPr>
              <w:spacing w:after="0"/>
              <w:rPr>
                <w:sz w:val="24"/>
                <w:szCs w:val="24"/>
                <w:color w:val="auto"/>
              </w:rPr>
            </w:pPr>
          </w:p>
        </w:tc>
        <w:tc>
          <w:tcPr>
            <w:tcW w:w="4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640" w:type="dxa"/>
            <w:vAlign w:val="bottom"/>
            <w:gridSpan w:val="2"/>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4.</w:t>
              </w:r>
            </w:hyperlink>
          </w:p>
        </w:tc>
        <w:tc>
          <w:tcPr>
            <w:tcW w:w="180" w:type="dxa"/>
            <w:vAlign w:val="bottom"/>
            <w:gridSpan w:val="3"/>
          </w:tcPr>
          <w:p>
            <w:pPr>
              <w:spacing w:after="0"/>
              <w:rPr>
                <w:sz w:val="24"/>
                <w:szCs w:val="24"/>
                <w:color w:val="auto"/>
              </w:rPr>
            </w:pP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Controls and Procedures</w:t>
              </w:r>
            </w:hyperlink>
          </w:p>
        </w:tc>
        <w:tc>
          <w:tcPr>
            <w:tcW w:w="8320" w:type="dxa"/>
            <w:vAlign w:val="bottom"/>
            <w:gridSpan w:val="9"/>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2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Part II Other Information</w:t>
              </w:r>
            </w:hyperlink>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1A.</w:t>
              </w:r>
            </w:hyperlink>
          </w:p>
        </w:tc>
        <w:tc>
          <w:tcPr>
            <w:tcW w:w="10100" w:type="dxa"/>
            <w:vAlign w:val="bottom"/>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2.</w:t>
              </w:r>
            </w:hyperlink>
          </w:p>
        </w:tc>
        <w:tc>
          <w:tcPr>
            <w:tcW w:w="12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4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Unregistered Sales of Equity Securities and Use of Proceeds</w:t>
              </w:r>
            </w:hyperlink>
          </w:p>
        </w:tc>
        <w:tc>
          <w:tcPr>
            <w:tcW w:w="5740" w:type="dxa"/>
            <w:vAlign w:val="bottom"/>
            <w:gridSpan w:val="5"/>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6.</w:t>
              </w:r>
            </w:hyperlink>
          </w:p>
        </w:tc>
        <w:tc>
          <w:tcPr>
            <w:tcW w:w="180" w:type="dxa"/>
            <w:vAlign w:val="bottom"/>
            <w:gridSpan w:val="3"/>
          </w:tcPr>
          <w:p>
            <w:pPr>
              <w:spacing w:after="0"/>
              <w:rPr>
                <w:sz w:val="24"/>
                <w:szCs w:val="24"/>
                <w:color w:val="auto"/>
              </w:rPr>
            </w:pPr>
          </w:p>
        </w:tc>
        <w:tc>
          <w:tcPr>
            <w:tcW w:w="10100" w:type="dxa"/>
            <w:vAlign w:val="bottom"/>
            <w:gridSpan w:val="1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00" w:type="dxa"/>
            <w:vAlign w:val="bottom"/>
            <w:gridSpan w:val="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60" w:type="dxa"/>
            <w:vAlign w:val="bottom"/>
            <w:gridSpan w:val="13"/>
          </w:tcPr>
          <w:p>
            <w:pPr>
              <w:ind w:left="47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August 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July 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93"/>
              </w:rPr>
              <w:t>(Unaudited)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530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20,398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30,445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47,833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53,136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59,368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13,686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13,346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12,789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90,610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110,229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76,157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77,751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4,847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6,381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assets, net</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2,633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174,809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197,989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182,285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Borders>
              <w:top w:val="single" w:sz="8" w:color="CCEEFF"/>
            </w:tcBorders>
          </w:tcPr>
          <w:p>
            <w:pPr>
              <w:spacing w:after="0"/>
              <w:rPr>
                <w:sz w:val="17"/>
                <w:szCs w:val="17"/>
                <w:color w:val="auto"/>
              </w:rPr>
            </w:pPr>
          </w:p>
        </w:tc>
        <w:tc>
          <w:tcPr>
            <w:tcW w:w="1500" w:type="dxa"/>
            <w:vAlign w:val="bottom"/>
            <w:tcBorders>
              <w:top w:val="single" w:sz="8" w:color="auto"/>
            </w:tcBorders>
            <w:gridSpan w:val="2"/>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15,046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18,942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12,482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15,189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Gift cards and customer deposits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33,926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Deferred revenue and other</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1,806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69,863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Deferred franchise revenue</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1,208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w w:val="97"/>
              </w:rPr>
              <w:t>Preferred stock, par value $0.01, Shares authorized: 15,000,000; No shares</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issued or outstanding at August 4, 2018, December 30, 2017 and July 29,</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2017</w:t>
            </w: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480"/>
              <w:spacing w:after="0" w:line="201" w:lineRule="exact"/>
              <w:rPr>
                <w:sz w:val="20"/>
                <w:szCs w:val="20"/>
                <w:color w:val="auto"/>
              </w:rPr>
            </w:pPr>
            <w:r>
              <w:rPr>
                <w:rFonts w:ascii="Arial" w:cs="Arial" w:eastAsia="Arial" w:hAnsi="Arial"/>
                <w:sz w:val="18"/>
                <w:szCs w:val="18"/>
                <w:color w:val="auto"/>
                <w:w w:val="96"/>
              </w:rPr>
              <w:t>Common stock, par value $0.01, Shares authorized: 50,000,000; Issued and</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w w:val="97"/>
              </w:rPr>
              <w:t>outstanding: 14,972,136, 15,515,960 and 16,033,667 shares, respectively</w:t>
            </w:r>
          </w:p>
        </w:tc>
        <w:tc>
          <w:tcPr>
            <w:tcW w:w="22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67,383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68,962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(12,015)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(11,562)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(11,901)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49,760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96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109,329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107,315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104,364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174,809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197,989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Thirteen weeks ended</w:t>
            </w:r>
          </w:p>
        </w:tc>
        <w:tc>
          <w:tcPr>
            <w:tcW w:w="160" w:type="dxa"/>
            <w:vAlign w:val="bottom"/>
          </w:tcPr>
          <w:p>
            <w:pPr>
              <w:spacing w:after="0"/>
              <w:rPr>
                <w:sz w:val="20"/>
                <w:szCs w:val="20"/>
                <w:color w:val="auto"/>
              </w:rPr>
            </w:pPr>
          </w:p>
        </w:tc>
        <w:tc>
          <w:tcPr>
            <w:tcW w:w="24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5"/>
              </w:rPr>
              <w:t>Twenty-six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5"/>
              </w:rPr>
              <w:t>August 4,</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w w:val="99"/>
              </w:rPr>
              <w:t>July 29,</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0"/>
              </w:rPr>
              <w:t>August 4,</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w w:val="99"/>
              </w:rPr>
              <w:t>July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Net retail sales</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81,037</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76,383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162,462</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revenue</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International franchising revenue</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166,362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Cost of merchandise sold - retail</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46,601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42,339</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91,986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merchandise sold - commercial</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Cost of merchandise sold - international franchising</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cost of merchandise sold</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93,975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Consolidated gross profit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35,606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72,387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Selling, general and administrative expense</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37,928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35,780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74,265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 (income), net</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ind w:left="960"/>
              <w:spacing w:after="0"/>
              <w:rPr>
                <w:sz w:val="20"/>
                <w:szCs w:val="20"/>
                <w:color w:val="auto"/>
              </w:rPr>
            </w:pPr>
            <w:r>
              <w:rPr>
                <w:rFonts w:ascii="Arial" w:cs="Arial" w:eastAsia="Arial" w:hAnsi="Arial"/>
                <w:sz w:val="18"/>
                <w:szCs w:val="18"/>
                <w:color w:val="auto"/>
              </w:rPr>
              <w:t>Income (loss) before income taxes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4,260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ind w:left="96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(1,800)</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(1,446)</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common share:</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Basic</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(0.12)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(0.10)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Diluted</w:t>
            </w:r>
          </w:p>
        </w:tc>
        <w:tc>
          <w:tcPr>
            <w:tcW w:w="11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(0.12)</w:t>
            </w:r>
          </w:p>
        </w:tc>
        <w:tc>
          <w:tcPr>
            <w:tcW w:w="2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(0.10)</w:t>
            </w:r>
          </w:p>
        </w:tc>
        <w:tc>
          <w:tcPr>
            <w:tcW w:w="2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common per share amounts: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Basic</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14,618,582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15,646,014</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14,600,578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15,603,909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14,618,582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15,871,274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14,600,578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15,785,939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Twenty-six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410"/>
              <w:spacing w:after="0" w:line="191" w:lineRule="exact"/>
              <w:rPr>
                <w:sz w:val="20"/>
                <w:szCs w:val="20"/>
                <w:color w:val="auto"/>
              </w:rPr>
            </w:pPr>
            <w:r>
              <w:rPr>
                <w:rFonts w:ascii="Arial" w:cs="Arial" w:eastAsia="Arial" w:hAnsi="Arial"/>
                <w:sz w:val="18"/>
                <w:szCs w:val="18"/>
                <w:b w:val="1"/>
                <w:bCs w:val="1"/>
                <w:color w:val="auto"/>
              </w:rPr>
              <w:t>August 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450"/>
              <w:spacing w:after="0" w:line="191" w:lineRule="exact"/>
              <w:rPr>
                <w:sz w:val="20"/>
                <w:szCs w:val="20"/>
                <w:color w:val="auto"/>
              </w:rPr>
            </w:pPr>
            <w:r>
              <w:rPr>
                <w:rFonts w:ascii="Arial" w:cs="Arial" w:eastAsia="Arial" w:hAnsi="Arial"/>
                <w:sz w:val="18"/>
                <w:szCs w:val="18"/>
                <w:b w:val="1"/>
                <w:bCs w:val="1"/>
                <w:color w:val="auto"/>
              </w:rPr>
              <w:t>July 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(1,446)</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8,138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Asset impairment</w:t>
            </w:r>
          </w:p>
        </w:tc>
        <w:tc>
          <w:tcPr>
            <w:tcW w:w="2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taxes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disposal of property and equipment</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Change in assets and liabilities: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Lease related liabilities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Gift cards and customer deposits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7,762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other assets and other intangible assets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property insurance</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Cash flow used in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exercise of employee stock options, net of withholding tax payments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Payments made under capital leases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Purchases of Company's common stock</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Cash flow used in financing activities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rates on cash</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21,499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27,696</w:t>
            </w: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20,398</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cash paid during the period for income taxes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1,721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December 30, 2017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December 30, 2017, which were included in the Company’s Annual Report on Form 10-K filed with the SEC on March 15, 2018. Certain amounts in prior fiscal periods have been reclassified to conform with the presentation adopted in the current fiscal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Fiscal Year</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In January 2018, the Company's Board of Directors approved a change in the Company’s fiscal year-end, which previously ended on the Saturday closest to December 31, to the Saturday closest to January 31. This change was effective following the end of the Company's 2017 fiscal year. The first 12-month fiscal year under the new calendar will encompass February 4, 2018 through February 2, 2019. Recast historical unaudited financial information for the thirteen and twenty-six weeks ended July 29, 2017 is included in the consolidated financial statements and accompanying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Adopted in the current year</w:t>
      </w:r>
    </w:p>
    <w:p>
      <w:pPr>
        <w:spacing w:after="0" w:line="225" w:lineRule="exact"/>
        <w:rPr>
          <w:sz w:val="20"/>
          <w:szCs w:val="20"/>
          <w:color w:val="auto"/>
        </w:rPr>
      </w:pPr>
    </w:p>
    <w:p>
      <w:pPr>
        <w:ind w:firstLine="401"/>
        <w:spacing w:after="0" w:line="272" w:lineRule="auto"/>
        <w:rPr>
          <w:sz w:val="20"/>
          <w:szCs w:val="20"/>
          <w:color w:val="auto"/>
        </w:rPr>
      </w:pPr>
      <w:r>
        <w:rPr>
          <w:rFonts w:ascii="Arial" w:cs="Arial" w:eastAsia="Arial" w:hAnsi="Arial"/>
          <w:sz w:val="17"/>
          <w:szCs w:val="17"/>
          <w:color w:val="auto"/>
        </w:rPr>
        <w:t>In March 2018, the FASB issued Accounting Standards Update (“ASU”) 2018-05, Income Taxes (Topic 740)—Amendments to SEC Paragraphs Pursuant to SEC Staff Accounting Bulletin No. 118, that codified SEC Staff Accounting Bulletin (“SAB”) No. 118, as it relates to allowing for recognition of provisional amounts related to the U.S. Tax Cuts and Jobs Act (“TCJA”) in the event that the accounting is not complete and a reasonable estimate can be made. Where necessary information is not available, prepared, or analyzed to determine a reasonable estimate, no provisional amount should be recorded. The guidance allows for a measurement period of up to one year from the enactment date to finalize the accounting related to the TCJA. The Company has applied the guidance in this update to its financial statements for the twenty-six weeks ended August 4, 2018 and will finalize and record any adjustments related to the TCJA within the one year measurement period.</w:t>
      </w:r>
    </w:p>
    <w:p>
      <w:pPr>
        <w:spacing w:after="0" w:line="178" w:lineRule="exact"/>
        <w:rPr>
          <w:sz w:val="20"/>
          <w:szCs w:val="20"/>
          <w:color w:val="auto"/>
        </w:rPr>
      </w:pPr>
    </w:p>
    <w:p>
      <w:pPr>
        <w:ind w:right="40" w:firstLine="401"/>
        <w:spacing w:after="0" w:line="273" w:lineRule="auto"/>
        <w:rPr>
          <w:sz w:val="20"/>
          <w:szCs w:val="20"/>
          <w:color w:val="auto"/>
        </w:rPr>
      </w:pPr>
      <w:r>
        <w:rPr>
          <w:rFonts w:ascii="Arial" w:cs="Arial" w:eastAsia="Arial" w:hAnsi="Arial"/>
          <w:sz w:val="17"/>
          <w:szCs w:val="17"/>
          <w:color w:val="auto"/>
        </w:rPr>
        <w:t>Effective December 31, 2017, the Company adopted Accounting Standards Codification (“ASC”) 606, Revenue from Contracts with Customers, and all the related amendments using the modified retrospective method for contracts that were not completed as of December 31, 2017. ASC 606 requires an entity to recognize revenue for the transfer of goods or services equal to the amount that it expects to be entitled to receive for those goods or services. The standard also requires additional disclosure about the nature, amount, timing and uncertainty of revenue and cash flows arising from customer contracts, including significant judgments and changes in judgments. Nearly all of the Company’s revenue is derived from retail sales (including e-commerce sites) and is recognized when control of the merchandise is transferred to the customer.</w:t>
      </w:r>
    </w:p>
    <w:p>
      <w:pPr>
        <w:spacing w:after="0" w:line="178" w:lineRule="exact"/>
        <w:rPr>
          <w:sz w:val="20"/>
          <w:szCs w:val="20"/>
          <w:color w:val="auto"/>
        </w:rPr>
      </w:pPr>
    </w:p>
    <w:p>
      <w:pPr>
        <w:ind w:right="60" w:firstLine="401"/>
        <w:spacing w:after="0" w:line="279" w:lineRule="auto"/>
        <w:rPr>
          <w:sz w:val="20"/>
          <w:szCs w:val="20"/>
          <w:color w:val="auto"/>
        </w:rPr>
      </w:pPr>
      <w:r>
        <w:rPr>
          <w:rFonts w:ascii="Arial" w:cs="Arial" w:eastAsia="Arial" w:hAnsi="Arial"/>
          <w:sz w:val="17"/>
          <w:szCs w:val="17"/>
          <w:color w:val="auto"/>
        </w:rPr>
        <w:t>The Company’s most significant ASC 606 impact relates to accounting for gift card breakage. The Company's adjustment for gift card breakage reflects the impact of the change to recognize gift card breakage proportionately as gift card balances are used rather than when it is deemed remote that the unused gift card balance would be redeemed, as done for certain categories of gift cards under the previous standards. In addition, the Company has identified minor changes to the timing of revenues for certain outbound licensing arrangements and international franchise agreements.</w:t>
      </w:r>
    </w:p>
    <w:p>
      <w:pPr>
        <w:spacing w:after="0" w:line="171" w:lineRule="exact"/>
        <w:rPr>
          <w:sz w:val="20"/>
          <w:szCs w:val="20"/>
          <w:color w:val="auto"/>
        </w:rPr>
      </w:pPr>
    </w:p>
    <w:p>
      <w:pPr>
        <w:ind w:right="280" w:firstLine="401"/>
        <w:spacing w:after="0" w:line="302" w:lineRule="auto"/>
        <w:rPr>
          <w:sz w:val="20"/>
          <w:szCs w:val="20"/>
          <w:color w:val="auto"/>
        </w:rPr>
      </w:pPr>
      <w:r>
        <w:rPr>
          <w:rFonts w:ascii="Arial" w:cs="Arial" w:eastAsia="Arial" w:hAnsi="Arial"/>
          <w:sz w:val="16"/>
          <w:szCs w:val="16"/>
          <w:color w:val="auto"/>
        </w:rPr>
        <w:t>As a result of this change, the Company expects a negative impact to revenue and pre-tax income of $3.9 million in fiscal 2018 with the remaining balance of the cumulative effect adjustment predominantly impacting fiscal years 2019 and 2020. The comparative historical financial information has not been restated and continues to be reported under the accounting standards in effect for those periods. As a result of applying the modified retrospective method to transition to ASC 606, the following adjustments were made to the consolidated balance sheet as of December 31, 2017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Balance as of</w:t>
            </w:r>
          </w:p>
        </w:tc>
        <w:tc>
          <w:tcPr>
            <w:tcW w:w="16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Adjustments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Balance 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December 30,</w:t>
            </w:r>
          </w:p>
        </w:tc>
        <w:tc>
          <w:tcPr>
            <w:tcW w:w="16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due to</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Balance Sheet</w:t>
            </w:r>
          </w:p>
        </w:tc>
        <w:tc>
          <w:tcPr>
            <w:tcW w:w="16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ASC 606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13,346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6,381</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Adjustment: assets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(2,893)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Accrued expenses </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15,189</w:t>
            </w:r>
          </w:p>
        </w:tc>
        <w:tc>
          <w:tcPr>
            <w:tcW w:w="16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Gift cards and customer deposits</w:t>
            </w:r>
          </w:p>
        </w:tc>
        <w:tc>
          <w:tcPr>
            <w:tcW w:w="16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33,926</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(12,297)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21,629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49,760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Adjustment: liabilities and stockholders' equity</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(2,893)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 The impact on the balances due to the adoption of ASC 606 includes income tax payable.</w:t>
      </w:r>
    </w:p>
    <w:p>
      <w:pPr>
        <w:sectPr>
          <w:pgSz w:w="11900" w:h="16838" w:orient="portrait"/>
          <w:cols w:equalWidth="0" w:num="1">
            <w:col w:w="11420"/>
          </w:cols>
          <w:pgMar w:left="240" w:top="118"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7" w:name="page8"/>
    <w:bookmarkEnd w:id="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following tables reflect the impact of adoption of ASC 606 for select accounts on the Company’s condensed consolidated statement of income for the thirteen and twenty-six weeks ended August 4, 2018 and its condensed consolidated balance sheet as of August 4, 2018 and the amounts as if the previous standards were in effect (“Without Adoption of ASC 606”)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7"/>
          </w:tcPr>
          <w:p>
            <w:pPr>
              <w:jc w:val="center"/>
              <w:ind w:left="730"/>
              <w:spacing w:after="0"/>
              <w:rPr>
                <w:sz w:val="20"/>
                <w:szCs w:val="20"/>
                <w:color w:val="auto"/>
              </w:rPr>
            </w:pPr>
            <w:r>
              <w:rPr>
                <w:rFonts w:ascii="Arial" w:cs="Arial" w:eastAsia="Arial" w:hAnsi="Arial"/>
                <w:sz w:val="18"/>
                <w:szCs w:val="18"/>
                <w:b w:val="1"/>
                <w:bCs w:val="1"/>
                <w:color w:val="auto"/>
                <w:w w:val="90"/>
              </w:rPr>
              <w:t>For the thirteen weeks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gridSpan w:val="11"/>
          </w:tcPr>
          <w:p>
            <w:pPr>
              <w:jc w:val="center"/>
              <w:ind w:right="800"/>
              <w:spacing w:after="0"/>
              <w:rPr>
                <w:sz w:val="20"/>
                <w:szCs w:val="20"/>
                <w:color w:val="auto"/>
              </w:rPr>
            </w:pPr>
            <w:r>
              <w:rPr>
                <w:rFonts w:ascii="Arial" w:cs="Arial" w:eastAsia="Arial" w:hAnsi="Arial"/>
                <w:sz w:val="18"/>
                <w:szCs w:val="18"/>
                <w:b w:val="1"/>
                <w:bCs w:val="1"/>
                <w:color w:val="auto"/>
                <w:w w:val="89"/>
              </w:rPr>
              <w:t>For the twenty-six weeks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center"/>
              <w:ind w:left="910"/>
              <w:spacing w:after="0"/>
              <w:rPr>
                <w:sz w:val="20"/>
                <w:szCs w:val="20"/>
                <w:color w:val="auto"/>
              </w:rPr>
            </w:pPr>
            <w:r>
              <w:rPr>
                <w:rFonts w:ascii="Arial" w:cs="Arial" w:eastAsia="Arial" w:hAnsi="Arial"/>
                <w:sz w:val="18"/>
                <w:szCs w:val="18"/>
                <w:b w:val="1"/>
                <w:bCs w:val="1"/>
                <w:color w:val="auto"/>
                <w:w w:val="88"/>
              </w:rPr>
              <w:t>ended August 4, 2018</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9"/>
          </w:tcPr>
          <w:p>
            <w:pPr>
              <w:jc w:val="center"/>
              <w:ind w:left="270"/>
              <w:spacing w:after="0"/>
              <w:rPr>
                <w:sz w:val="20"/>
                <w:szCs w:val="20"/>
                <w:color w:val="auto"/>
              </w:rPr>
            </w:pPr>
            <w:r>
              <w:rPr>
                <w:rFonts w:ascii="Arial" w:cs="Arial" w:eastAsia="Arial" w:hAnsi="Arial"/>
                <w:sz w:val="18"/>
                <w:szCs w:val="18"/>
                <w:b w:val="1"/>
                <w:bCs w:val="1"/>
                <w:color w:val="auto"/>
                <w:w w:val="88"/>
              </w:rPr>
              <w:t>ended August 4, 2018</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5"/>
              </w:rPr>
              <w:t>Without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5"/>
              </w:rPr>
              <w:t>Without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Adoption of</w:t>
            </w:r>
          </w:p>
        </w:tc>
        <w:tc>
          <w:tcPr>
            <w:tcW w:w="180" w:type="dxa"/>
            <w:vAlign w:val="bottom"/>
          </w:tcPr>
          <w:p>
            <w:pPr>
              <w:spacing w:after="0"/>
              <w:rPr>
                <w:sz w:val="18"/>
                <w:szCs w:val="18"/>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7"/>
              </w:rPr>
              <w:t>Effect of</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w w:val="86"/>
              </w:rPr>
              <w:t>As</w:t>
            </w:r>
          </w:p>
        </w:tc>
        <w:tc>
          <w:tcPr>
            <w:tcW w:w="12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Adoption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Effect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Reported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ASC 606</w:t>
            </w:r>
          </w:p>
        </w:tc>
        <w:tc>
          <w:tcPr>
            <w:tcW w:w="180" w:type="dxa"/>
            <w:vAlign w:val="bottom"/>
          </w:tcPr>
          <w:p>
            <w:pPr>
              <w:spacing w:after="0"/>
              <w:rPr>
                <w:sz w:val="20"/>
                <w:szCs w:val="20"/>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20"/>
                <w:szCs w:val="20"/>
                <w:color w:val="auto"/>
              </w:rPr>
            </w:pPr>
          </w:p>
        </w:tc>
        <w:tc>
          <w:tcPr>
            <w:tcW w:w="134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Reported</w:t>
            </w:r>
          </w:p>
        </w:tc>
        <w:tc>
          <w:tcPr>
            <w:tcW w:w="120" w:type="dxa"/>
            <w:vAlign w:val="bottom"/>
          </w:tcPr>
          <w:p>
            <w:pPr>
              <w:spacing w:after="0"/>
              <w:rPr>
                <w:sz w:val="20"/>
                <w:szCs w:val="20"/>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of ASC 606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 income statement</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retail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81,037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(742)</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162,462</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163,803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 revenue</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2,074</w:t>
            </w:r>
          </w:p>
        </w:tc>
        <w:tc>
          <w:tcPr>
            <w:tcW w:w="120" w:type="dxa"/>
            <w:vAlign w:val="bottom"/>
          </w:tcPr>
          <w:p>
            <w:pPr>
              <w:spacing w:after="0"/>
              <w:rPr>
                <w:sz w:val="18"/>
                <w:szCs w:val="18"/>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8"/>
                <w:szCs w:val="18"/>
                <w:color w:val="auto"/>
              </w:rPr>
              <w:t>2,074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 franchising revenue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1,826</w:t>
            </w: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1,826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83,178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83,920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166,362</w:t>
            </w:r>
          </w:p>
        </w:tc>
        <w:tc>
          <w:tcPr>
            <w:tcW w:w="120" w:type="dxa"/>
            <w:vAlign w:val="bottom"/>
          </w:tcPr>
          <w:p>
            <w:pPr>
              <w:spacing w:after="0"/>
              <w:rPr>
                <w:sz w:val="18"/>
                <w:szCs w:val="18"/>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8"/>
                <w:szCs w:val="18"/>
                <w:color w:val="auto"/>
              </w:rPr>
              <w:t>167,703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Total costs and expenses</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(528)</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(1,275)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(525)</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(1,446)</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(425)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rPr>
              <w:t>August 4, 2018</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5"/>
          </w:tcPr>
          <w:p>
            <w:pPr>
              <w:jc w:val="center"/>
              <w:ind w:right="240"/>
              <w:spacing w:after="0" w:line="191" w:lineRule="exact"/>
              <w:rPr>
                <w:sz w:val="20"/>
                <w:szCs w:val="20"/>
                <w:color w:val="auto"/>
              </w:rPr>
            </w:pPr>
            <w:r>
              <w:rPr>
                <w:rFonts w:ascii="Arial" w:cs="Arial" w:eastAsia="Arial" w:hAnsi="Arial"/>
                <w:sz w:val="18"/>
                <w:szCs w:val="18"/>
                <w:b w:val="1"/>
                <w:bCs w:val="1"/>
                <w:color w:val="auto"/>
                <w:w w:val="95"/>
              </w:rPr>
              <w:t>Without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Adoption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w w:val="97"/>
              </w:rPr>
              <w:t>Effect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rPr>
              <w:t>Reported</w:t>
            </w:r>
          </w:p>
        </w:tc>
        <w:tc>
          <w:tcPr>
            <w:tcW w:w="240" w:type="dxa"/>
            <w:vAlign w:val="bottom"/>
          </w:tcPr>
          <w:p>
            <w:pPr>
              <w:spacing w:after="0"/>
              <w:rPr>
                <w:sz w:val="20"/>
                <w:szCs w:val="20"/>
                <w:color w:val="auto"/>
              </w:rPr>
            </w:pPr>
          </w:p>
        </w:tc>
        <w:tc>
          <w:tcPr>
            <w:tcW w:w="16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ASC 606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 balance sheet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Accrued expenses</w:t>
            </w:r>
            <w:r>
              <w:rPr>
                <w:rFonts w:ascii="Arial" w:cs="Arial" w:eastAsia="Arial" w:hAnsi="Arial"/>
                <w:sz w:val="29"/>
                <w:szCs w:val="29"/>
                <w:color w:val="auto"/>
                <w:vertAlign w:val="superscript"/>
              </w:rPr>
              <w:t>(1)</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12,482</w:t>
            </w:r>
          </w:p>
        </w:tc>
        <w:tc>
          <w:tcPr>
            <w:tcW w:w="7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12,651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Pr>
          <w:p>
            <w:pPr>
              <w:spacing w:after="0" w:line="256" w:lineRule="exact"/>
              <w:rPr>
                <w:sz w:val="20"/>
                <w:szCs w:val="20"/>
                <w:color w:val="auto"/>
              </w:rPr>
            </w:pPr>
            <w:r>
              <w:rPr>
                <w:rFonts w:ascii="Arial" w:cs="Arial" w:eastAsia="Arial" w:hAnsi="Arial"/>
                <w:sz w:val="18"/>
                <w:szCs w:val="18"/>
                <w:color w:val="auto"/>
              </w:rPr>
              <w:t>Gift cards and customer deposits</w:t>
            </w:r>
            <w:r>
              <w:rPr>
                <w:rFonts w:ascii="Arial" w:cs="Arial" w:eastAsia="Arial" w:hAnsi="Arial"/>
                <w:sz w:val="29"/>
                <w:szCs w:val="29"/>
                <w:color w:val="auto"/>
                <w:vertAlign w:val="superscript"/>
              </w:rPr>
              <w:t>(1)</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14,502</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25,458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10,956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Retained earnings</w:t>
            </w:r>
            <w:r>
              <w:rPr>
                <w:rFonts w:ascii="Arial" w:cs="Arial" w:eastAsia="Arial" w:hAnsi="Arial"/>
                <w:sz w:val="28"/>
                <w:szCs w:val="28"/>
                <w:color w:val="auto"/>
                <w:vertAlign w:val="superscript"/>
              </w:rPr>
              <w:t>(1)</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53,811</w:t>
            </w:r>
          </w:p>
        </w:tc>
        <w:tc>
          <w:tcPr>
            <w:tcW w:w="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45,579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gridSpan w:val="4"/>
          </w:tcPr>
          <w:p>
            <w:pPr>
              <w:ind w:left="160"/>
              <w:spacing w:after="0"/>
              <w:rPr>
                <w:sz w:val="20"/>
                <w:szCs w:val="20"/>
                <w:color w:val="auto"/>
              </w:rPr>
            </w:pPr>
            <w:r>
              <w:rPr>
                <w:rFonts w:ascii="Arial" w:cs="Arial" w:eastAsia="Arial" w:hAnsi="Arial"/>
                <w:sz w:val="18"/>
                <w:szCs w:val="18"/>
                <w:color w:val="auto"/>
                <w:w w:val="94"/>
              </w:rPr>
              <w:t>Net effect of Change on Liabilities and Stockholders’ equity</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8"/>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 The impact on the balances without adoption of ASC 606 includes the activity for the twenty-six weeks ended August 4, 2018 and the December 31, 2017 adjustment.</w:t>
      </w:r>
    </w:p>
    <w:p>
      <w:pPr>
        <w:spacing w:after="0" w:line="17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impact of adoption of ASC 606 on the Company's condensed consolidated statement of cash flows from operating activities for the thirteen and twenty-six weeks ended August 4, 2018 was not significant.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February 2016, the FASB issued Accounting Standards Update (“ASU”) No. 2016-02, Leases (ASU 2016-02), which will replace most existing lease accounting guidance in U.S. GAAP. The core principle of the ASU is that an entity should recognize the rights and obligations resulting from leases as assets and liabilities. ASU 2016-02 will be effective for the Company beginning in fiscal 2019. In 2017, the Company established a cross-functional team to use a detailed approach to assess the impact of the new standard. The Company is in the process of implementing new lease accounting software to assess the portfolio of leases, assist in the quantification of the expected impact on the consolidated balance sheet and to facilitate the calculations of the related accounting entries and disclosures. Lease data, required for lease accounting, has been extracted and loaded into the software solution. While the Company has not yet completed its evaluation of the impact the new lease accounting guidance will have on its consolidated financial statements, the Company expects to recognize a material impact to the consolidated balance sheet with the addition of significant right-of-use assets and related liabilities because the Company's retail location leases are currently deemed to be operating leases.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Nearly all of the Company’s revenue is derived from retail sales (including e-commerce sites) and is recognized when control of the merchandise is transferred to the customer. The Company accounts for revenue in accordance with ASC 606 which was adopted December 31, 2017 (See Note 1— Basis of Presentation and Note 7 — Stockholder's Equity for additional information). The Company's disaggregated revenue is fully disclosed as net sales to external customers by reporting segment and by geographic area (See Note 10 — Segment Information for additional information). The Company's direct-to-consumer reporting segment represents nearly 98% of consolidated revenue. The majority of these sales transactions are single performance obligations that are recorded when control is transferred to the customer.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is a description of principal activities from which the Company generates its revenue, by reportable segment.</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direct-to-consumer segment includes the operating activities of corporately-managed stores, other retail-delivered operations and online sales. Direct-to-consumer revenue is recognized when control of the merchandise is transferred to the customer. For the Company’s online sales, revenue is recognized when control of the merchandise is transferred to the customer, which generally occurs upon delivery to the customer. Revenue is measured as the amount of consideration, including any discounts or incentives, the Company expects to receive in exchange for transferring the merchandise. Product returns have historically averaged less than one-tenth of one percent due to the interactive nature of sales, where consumers customize their own stuffed animal. The Company has elected to exclude from revenue all collected sales, value add and other taxes paid by its customers.</w:t>
      </w:r>
    </w:p>
    <w:p>
      <w:pPr>
        <w:sectPr>
          <w:pgSz w:w="11900" w:h="16838" w:orient="portrait"/>
          <w:cols w:equalWidth="0" w:num="1">
            <w:col w:w="11420"/>
          </w:cols>
          <w:pgMar w:left="240" w:top="118" w:right="239" w:bottom="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18" w:right="239" w:bottom="0" w:gutter="0" w:footer="0" w:header="0"/>
          <w:type w:val="continuous"/>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For the Company’s gift cards, revenue is deferred for single transactions until redemption including any related gift card discounts. Historically, gift</w:t>
      </w:r>
    </w:p>
    <w:p>
      <w:pPr>
        <w:spacing w:after="0" w:line="3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card redemptions have occurred within three years of acquisition and approximately 75% of gift cards have been redeemed within the first twelve months. In addition, unredeemed gift cards or breakage revenue will be recorded in proportion to the customer’s redemption period using an estimated breakage rate based on historical experience. 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retail value of the merchandise earned, adjusted for estimated breakage based on historical redemption patterns. The revenue associated with the initial merchandise purchased is recognized immediately and the value assigned to the points is deferred until the points are redeemed, forfeited or expired. In regards to the consolidated balance sheet, contract liabilities for gift cards are classified as gift cards and customer deposits.</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Company’s commercial segment includes transactions with other businesses and are mainly comprised of licensing the Company’s intellectual properties for third-party use and wholesale sales of merchandise, including supplies and fixtures. Revenue for wholesale sales is recognized when control of the merchandise or fixtures is transferred to the customer, which generally occurs upon delivery to the customer. The license agreements provide the customer with highly interrelated rights that are not distinct in the context of the contract and therefore, have been accounted for as a single performance obligation and recognized as licensee sales occur. If the contract includes a guaranteed minimum, the minimum guarantee is recognized on a straight-line basis over the guarantee term until such time as royalties earned through licensee sales exceed the minimum guarantee. The Company classifies these guaranteed minimum contract liabilities as deferred revenue on the consolidated balance sheet.</w:t>
      </w:r>
    </w:p>
    <w:p>
      <w:pPr>
        <w:spacing w:after="0" w:line="178"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The Company’s international franchising segment includes the activities with franchisees who operate store locations in certain countries and includes development fees, sales-based royalties and merchandise, including supplies and fixture sales. The Company's obligations under the franchise agreement are ongoing and include operations and product development support and training, generally concentrated around new store openings. These obligations are highly interrelated rights that are not distinct in the context of the contract and, therefore, have been accounted for as a single performance obligation and recognized as franchisee sales occur. If the contract includes an initial, one-time nonrefundable development fee, this fee is recognized on a straight-line basis over the term of the franchise agreement, which may extend for periods up to 25 years. The Company classifies these initial, one-time nonrefundable franchise fee contract liabilities as deferred revenue on the consolidated balance sheet. Revenue from merchandise and fixture sales is recognized when control is transferred to the franchisee.</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also incurs expenses directly related to the startup of new franchises, including finder’s fees, legal and travel costs as well as expenses related to its ongoing support of the franchisees, predominantly travel and employee compensation. Accordingly, the Company’s policy is to capitalize the finder’s fee, an incremental cost, and expense all other costs as incurred. Additionally, the Company amortizes these capitalized costs into expense in the same pattern as the development fee's recording of revenue as described previously.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Prepaid Expenses and Other Current Assets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August 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July 29,</w:t>
            </w:r>
          </w:p>
        </w:tc>
      </w:tr>
      <w:tr>
        <w:trPr>
          <w:trHeight w:val="234"/>
        </w:trPr>
        <w:tc>
          <w:tcPr>
            <w:tcW w:w="6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Prepaid occupancy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7,137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7,688</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7,069</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6,549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5,658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5,720</w:t>
            </w:r>
          </w:p>
        </w:tc>
      </w:tr>
      <w:tr>
        <w:trPr>
          <w:trHeight w:val="20"/>
        </w:trPr>
        <w:tc>
          <w:tcPr>
            <w:tcW w:w="6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13,686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13,346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12,789</w:t>
            </w:r>
          </w:p>
        </w:tc>
      </w:tr>
      <w:tr>
        <w:trPr>
          <w:trHeight w:val="872"/>
        </w:trPr>
        <w:tc>
          <w:tcPr>
            <w:tcW w:w="64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4. Accrued Expenses</w:t>
            </w: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6400" w:type="dxa"/>
            <w:vAlign w:val="bottom"/>
          </w:tcPr>
          <w:p>
            <w:pPr>
              <w:ind w:left="500"/>
              <w:spacing w:after="0"/>
              <w:rPr>
                <w:sz w:val="20"/>
                <w:szCs w:val="20"/>
                <w:color w:val="auto"/>
              </w:rPr>
            </w:pPr>
            <w:r>
              <w:rPr>
                <w:rFonts w:ascii="Arial" w:cs="Arial" w:eastAsia="Arial" w:hAnsi="Arial"/>
                <w:sz w:val="18"/>
                <w:szCs w:val="18"/>
                <w:color w:val="auto"/>
              </w:rPr>
              <w:t>Accrued expenses consist of the following (in thousands):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August 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July 29,</w:t>
            </w:r>
          </w:p>
        </w:tc>
      </w:tr>
      <w:tr>
        <w:trPr>
          <w:trHeight w:val="234"/>
        </w:trPr>
        <w:tc>
          <w:tcPr>
            <w:tcW w:w="6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Accrued wages, bonuses and related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5,864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5,908</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Sales and cross-border taxes payable</w:t>
            </w: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3,050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4,858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1,882</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Accrued rent and related expenses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3,016</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Current income taxes payable</w:t>
            </w: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12,482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15,189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10,806</w:t>
            </w:r>
          </w:p>
        </w:tc>
      </w:tr>
      <w:tr>
        <w:trPr>
          <w:trHeight w:val="20"/>
        </w:trPr>
        <w:tc>
          <w:tcPr>
            <w:tcW w:w="6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229"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On March 14, 2017, the Company’s Board of Directors (the Board) adopted, subject to stockholder approval, the Build-A-Bear Workshop, Inc. 2017 Omnibus Incentive Plan (the Incentive Plan). On May 11, 2017, at the Company’s 2017 Annual Meeting of Stockholders, the Company’s stockholders approved the Incentive Plan. The Incentive Plan, which is administered by the Compensation and Development Committee of the Board, permits the grant of stock options (including both incentive and non-qualified stock options), stock appreciation rights, restricted stock, cash and other stock-based awards, some of which may be performance-based pursuant to the terms of the Incentive Plan. The Board may amend, modify or terminate the Incentive Plan at any time, except as otherwise provided in the Incentive Plan. The Incentive Plan will terminate on March 14, 2027, unless earlier terminated by the Board. The number of shares of the Company’s common stock authorized for issuance under the Incentive Plan is 1,000,000, plus shares of stock subject to outstanding awards made under the Company’s Third Amended and Restated 2004 Stock Incentive Plan that on or after March 21, 2017 may be forfeited, expire or be settled for cash.</w:t>
      </w:r>
    </w:p>
    <w:p>
      <w:pPr>
        <w:sectPr>
          <w:pgSz w:w="11900" w:h="16838" w:orient="portrait"/>
          <w:cols w:equalWidth="0" w:num="1">
            <w:col w:w="11420"/>
          </w:cols>
          <w:pgMar w:left="240" w:top="118" w:right="239" w:bottom="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p>
    <w:p>
      <w:pPr>
        <w:sectPr>
          <w:pgSz w:w="11900" w:h="16838" w:orient="portrait"/>
          <w:cols w:equalWidth="0" w:num="1">
            <w:col w:w="11420"/>
          </w:cols>
          <w:pgMar w:left="240" w:top="118" w:right="239" w:bottom="0" w:gutter="0" w:footer="0" w:header="0"/>
          <w:type w:val="continuous"/>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20" w:right="260" w:firstLine="324"/>
        <w:spacing w:after="0" w:line="257" w:lineRule="auto"/>
        <w:rPr>
          <w:sz w:val="20"/>
          <w:szCs w:val="20"/>
          <w:color w:val="auto"/>
        </w:rPr>
      </w:pPr>
      <w:r>
        <w:rPr>
          <w:rFonts w:ascii="Arial" w:cs="Arial" w:eastAsia="Arial" w:hAnsi="Arial"/>
          <w:sz w:val="18"/>
          <w:szCs w:val="18"/>
          <w:color w:val="auto"/>
        </w:rPr>
        <w:t>For the thirteen and twenty-six weeks ended August 4, 2018, selling, general and administrative expense includes $0.9 million and $1.7 million, respectively, of stock-based compensation expense. For the thirteen and twenty-six weeks ended July 29, 2017, selling, general and administrative expense includes $0.8 million and $2.0 million, respectively, of stock-based compensation expense. As of August 4, 2018, there was $4.7 million of total unrecognized compensation expense related to unvested restricted stock and option awards which is expected to be recognized over a weighted-average period of 1.5 years.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is a summary of the balances and activity for stock options for the twenty-six weeks ended August 4, 2018:</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0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Options</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8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r>
      <w:tr>
        <w:trPr>
          <w:trHeight w:val="216"/>
        </w:trPr>
        <w:tc>
          <w:tcPr>
            <w:tcW w:w="8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Average Exercise</w:t>
            </w:r>
          </w:p>
        </w:tc>
      </w:tr>
      <w:tr>
        <w:trPr>
          <w:trHeight w:val="234"/>
        </w:trPr>
        <w:tc>
          <w:tcPr>
            <w:tcW w:w="8120" w:type="dxa"/>
            <w:vAlign w:val="bottom"/>
          </w:tcPr>
          <w:p>
            <w:pPr>
              <w:spacing w:after="0"/>
              <w:rPr>
                <w:sz w:val="20"/>
                <w:szCs w:val="20"/>
                <w:color w:val="auto"/>
              </w:rPr>
            </w:pPr>
          </w:p>
        </w:tc>
        <w:tc>
          <w:tcPr>
            <w:tcW w:w="15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Outstanding, February 4, 2018</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791,567</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213,687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(8,604)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Canceled or expired</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12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120" w:type="dxa"/>
            <w:vAlign w:val="bottom"/>
          </w:tcPr>
          <w:p>
            <w:pPr>
              <w:spacing w:after="0"/>
              <w:rPr>
                <w:sz w:val="20"/>
                <w:szCs w:val="20"/>
                <w:color w:val="auto"/>
              </w:rPr>
            </w:pPr>
            <w:r>
              <w:rPr>
                <w:rFonts w:ascii="Arial" w:cs="Arial" w:eastAsia="Arial" w:hAnsi="Arial"/>
                <w:sz w:val="18"/>
                <w:szCs w:val="18"/>
                <w:color w:val="auto"/>
              </w:rPr>
              <w:t>Outstanding, August 4, 2018</w:t>
            </w:r>
          </w:p>
        </w:tc>
        <w:tc>
          <w:tcPr>
            <w:tcW w:w="1500" w:type="dxa"/>
            <w:vAlign w:val="bottom"/>
          </w:tcPr>
          <w:p>
            <w:pPr>
              <w:jc w:val="right"/>
              <w:spacing w:after="0"/>
              <w:rPr>
                <w:sz w:val="20"/>
                <w:szCs w:val="20"/>
                <w:color w:val="auto"/>
              </w:rPr>
            </w:pPr>
            <w:r>
              <w:rPr>
                <w:rFonts w:ascii="Arial" w:cs="Arial" w:eastAsia="Arial" w:hAnsi="Arial"/>
                <w:sz w:val="18"/>
                <w:szCs w:val="18"/>
                <w:color w:val="auto"/>
              </w:rPr>
              <w:t>996,650</w:t>
            </w:r>
          </w:p>
        </w:tc>
        <w:tc>
          <w:tcPr>
            <w:tcW w:w="140" w:type="dxa"/>
            <w:vAlign w:val="bottom"/>
          </w:tcPr>
          <w:p>
            <w:pPr>
              <w:spacing w:after="0"/>
              <w:rPr>
                <w:sz w:val="18"/>
                <w:szCs w:val="18"/>
                <w:color w:val="auto"/>
              </w:rPr>
            </w:pP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9.47</w:t>
            </w:r>
          </w:p>
        </w:tc>
      </w:tr>
      <w:tr>
        <w:trPr>
          <w:trHeight w:val="20"/>
        </w:trPr>
        <w:tc>
          <w:tcPr>
            <w:tcW w:w="8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 w:right="900" w:firstLine="324"/>
        <w:spacing w:after="0" w:line="277" w:lineRule="auto"/>
        <w:rPr>
          <w:sz w:val="20"/>
          <w:szCs w:val="20"/>
          <w:color w:val="auto"/>
        </w:rPr>
      </w:pPr>
      <w:r>
        <w:rPr>
          <w:rFonts w:ascii="Arial" w:cs="Arial" w:eastAsia="Arial" w:hAnsi="Arial"/>
          <w:sz w:val="18"/>
          <w:szCs w:val="18"/>
          <w:color w:val="auto"/>
        </w:rPr>
        <w:t>The following table is a summary of the balances and activity related to time-based and performance-based restricted stock for the twenty-six weeks ended August 4, 2018:</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740" w:type="dxa"/>
            <w:vAlign w:val="bottom"/>
            <w:gridSpan w:val="6"/>
          </w:tcPr>
          <w:p>
            <w:pPr>
              <w:ind w:left="620"/>
              <w:spacing w:after="0"/>
              <w:rPr>
                <w:sz w:val="20"/>
                <w:szCs w:val="20"/>
                <w:color w:val="auto"/>
              </w:rPr>
            </w:pPr>
            <w:r>
              <w:rPr>
                <w:rFonts w:ascii="Arial" w:cs="Arial" w:eastAsia="Arial" w:hAnsi="Arial"/>
                <w:sz w:val="18"/>
                <w:szCs w:val="18"/>
                <w:b w:val="1"/>
                <w:bCs w:val="1"/>
                <w:color w:val="auto"/>
              </w:rPr>
              <w:t>Restricted Stock</w:t>
            </w:r>
          </w:p>
        </w:tc>
        <w:tc>
          <w:tcPr>
            <w:tcW w:w="2600" w:type="dxa"/>
            <w:vAlign w:val="bottom"/>
            <w:gridSpan w:val="6"/>
          </w:tcPr>
          <w:p>
            <w:pPr>
              <w:ind w:left="460"/>
              <w:spacing w:after="0"/>
              <w:rPr>
                <w:sz w:val="20"/>
                <w:szCs w:val="20"/>
                <w:color w:val="auto"/>
              </w:rPr>
            </w:pPr>
            <w:r>
              <w:rPr>
                <w:rFonts w:ascii="Arial" w:cs="Arial" w:eastAsia="Arial" w:hAnsi="Arial"/>
                <w:sz w:val="18"/>
                <w:szCs w:val="18"/>
                <w:b w:val="1"/>
                <w:bCs w:val="1"/>
                <w:color w:val="auto"/>
              </w:rPr>
              <w:t>Performance Shares</w:t>
            </w:r>
          </w:p>
        </w:tc>
      </w:tr>
      <w:tr>
        <w:trPr>
          <w:trHeight w:val="191"/>
        </w:trPr>
        <w:tc>
          <w:tcPr>
            <w:tcW w:w="60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Grant</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Grant</w:t>
            </w: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Date Fair</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Date Fair</w:t>
            </w:r>
          </w:p>
        </w:tc>
      </w:tr>
      <w:tr>
        <w:trPr>
          <w:trHeight w:val="234"/>
        </w:trPr>
        <w:tc>
          <w:tcPr>
            <w:tcW w:w="6080" w:type="dxa"/>
            <w:vAlign w:val="bottom"/>
          </w:tcPr>
          <w:p>
            <w:pPr>
              <w:spacing w:after="0"/>
              <w:rPr>
                <w:sz w:val="20"/>
                <w:szCs w:val="20"/>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February 4, 2018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357,412</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10.96</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289,615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205,434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8.67</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83,256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(176,769)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11.80</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13.63</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13.69</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Canceled or expired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w:t>
            </w:r>
          </w:p>
        </w:tc>
      </w:tr>
      <w:tr>
        <w:trPr>
          <w:trHeight w:val="20"/>
        </w:trPr>
        <w:tc>
          <w:tcPr>
            <w:tcW w:w="60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color w:val="auto"/>
              </w:rPr>
              <w:t>Outstanding, August 4, 2018</w:t>
            </w:r>
          </w:p>
        </w:tc>
        <w:tc>
          <w:tcPr>
            <w:tcW w:w="1160" w:type="dxa"/>
            <w:vAlign w:val="bottom"/>
          </w:tcPr>
          <w:p>
            <w:pPr>
              <w:jc w:val="right"/>
              <w:spacing w:after="0"/>
              <w:rPr>
                <w:sz w:val="20"/>
                <w:szCs w:val="20"/>
                <w:color w:val="auto"/>
              </w:rPr>
            </w:pPr>
            <w:r>
              <w:rPr>
                <w:rFonts w:ascii="Arial" w:cs="Arial" w:eastAsia="Arial" w:hAnsi="Arial"/>
                <w:sz w:val="18"/>
                <w:szCs w:val="18"/>
                <w:color w:val="auto"/>
              </w:rPr>
              <w:t>384,869</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9.35</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315,268</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11.05</w:t>
            </w:r>
          </w:p>
        </w:tc>
      </w:tr>
      <w:tr>
        <w:trPr>
          <w:trHeight w:val="20"/>
        </w:trPr>
        <w:tc>
          <w:tcPr>
            <w:tcW w:w="60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total fair value of shares vested during the twenty-six weeks ended August 4, 2018 and July 29, 2017 was $2.2 million and $2.3 million, respectively.</w:t>
      </w:r>
    </w:p>
    <w:p>
      <w:pPr>
        <w:spacing w:after="0" w:line="248" w:lineRule="exact"/>
        <w:rPr>
          <w:sz w:val="20"/>
          <w:szCs w:val="20"/>
          <w:color w:val="auto"/>
        </w:rPr>
      </w:pPr>
    </w:p>
    <w:p>
      <w:pPr>
        <w:jc w:val="both"/>
        <w:ind w:left="20" w:right="20" w:firstLine="324"/>
        <w:spacing w:after="0" w:line="273" w:lineRule="auto"/>
        <w:rPr>
          <w:sz w:val="20"/>
          <w:szCs w:val="20"/>
          <w:color w:val="auto"/>
        </w:rPr>
      </w:pPr>
      <w:r>
        <w:rPr>
          <w:rFonts w:ascii="Arial" w:cs="Arial" w:eastAsia="Arial" w:hAnsi="Arial"/>
          <w:sz w:val="17"/>
          <w:szCs w:val="17"/>
          <w:color w:val="auto"/>
        </w:rPr>
        <w:t>In March 2018, the Company awarded three-year performance-based restricted stock subject to the achievement of pre-established consolidated total pre-tax income growth objectives for fiscal 2018, 2019 and 2020. In addition, the Company awarded three-year performance-based restricted stock subject to the achievement of pre-established consolidated revenue growth objectives for fiscal 2018, 2019 and 2020. These shares have a payout opportunity ranging from 25% to 200% of the target number of shares. In 2017, the Company awarded three-year performance-based restricted stock subject to the achievement of pre-established pre-tax income growth objectives for 2017, 2018 and 2019. In 2016, the Company awarded three-year performance-based restricted stock subject to the achievement of pre-established cumulative total revenue goals for fiscal 2016, 2017 and 2018.</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outstanding performance shares as of August 4, 2018 consist of the following:</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120" w:type="dxa"/>
            <w:vAlign w:val="bottom"/>
          </w:tcPr>
          <w:p>
            <w:pPr>
              <w:spacing w:after="0"/>
              <w:rPr>
                <w:sz w:val="20"/>
                <w:szCs w:val="20"/>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August 4, 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Earned shares subject to time-based restrictions at actual</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20" w:type="dxa"/>
            <w:vAlign w:val="bottom"/>
            <w:gridSpan w:val="2"/>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Unearned shares subject to performance-based restrictions at target: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2015</w:t>
            </w:r>
          </w:p>
        </w:tc>
        <w:tc>
          <w:tcPr>
            <w:tcW w:w="9120" w:type="dxa"/>
            <w:vAlign w:val="bottom"/>
          </w:tcPr>
          <w:p>
            <w:pPr>
              <w:ind w:left="20"/>
              <w:spacing w:after="0"/>
              <w:rPr>
                <w:sz w:val="20"/>
                <w:szCs w:val="20"/>
                <w:color w:val="auto"/>
              </w:rPr>
            </w:pPr>
            <w:r>
              <w:rPr>
                <w:rFonts w:ascii="Arial" w:cs="Arial" w:eastAsia="Arial" w:hAnsi="Arial"/>
                <w:sz w:val="18"/>
                <w:szCs w:val="18"/>
                <w:color w:val="auto"/>
              </w:rPr>
              <w:t>- 2017 consolidated pre-tax income</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- 2018 consolidated cumulative total revenues</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2017</w:t>
            </w:r>
          </w:p>
        </w:tc>
        <w:tc>
          <w:tcPr>
            <w:tcW w:w="9120" w:type="dxa"/>
            <w:vAlign w:val="bottom"/>
          </w:tcPr>
          <w:p>
            <w:pPr>
              <w:ind w:left="20"/>
              <w:spacing w:after="0"/>
              <w:rPr>
                <w:sz w:val="20"/>
                <w:szCs w:val="20"/>
                <w:color w:val="auto"/>
              </w:rPr>
            </w:pPr>
            <w:r>
              <w:rPr>
                <w:rFonts w:ascii="Arial" w:cs="Arial" w:eastAsia="Arial" w:hAnsi="Arial"/>
                <w:sz w:val="18"/>
                <w:szCs w:val="18"/>
                <w:color w:val="auto"/>
              </w:rPr>
              <w:t>- 2019 consolidated pre-tax income growth objectives</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83,897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- 2020 consolidated total revenues growth objectives</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2018</w:t>
            </w:r>
          </w:p>
        </w:tc>
        <w:tc>
          <w:tcPr>
            <w:tcW w:w="9120" w:type="dxa"/>
            <w:vAlign w:val="bottom"/>
          </w:tcPr>
          <w:p>
            <w:pPr>
              <w:ind w:left="20"/>
              <w:spacing w:after="0"/>
              <w:rPr>
                <w:sz w:val="20"/>
                <w:szCs w:val="20"/>
                <w:color w:val="auto"/>
              </w:rPr>
            </w:pPr>
            <w:r>
              <w:rPr>
                <w:rFonts w:ascii="Arial" w:cs="Arial" w:eastAsia="Arial" w:hAnsi="Arial"/>
                <w:sz w:val="18"/>
                <w:szCs w:val="18"/>
                <w:color w:val="auto"/>
              </w:rPr>
              <w:t>- 2020 consolidated pre-tax income growth objectives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Performance shares outstanding, August 4, 2018</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315,268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6. Income Taxes</w:t>
      </w:r>
    </w:p>
    <w:p>
      <w:pPr>
        <w:spacing w:after="0" w:line="229" w:lineRule="exact"/>
        <w:rPr>
          <w:sz w:val="20"/>
          <w:szCs w:val="20"/>
          <w:color w:val="auto"/>
        </w:rPr>
      </w:pPr>
    </w:p>
    <w:p>
      <w:pPr>
        <w:ind w:left="20" w:right="60" w:firstLine="486"/>
        <w:spacing w:after="0" w:line="312" w:lineRule="auto"/>
        <w:rPr>
          <w:sz w:val="20"/>
          <w:szCs w:val="20"/>
          <w:color w:val="auto"/>
        </w:rPr>
      </w:pPr>
      <w:r>
        <w:rPr>
          <w:rFonts w:ascii="Arial" w:cs="Arial" w:eastAsia="Arial" w:hAnsi="Arial"/>
          <w:sz w:val="16"/>
          <w:szCs w:val="16"/>
          <w:color w:val="auto"/>
        </w:rPr>
        <w:t>The effective tax rate was 29.3% and 23.9% for the thirteen and twenty-six weeks ended August 4, 2018, respectively, compared to 126.8% and 37.3% for the thirteen and twenty-six weeks ended July 29, 2017, respectively. The 2018 effective tax differed from the statutory rate of 21% primarily due to the jurisdictional mix of earnings. The fiscal 2017 effective tax rate differed from the statutory rate of 34% primarily due to the effect of discrete tax items.</w:t>
      </w:r>
    </w:p>
    <w:p>
      <w:pPr>
        <w:spacing w:after="0" w:line="147" w:lineRule="exact"/>
        <w:rPr>
          <w:sz w:val="20"/>
          <w:szCs w:val="20"/>
          <w:color w:val="auto"/>
        </w:rPr>
      </w:pPr>
    </w:p>
    <w:p>
      <w:pPr>
        <w:ind w:right="180" w:firstLine="331"/>
        <w:spacing w:after="0" w:line="291" w:lineRule="auto"/>
        <w:rPr>
          <w:sz w:val="20"/>
          <w:szCs w:val="20"/>
          <w:color w:val="auto"/>
        </w:rPr>
      </w:pPr>
      <w:r>
        <w:rPr>
          <w:rFonts w:ascii="Arial" w:cs="Arial" w:eastAsia="Arial" w:hAnsi="Arial"/>
          <w:sz w:val="16"/>
          <w:szCs w:val="16"/>
          <w:color w:val="auto"/>
        </w:rPr>
        <w:t>On December 22, 2017, the Tax Cuts and Job Act (“Tax Reform Act”) was enacted, which significantly changes U.S. tax law effective by, among other things, lowering the maximum corporate income tax statutory rate from 35% to 21%, implementing a territorial tax system and imposing a repatriation tax on deemed repatriated earnings of foreign subsidiaries. The Tax Reform Act was effective as of January 1, 2018. The Company recorded a provisional tax charge of $1.4 million for the re-measurement of its U.S. net deferred tax assets in fiscal 2017 but it does not anticipate a significant charge for the one-time transition tax on the deemed repatriation of foreign earnings. The Global Intangible Low-Taxed Income (“GILTI”) provisions of the Tax Reform Act require a company to include in its U.S. income tax return foreign subsidiary earnings in excess of an allowable return on the foreign subsidiary’s tangible assets. The Base-Eroding Anti-abuse Tax (“BEAT”) provisions of the Tax Reform Act assess tax on certain payments made by a U.S. company to a related foreign</w:t>
      </w:r>
    </w:p>
    <w:p>
      <w:pPr>
        <w:sectPr>
          <w:pgSz w:w="11900" w:h="16838" w:orient="portrait"/>
          <w:cols w:equalWidth="0" w:num="1">
            <w:col w:w="11440"/>
          </w:cols>
          <w:pgMar w:left="220" w:top="118" w:right="239" w:bottom="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company. The Company does not expect the incremental tax charge due to GILTI or BEAT to be significant. In accordance with SAB 118 and ASU 2018-05, the financial reporting impact of the Tax Reform Act is expected to be completed in the fourth quarter of fiscal 2018.</w:t>
      </w:r>
    </w:p>
    <w:p>
      <w:pPr>
        <w:spacing w:after="0" w:line="17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220" w:top="125" w:right="599" w:bottom="1440" w:gutter="0" w:footer="0" w:header="0"/>
        </w:sectPr>
      </w:pPr>
    </w:p>
    <w:bookmarkStart w:id="13" w:name="page14"/>
    <w:bookmarkEnd w:id="13"/>
    <w:p>
      <w:pPr>
        <w:spacing w:after="0" w:line="94" w:lineRule="exact"/>
        <w:rPr>
          <w:sz w:val="20"/>
          <w:szCs w:val="20"/>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 sets forth the changes in stockholders’ equity (in thousands) for the twenty-six week periods ended August 4, 2018 and July 29,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Twenty-six week periods</w:t>
            </w:r>
          </w:p>
        </w:tc>
      </w:tr>
      <w:tr>
        <w:trPr>
          <w:trHeight w:val="191"/>
        </w:trPr>
        <w:tc>
          <w:tcPr>
            <w:tcW w:w="8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2"/>
              </w:rPr>
              <w:t>February 3, 2018</w:t>
            </w:r>
          </w:p>
        </w:tc>
        <w:tc>
          <w:tcPr>
            <w:tcW w:w="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1"/>
              </w:rPr>
              <w:t>January 28, 2017</w:t>
            </w:r>
          </w:p>
        </w:tc>
        <w:tc>
          <w:tcPr>
            <w:tcW w:w="100" w:type="dxa"/>
            <w:vAlign w:val="bottom"/>
          </w:tcPr>
          <w:p>
            <w:pPr>
              <w:spacing w:after="0"/>
              <w:rPr>
                <w:sz w:val="16"/>
                <w:szCs w:val="16"/>
                <w:color w:val="auto"/>
              </w:rPr>
            </w:pPr>
          </w:p>
        </w:tc>
      </w:tr>
      <w:tr>
        <w:trPr>
          <w:trHeight w:val="216"/>
        </w:trPr>
        <w:tc>
          <w:tcPr>
            <w:tcW w:w="8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to</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to</w:t>
            </w:r>
          </w:p>
        </w:tc>
      </w:tr>
      <w:tr>
        <w:trPr>
          <w:trHeight w:val="234"/>
        </w:trPr>
        <w:tc>
          <w:tcPr>
            <w:tcW w:w="8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August 4, 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July 29, 2017</w:t>
            </w:r>
          </w:p>
        </w:tc>
        <w:tc>
          <w:tcPr>
            <w:tcW w:w="100" w:type="dxa"/>
            <w:vAlign w:val="bottom"/>
          </w:tcPr>
          <w:p>
            <w:pPr>
              <w:spacing w:after="0"/>
              <w:rPr>
                <w:sz w:val="20"/>
                <w:szCs w:val="20"/>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112,102</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99,514</w:t>
            </w: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2,038</w:t>
            </w: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under employee stock plans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w:t>
            </w: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Share repurchase and retirement</w:t>
            </w: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(1,429)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w:t>
            </w: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(1,446)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2,673</w:t>
            </w:r>
          </w:p>
        </w:tc>
      </w:tr>
      <w:tr>
        <w:trPr>
          <w:trHeight w:val="216"/>
        </w:trPr>
        <w:tc>
          <w:tcPr>
            <w:tcW w:w="8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120" w:type="dxa"/>
            <w:vAlign w:val="bottom"/>
          </w:tcPr>
          <w:p>
            <w:pPr>
              <w:spacing w:after="0"/>
              <w:rPr>
                <w:sz w:val="20"/>
                <w:szCs w:val="20"/>
                <w:color w:val="auto"/>
              </w:rPr>
            </w:pPr>
            <w:r>
              <w:rPr>
                <w:rFonts w:ascii="Arial" w:cs="Arial" w:eastAsia="Arial" w:hAnsi="Arial"/>
                <w:sz w:val="18"/>
                <w:szCs w:val="18"/>
                <w:color w:val="auto"/>
              </w:rPr>
              <w:t>Ending balance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109,329</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104,364</w:t>
            </w:r>
          </w:p>
        </w:tc>
      </w:tr>
      <w:tr>
        <w:trPr>
          <w:trHeight w:val="20"/>
        </w:trPr>
        <w:tc>
          <w:tcPr>
            <w:tcW w:w="8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In August 2017, the Company’s Board of Directors authorized a share repurchase program of up to $20 million. From the date of such authorization through August 4, 2018, the Company has repurchased 1.2 million shares at an average price of $8.77 per share for an aggregate amount of $10.7 million.</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per Share</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Company uses the two-class method to compute basic and diluted net income or loss per common share. In periods of net loss, no effect is given to the Company’s participating securities as they do not contractually participate in the losses of the Company. The following table sets forth the computation of basic and diluted net income per share (in thousands, except share and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6"/>
          </w:tcPr>
          <w:p>
            <w:pPr>
              <w:ind w:left="280"/>
              <w:spacing w:after="0"/>
              <w:rPr>
                <w:sz w:val="20"/>
                <w:szCs w:val="20"/>
                <w:color w:val="auto"/>
              </w:rPr>
            </w:pPr>
            <w:r>
              <w:rPr>
                <w:rFonts w:ascii="Arial" w:cs="Arial" w:eastAsia="Arial" w:hAnsi="Arial"/>
                <w:sz w:val="18"/>
                <w:szCs w:val="18"/>
                <w:b w:val="1"/>
                <w:bCs w:val="1"/>
                <w:color w:val="auto"/>
              </w:rPr>
              <w:t>Thirteen weeks ended</w:t>
            </w:r>
          </w:p>
        </w:tc>
        <w:tc>
          <w:tcPr>
            <w:tcW w:w="160" w:type="dxa"/>
            <w:vAlign w:val="bottom"/>
          </w:tcPr>
          <w:p>
            <w:pPr>
              <w:spacing w:after="0"/>
              <w:rPr>
                <w:sz w:val="20"/>
                <w:szCs w:val="20"/>
                <w:color w:val="auto"/>
              </w:rPr>
            </w:pPr>
          </w:p>
        </w:tc>
        <w:tc>
          <w:tcPr>
            <w:tcW w:w="2440" w:type="dxa"/>
            <w:vAlign w:val="bottom"/>
            <w:gridSpan w:val="6"/>
          </w:tcPr>
          <w:p>
            <w:pPr>
              <w:ind w:left="160"/>
              <w:spacing w:after="0"/>
              <w:rPr>
                <w:sz w:val="20"/>
                <w:szCs w:val="20"/>
                <w:color w:val="auto"/>
              </w:rPr>
            </w:pPr>
            <w:r>
              <w:rPr>
                <w:rFonts w:ascii="Arial" w:cs="Arial" w:eastAsia="Arial" w:hAnsi="Arial"/>
                <w:sz w:val="18"/>
                <w:szCs w:val="18"/>
                <w:b w:val="1"/>
                <w:bCs w:val="1"/>
                <w:color w:val="auto"/>
              </w:rPr>
              <w:t>Twenty-six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5"/>
              </w:rPr>
              <w:t>August 4,</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w w:val="99"/>
              </w:rPr>
              <w:t>July 29,</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0"/>
              </w:rPr>
              <w:t>August 4,</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w w:val="99"/>
              </w:rPr>
              <w:t>July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w w:val="97"/>
              </w:rPr>
              <w:t>Net income (loss) before allocation of earnings to participating securities</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(1,800)</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(1,446)</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Less: Earnings allocated to participating securities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480"/>
              <w:spacing w:after="0"/>
              <w:rPr>
                <w:sz w:val="20"/>
                <w:szCs w:val="20"/>
                <w:color w:val="auto"/>
              </w:rPr>
            </w:pPr>
            <w:r>
              <w:rPr>
                <w:rFonts w:ascii="Arial" w:cs="Arial" w:eastAsia="Arial" w:hAnsi="Arial"/>
                <w:sz w:val="18"/>
                <w:szCs w:val="18"/>
                <w:color w:val="auto"/>
              </w:rPr>
              <w:t>Net income (loss)</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(1,800)</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(1,446)</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 average number of common shares outstanding - basic</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14,618,582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15,646,014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14,600,578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15,603,909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640"/>
              <w:spacing w:after="0"/>
              <w:rPr>
                <w:sz w:val="20"/>
                <w:szCs w:val="20"/>
                <w:color w:val="auto"/>
              </w:rPr>
            </w:pPr>
            <w:r>
              <w:rPr>
                <w:rFonts w:ascii="Arial" w:cs="Arial" w:eastAsia="Arial" w:hAnsi="Arial"/>
                <w:sz w:val="18"/>
                <w:szCs w:val="18"/>
                <w:color w:val="auto"/>
              </w:rPr>
              <w:t>Dilutive effect of share-based awards: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225,260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182,030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 average number of common shares outstanding - dilutive</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14,618,582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15,871,274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14,600,578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15,785,939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960" w:type="dxa"/>
            <w:vAlign w:val="bottom"/>
          </w:tcPr>
          <w:p>
            <w:pPr>
              <w:ind w:left="160"/>
              <w:spacing w:after="0" w:line="182" w:lineRule="exact"/>
              <w:rPr>
                <w:sz w:val="20"/>
                <w:szCs w:val="20"/>
                <w:color w:val="auto"/>
              </w:rPr>
            </w:pPr>
            <w:r>
              <w:rPr>
                <w:rFonts w:ascii="Arial" w:cs="Arial" w:eastAsia="Arial" w:hAnsi="Arial"/>
                <w:sz w:val="18"/>
                <w:szCs w:val="18"/>
                <w:color w:val="auto"/>
                <w:w w:val="92"/>
              </w:rPr>
              <w:t>Basic income (loss) per common share attributable to Build-A-Bear Workshop,</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(0.12)</w:t>
            </w: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0.00</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(0.10)</w:t>
            </w:r>
          </w:p>
        </w:tc>
        <w:tc>
          <w:tcPr>
            <w:tcW w:w="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60" w:type="dxa"/>
            <w:vAlign w:val="bottom"/>
          </w:tcPr>
          <w:p>
            <w:pPr>
              <w:ind w:left="320"/>
              <w:spacing w:after="0" w:line="190" w:lineRule="exact"/>
              <w:rPr>
                <w:sz w:val="20"/>
                <w:szCs w:val="20"/>
                <w:color w:val="auto"/>
              </w:rPr>
            </w:pPr>
            <w:r>
              <w:rPr>
                <w:rFonts w:ascii="Arial" w:cs="Arial" w:eastAsia="Arial" w:hAnsi="Arial"/>
                <w:sz w:val="18"/>
                <w:szCs w:val="18"/>
                <w:color w:val="auto"/>
              </w:rPr>
              <w:t>Inc. stockholders</w:t>
            </w:r>
          </w:p>
        </w:tc>
        <w:tc>
          <w:tcPr>
            <w:tcW w:w="24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960" w:type="dxa"/>
            <w:vAlign w:val="bottom"/>
            <w:shd w:val="clear" w:color="auto" w:fill="CCEEFF"/>
          </w:tcPr>
          <w:p>
            <w:pPr>
              <w:ind w:left="160"/>
              <w:spacing w:after="0" w:line="182" w:lineRule="exact"/>
              <w:rPr>
                <w:sz w:val="20"/>
                <w:szCs w:val="20"/>
                <w:color w:val="auto"/>
              </w:rPr>
            </w:pPr>
            <w:r>
              <w:rPr>
                <w:rFonts w:ascii="Arial" w:cs="Arial" w:eastAsia="Arial" w:hAnsi="Arial"/>
                <w:sz w:val="18"/>
                <w:szCs w:val="18"/>
                <w:color w:val="auto"/>
              </w:rPr>
              <w:t>Diluted income (loss) per common share attributable to Build-A-Bear</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(0.12)</w:t>
            </w:r>
          </w:p>
        </w:tc>
        <w:tc>
          <w:tcPr>
            <w:tcW w:w="2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(0.10)</w:t>
            </w:r>
          </w:p>
        </w:tc>
        <w:tc>
          <w:tcPr>
            <w:tcW w:w="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Workshop, Inc. stockholders</w:t>
            </w:r>
          </w:p>
        </w:tc>
        <w:tc>
          <w:tcPr>
            <w:tcW w:w="24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In calculating diluted income per share for the thirteen and twenty-six week periods ended August 4, 2018, options to purchase 594,411 and 548,400 shares of common stock, respectively, that were outstanding at the end of the period were not included in the computation of diluted income per share due to their anti-dilutive effect. For the thirteen and twenty-six week periods ended July 29, 2017, the number of options to purchase common shares that were excluded from the calculation were 339,772 and 323,598 shares, respectively.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 (Loss)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difference between comprehensive income or loss and net income or loss results from foreign currency translation adjustments on the balance sheets of subsidiaries whose functional currency is not the U.S. Dollar. The accumulated other comprehensive income (loss) balance at August 4, 2018 and July 29, 2017 was comprised entirely of foreign currency translation. For the thirteen and twenty-six weeks ended August 4, 2018 and July 29, 2017, there were no reclassifications out of accumulated other comprehensive loss.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Company’s operations are conducted through three operating segments consisting of direct-to-consumer (DTC), commercial and international franchising. The DTC segment includes the operating activities of corporately-managed stores in the United States, Canada, the United Kingdom, Ireland, Denmark and China and other retail delivery operations, including the Company’s e-commerce sites and temporary stores. The international franchising segment includes the activities of the Company’s franchisees with store locations in Europe (outside of the United Kingdom, Ireland and Denmark), Asia, Australia, the Middle East, Africa and Mexico. The commercial segment includes the Company’s transactions with other businesses, mainly comprised of licensing the Company’s intellectual properties for third party use and wholesale activities. The operating segments have discrete sources of revenue, different capital structures and different cost structures. These operating segments represent the basis on which the Company’s chief operating decision maker regularly</w:t>
      </w:r>
    </w:p>
    <w:p>
      <w:pPr>
        <w:sectPr>
          <w:pgSz w:w="11900" w:h="16932" w:orient="portrait"/>
          <w:cols w:equalWidth="0" w:num="1">
            <w:col w:w="11420"/>
          </w:cols>
          <w:pgMar w:left="240" w:top="118" w:right="239" w:bottom="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8"/>
          <w:szCs w:val="18"/>
          <w:color w:val="auto"/>
        </w:rPr>
        <w:t>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8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80"/>
          </w:cols>
          <w:pgMar w:left="240" w:top="125" w:right="67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060" w:type="dxa"/>
            <w:vAlign w:val="bottom"/>
            <w:gridSpan w:val="11"/>
          </w:tcPr>
          <w:p>
            <w:pPr>
              <w:ind w:left="1120"/>
              <w:spacing w:after="0"/>
              <w:rPr>
                <w:sz w:val="20"/>
                <w:szCs w:val="20"/>
                <w:color w:val="auto"/>
              </w:rPr>
            </w:pPr>
            <w:r>
              <w:rPr>
                <w:rFonts w:ascii="Arial" w:cs="Arial" w:eastAsia="Arial" w:hAnsi="Arial"/>
                <w:sz w:val="18"/>
                <w:szCs w:val="18"/>
                <w:color w:val="auto"/>
              </w:rPr>
              <w:t>Following is a summary of the financial information for the Company’s reportable segments (in thousands):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Direct-to-</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8"/>
              </w:rPr>
              <w:t>International</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Consumer</w:t>
            </w: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Commercial</w:t>
            </w:r>
          </w:p>
        </w:tc>
        <w:tc>
          <w:tcPr>
            <w:tcW w:w="1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Franchising</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August 4, 2018</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81,037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1,086</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83,178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4,081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Thirteen weeks ended July 29, 2017</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Income (loss) before income taxes</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Twenty-six weeks ended August 4, 2018</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162,462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2,074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1,826</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166,362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7,111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8,137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Twenty-six weeks ended July 29, 2017</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165,126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Income (loss) before income taxes</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7,859</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of:</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August 4, 2018</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163,907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5,847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5,055</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174,809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July 29, 2017</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174,017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182,285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40" w:firstLine="567"/>
        <w:spacing w:after="0" w:line="312" w:lineRule="auto"/>
        <w:rPr>
          <w:sz w:val="20"/>
          <w:szCs w:val="20"/>
          <w:color w:val="auto"/>
        </w:rPr>
      </w:pPr>
      <w:r>
        <w:rPr>
          <w:rFonts w:ascii="Arial" w:cs="Arial" w:eastAsia="Arial" w:hAnsi="Arial"/>
          <w:sz w:val="16"/>
          <w:szCs w:val="16"/>
          <w:color w:val="auto"/>
        </w:rPr>
        <w:t>The Company’s reportable segments are primarily determined by the types of products and services that each offers. Each reportable segment may operate in many geographic areas. The Company allocates revenues to geographic areas based on the location of the customer or franchisee. The following schedule is a summary of the Company’s sales to external customers and long-lived assets by geographic area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North</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jc w:val="center"/>
              <w:ind w:right="220"/>
              <w:spacing w:after="0" w:line="271" w:lineRule="exact"/>
              <w:rPr>
                <w:sz w:val="20"/>
                <w:szCs w:val="20"/>
                <w:color w:val="auto"/>
              </w:rPr>
            </w:pPr>
            <w:r>
              <w:rPr>
                <w:rFonts w:ascii="Arial" w:cs="Arial" w:eastAsia="Arial" w:hAnsi="Arial"/>
                <w:sz w:val="18"/>
                <w:szCs w:val="18"/>
                <w:b w:val="1"/>
                <w:bCs w:val="1"/>
                <w:color w:val="auto"/>
                <w:w w:val="87"/>
              </w:rPr>
              <w:t xml:space="preserve">America </w:t>
            </w:r>
            <w:r>
              <w:rPr>
                <w:rFonts w:ascii="Arial" w:cs="Arial" w:eastAsia="Arial" w:hAnsi="Arial"/>
                <w:sz w:val="30"/>
                <w:szCs w:val="30"/>
                <w:b w:val="1"/>
                <w:bCs w:val="1"/>
                <w:color w:val="auto"/>
                <w:w w:val="87"/>
                <w:vertAlign w:val="superscript"/>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ind w:left="60"/>
              <w:spacing w:after="0" w:line="271" w:lineRule="exact"/>
              <w:rPr>
                <w:sz w:val="20"/>
                <w:szCs w:val="20"/>
                <w:color w:val="auto"/>
              </w:rPr>
            </w:pPr>
            <w:r>
              <w:rPr>
                <w:rFonts w:ascii="Arial" w:cs="Arial" w:eastAsia="Arial" w:hAnsi="Arial"/>
                <w:sz w:val="18"/>
                <w:szCs w:val="18"/>
                <w:b w:val="1"/>
                <w:bCs w:val="1"/>
                <w:color w:val="auto"/>
              </w:rPr>
              <w:t xml:space="preserve">Europe </w:t>
            </w:r>
            <w:r>
              <w:rPr>
                <w:rFonts w:ascii="Arial" w:cs="Arial" w:eastAsia="Arial" w:hAnsi="Arial"/>
                <w:sz w:val="30"/>
                <w:szCs w:val="30"/>
                <w:b w:val="1"/>
                <w:bCs w:val="1"/>
                <w:color w:val="auto"/>
                <w:vertAlign w:val="superscript"/>
              </w:rPr>
              <w:t>(2)</w:t>
            </w:r>
          </w:p>
        </w:tc>
        <w:tc>
          <w:tcPr>
            <w:tcW w:w="160" w:type="dxa"/>
            <w:vAlign w:val="bottom"/>
          </w:tcPr>
          <w:p>
            <w:pPr>
              <w:spacing w:after="0"/>
              <w:rPr>
                <w:sz w:val="23"/>
                <w:szCs w:val="23"/>
                <w:color w:val="auto"/>
              </w:rPr>
            </w:pPr>
          </w:p>
        </w:tc>
        <w:tc>
          <w:tcPr>
            <w:tcW w:w="1080" w:type="dxa"/>
            <w:vAlign w:val="bottom"/>
            <w:gridSpan w:val="2"/>
          </w:tcPr>
          <w:p>
            <w:pPr>
              <w:jc w:val="right"/>
              <w:ind w:right="320"/>
              <w:spacing w:after="0" w:line="271" w:lineRule="exact"/>
              <w:rPr>
                <w:sz w:val="20"/>
                <w:szCs w:val="20"/>
                <w:color w:val="auto"/>
              </w:rPr>
            </w:pPr>
            <w:r>
              <w:rPr>
                <w:rFonts w:ascii="Arial" w:cs="Arial" w:eastAsia="Arial" w:hAnsi="Arial"/>
                <w:sz w:val="18"/>
                <w:szCs w:val="18"/>
                <w:b w:val="1"/>
                <w:bCs w:val="1"/>
                <w:color w:val="auto"/>
                <w:w w:val="95"/>
              </w:rPr>
              <w:t xml:space="preserve">Other </w:t>
            </w:r>
            <w:r>
              <w:rPr>
                <w:rFonts w:ascii="Arial" w:cs="Arial" w:eastAsia="Arial" w:hAnsi="Arial"/>
                <w:sz w:val="30"/>
                <w:szCs w:val="30"/>
                <w:b w:val="1"/>
                <w:bCs w:val="1"/>
                <w:color w:val="auto"/>
                <w:w w:val="95"/>
                <w:vertAlign w:val="superscript"/>
              </w:rPr>
              <w:t>(3)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August 4, 2018</w:t>
            </w:r>
          </w:p>
        </w:tc>
        <w:tc>
          <w:tcPr>
            <w:tcW w:w="1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71,964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10,604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83,178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July 29, 2017</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66,220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12,466</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79,180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Twenty-six weeks ended August 4, 2018</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141,932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23,430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66,606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9,530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Twenty-six weeks ended July 29, 2017</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142,963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26,502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170,383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66,203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9,617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75,854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North America includes the United States, Canada, Puerto Rico and international franchising revenue in Mexico</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Europe includes the United Kingdom, Ireland, Denmark and international franchising revenue in Europe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includes international franchising revenue outside of North America and Europe and a corporately-managed store in China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Contingencies</w:t>
      </w:r>
    </w:p>
    <w:p>
      <w:pPr>
        <w:spacing w:after="0" w:line="229"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In the normal course of business, the Company is subject to legal proceedings, government inquiries and claims, and other commercial disputes. If one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 liability has been incurred and that it can reasonably estimate the amount of the loss. Gain contingencies are recorded when the underlying uncertainty has been settled.</w:t>
      </w:r>
    </w:p>
    <w:p>
      <w:pPr>
        <w:spacing w:after="0" w:line="188"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Assessments made by the United Kingdom customs authority in 2012 have been appealed by the Company, which has paid the disputed duty, strictly under protest, pending the outcome of the continuing dispute, and this is included in receivables in the DTC segment. The United Kingdom customs authority is contesting the Company's appeal. The Company maintains a provision against the related receivable, based on a current evaluation of collectability, using the latest facts available in the dispute. As of August 4, 2018, the Company had a gross receivable balance of $3.7 million and a reserve of $2.9 million, leaving a net receivable of $0.8 million. However, the Company continues to vigorously dispute the customs audit findings and believes that the outcome of this dispute will not have a material adverse impact on the results of operations, liquidity or financial position of the Company.</w:t>
      </w:r>
    </w:p>
    <w:p>
      <w:pPr>
        <w:sectPr>
          <w:pgSz w:w="11900" w:h="16838" w:orient="portrait"/>
          <w:cols w:equalWidth="0" w:num="1">
            <w:col w:w="11420"/>
          </w:cols>
          <w:pgMar w:left="240" w:top="118" w:right="239" w:bottom="285"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285" w:gutter="0" w:footer="0" w:header="0"/>
          <w:type w:val="continuous"/>
        </w:sectPr>
      </w:pPr>
    </w:p>
    <w:bookmarkStart w:id="16" w:name="page17"/>
    <w:bookmarkEnd w:id="1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Notice Regarding Forward-Looking Statements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contains forward-looking statements that involve risks and uncertainties, and we undertake no obligation to update these statements except as required by the federal securities laws. Our actual results may differ materially from the results discussed in the forward-looking statements. These risks and uncertainties include, without limitation, those detailed under the caption “Risk Factors” in the Company’s Annual Report on Form 10-K for the fiscal year ended December 30, 2017, as filed with the SEC, and include the following:</w:t>
      </w:r>
    </w:p>
    <w:p>
      <w:pPr>
        <w:spacing w:after="0" w:line="188" w:lineRule="exact"/>
        <w:rPr>
          <w:sz w:val="20"/>
          <w:szCs w:val="20"/>
          <w:color w:val="auto"/>
        </w:rPr>
      </w:pPr>
    </w:p>
    <w:p>
      <w:pPr>
        <w:ind w:left="660" w:right="3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depend upon the shopping malls in which we are located to attract guests to our stores and a decline in mall traffic could adversely affect our financial performance and profitability;</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generate interest in and demand for our interactive retail experience and products, including being able to identify and respond to consumer preferences in a timely manner, our sales, financial condition and profitability could be adversely affected;</w:t>
      </w:r>
    </w:p>
    <w:p>
      <w:pPr>
        <w:ind w:left="660" w:right="2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consumer interests change rapidly and our success depends on the ongoing effectiveness of our marketing and online initiatives to build consumer affinity for our brand, drive consumer demand for key products and generate traffic for our stores;</w:t>
      </w:r>
    </w:p>
    <w:p>
      <w:pPr>
        <w:ind w:left="660" w:right="68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decline in general global economic conditions could lead to disproportionately reduced consumer demand for our products, which represent relatively discretionary spending, and have an adverse effect on our liquidity and profitability;</w:t>
      </w: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merchandise is manufactured by foreign manufacturers and we transact business in various foreign countries; therefore, the availability and costs of our products, as well as our product pricing, may be negatively affected by risks associated with international manufacturing and trade and foreign currency fluctuations;</w:t>
      </w:r>
    </w:p>
    <w:p>
      <w:pPr>
        <w:spacing w:after="0" w:line="1"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renew, renegotiate or replace our store leases or enter into leases for new stores on favorable terms, or if we violate any of the terms of our current leases, our growth and profitability could be harmed;</w:t>
      </w: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a number of risks related to disruptions, failures or security breaches of our information technology infrastructure. If we improperly obtain or are unable to protect our data or violate privacy or security laws or expectations, we could be subject to liability as well as damage to our reputation;</w:t>
      </w:r>
    </w:p>
    <w:p>
      <w:pPr>
        <w:spacing w:after="0" w:line="1" w:lineRule="exact"/>
        <w:rPr>
          <w:rFonts w:ascii="Arial" w:cs="Arial" w:eastAsia="Arial" w:hAnsi="Arial"/>
          <w:sz w:val="18"/>
          <w:szCs w:val="18"/>
          <w:color w:val="auto"/>
        </w:rPr>
      </w:pPr>
    </w:p>
    <w:p>
      <w:pPr>
        <w:ind w:left="660" w:right="38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evolve our store locations to align with market trends or to effectively manage our overall portfolio of stores which could adversely affect our ability to grow and could significantly harm our profitability;</w:t>
      </w:r>
    </w:p>
    <w:p>
      <w:pPr>
        <w:ind w:left="660" w:right="1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operate successfully if we lose key personnel, are unable to hire qualified additional personnel, or experience turnover of our management team;</w:t>
      </w:r>
    </w:p>
    <w:p>
      <w:pPr>
        <w:ind w:left="660" w:right="120" w:hanging="328"/>
        <w:spacing w:after="0" w:line="2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operate our international corporately-managed locations profitably;</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risks associated with technology and digital operations;</w:t>
      </w:r>
    </w:p>
    <w:p>
      <w:pPr>
        <w:spacing w:after="0" w:line="36" w:lineRule="exact"/>
        <w:rPr>
          <w:rFonts w:ascii="Arial" w:cs="Arial" w:eastAsia="Arial" w:hAnsi="Arial"/>
          <w:sz w:val="18"/>
          <w:szCs w:val="18"/>
          <w:color w:val="auto"/>
        </w:rPr>
      </w:pPr>
    </w:p>
    <w:p>
      <w:pPr>
        <w:ind w:left="660" w:right="28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a few vendors to supply substantially all of our merchandise, and significant price increases or any disruption in their ability to deliver merchandise could harm our ability to source products and supply inventory to our stores;</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fail to renew, register or otherwise protect our trademarks or other intellectual property and may be sued by third parties for infringement or, misappropriation of their proprietary rights, which could be costly, distract our management and personnel and which could result in the diminution in value of our trademarks and other important intellectual property;</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suffer negative publicity or be sued if the manufacturers of our merchandise violate labor laws or engage in practices that consumers believe are unethical;</w:t>
      </w:r>
    </w:p>
    <w:p>
      <w:pPr>
        <w:ind w:left="660" w:right="120" w:hanging="328"/>
        <w:spacing w:after="0" w:line="2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company-owned distribution center which services the majority of our stores in North America and our third-party distribution center providers used in the western United States and Europe may experience disruptions in their ability to support our stores or may operate inefficiently;</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profitability could be adversely affected by fluctuations in petroleum products prices;</w:t>
      </w:r>
    </w:p>
    <w:p>
      <w:pPr>
        <w:spacing w:after="0" w:line="21" w:lineRule="exact"/>
        <w:rPr>
          <w:rFonts w:ascii="Arial" w:cs="Arial" w:eastAsia="Arial" w:hAnsi="Arial"/>
          <w:sz w:val="18"/>
          <w:szCs w:val="18"/>
          <w:color w:val="auto"/>
        </w:rPr>
      </w:pPr>
    </w:p>
    <w:p>
      <w:pPr>
        <w:ind w:left="660" w:right="460" w:hanging="328"/>
        <w:spacing w:after="0" w:line="274"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unable to effectively manage our international franchises, attract new franchisees or if the laws relating to our international franchises change, our growth and profitability could be adversely affected and we could be exposed to additional liability;</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may be adversely impacted at any time by a significant variety of competitive threats;</w:t>
      </w:r>
    </w:p>
    <w:p>
      <w:pPr>
        <w:spacing w:after="0" w:line="21" w:lineRule="exact"/>
        <w:rPr>
          <w:rFonts w:ascii="Arial" w:cs="Arial" w:eastAsia="Arial" w:hAnsi="Arial"/>
          <w:sz w:val="18"/>
          <w:szCs w:val="18"/>
          <w:color w:val="auto"/>
        </w:rPr>
      </w:pPr>
    </w:p>
    <w:p>
      <w:pPr>
        <w:ind w:left="660" w:right="2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suffer negative publicity or a decrease in sales or profitability if the products from other companies that we sell in our stores do not meet our quality standards or fail to achieve our sales expectations;</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unsuccessful in acquiring businesses or engaging in other strategic transactions, which may negatively affect our financial condition and profitability;</w:t>
      </w: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our operating results could reduce our cash flow and we may be unable to repurchase shares at all or at the times or in the amounts we desire or the results of our share repurchase program may not be as beneficial as we would like;</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our quarterly results of operations could cause the price of our common stock to substantially decline;</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limited public float and trading volume for our common stock may have an adverse impact and cause significant fluctuation of market price; and</w:t>
      </w:r>
    </w:p>
    <w:p>
      <w:pPr>
        <w:spacing w:after="0" w:line="59" w:lineRule="exact"/>
        <w:rPr>
          <w:rFonts w:ascii="Arial" w:cs="Arial" w:eastAsia="Arial" w:hAnsi="Arial"/>
          <w:sz w:val="16"/>
          <w:szCs w:val="16"/>
          <w:color w:val="auto"/>
        </w:rPr>
      </w:pPr>
    </w:p>
    <w:p>
      <w:pPr>
        <w:ind w:left="660" w:right="40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sectPr>
          <w:pgSz w:w="11900" w:h="16838" w:orient="portrait"/>
          <w:cols w:equalWidth="0" w:num="1">
            <w:col w:w="11400"/>
          </w:cols>
          <w:pgMar w:left="240" w:top="118" w:right="259"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17" w:name="page18"/>
    <w:bookmarkEnd w:id="1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are the only global company that offers an interactive “make your own stuffed animal” retail entertainment experience under the Build-A-Bear Workshop brand, in which guests participate in the stuffing, fluffing, dressing, accessorizing and naming of their own teddy bears and other stuffed animals. As of August 4, 2018, we operated 365 stores globally and had 96 franchised stores operating internationally under the Build-A-Bear Workshop brand. In addition to our stores, we sell products on our company-owned e-commerce sites, third party e-commerce marketplaces, franchisee sites and through third party retail locations under wholesale agreements.</w:t>
      </w:r>
    </w:p>
    <w:p>
      <w:pPr>
        <w:spacing w:after="0" w:line="188"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Our company is in the late stages of the execution of a multi-year turnaround plan that was initiated in 2013 to improve both sales and profitability with the goal of achieving sustained profitability. In the second quarter of 2018, we continued to evolve and execute our strategic plan with key initiatives in the areas outlined below, which are intended to drive long-term shareholder value:</w:t>
      </w:r>
    </w:p>
    <w:p>
      <w:pPr>
        <w:ind w:left="600" w:hanging="10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 of our experiential retail model to diversify and expand the impact and reach of our brand globally</w:t>
      </w:r>
    </w:p>
    <w:p>
      <w:pPr>
        <w:spacing w:after="0" w:line="9" w:lineRule="exact"/>
        <w:rPr>
          <w:rFonts w:ascii="Arial" w:cs="Arial" w:eastAsia="Arial" w:hAnsi="Arial"/>
          <w:sz w:val="18"/>
          <w:szCs w:val="18"/>
          <w:color w:val="auto"/>
        </w:rPr>
      </w:pPr>
    </w:p>
    <w:p>
      <w:pPr>
        <w:ind w:left="600" w:hanging="10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Simultaneously, leverage the power of our brand and intellectual properties to build margin accretive revenue streams</w:t>
      </w:r>
    </w:p>
    <w:p>
      <w:pPr>
        <w:spacing w:after="0" w:line="9" w:lineRule="exact"/>
        <w:rPr>
          <w:rFonts w:ascii="Arial" w:cs="Arial" w:eastAsia="Arial" w:hAnsi="Arial"/>
          <w:sz w:val="18"/>
          <w:szCs w:val="18"/>
          <w:color w:val="auto"/>
        </w:rPr>
      </w:pPr>
    </w:p>
    <w:p>
      <w:pPr>
        <w:ind w:right="140" w:firstLine="494"/>
        <w:spacing w:after="0" w:line="261" w:lineRule="auto"/>
        <w:tabs>
          <w:tab w:leader="none" w:pos="594"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Improve long-term profitability through the execution of these strategies as well as disciplined expense management and on-going efforts in process and systems upgrades.</w:t>
      </w:r>
    </w:p>
    <w:p>
      <w:pPr>
        <w:spacing w:after="0" w:line="18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operate in three segments that share the same infrastructure, including management, systems, merchandising and marketing, and generate revenues as follows:</w:t>
      </w:r>
    </w:p>
    <w:p>
      <w:pPr>
        <w:spacing w:after="0" w:line="170" w:lineRule="exact"/>
        <w:rPr>
          <w:sz w:val="20"/>
          <w:szCs w:val="20"/>
          <w:color w:val="auto"/>
        </w:rPr>
      </w:pPr>
    </w:p>
    <w:p>
      <w:pPr>
        <w:ind w:left="500" w:right="380" w:hanging="330"/>
        <w:spacing w:after="0" w:line="258"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Direct-to-consumer (“DTC”) – Corporately-managed retail stores located in the United States, Canada, Puerto Rico, the United Kingdom, Ireland, Denmark and China and two e-commerce sites;</w:t>
      </w:r>
    </w:p>
    <w:p>
      <w:pPr>
        <w:spacing w:after="0" w:line="1" w:lineRule="exact"/>
        <w:rPr>
          <w:rFonts w:ascii="Arial" w:cs="Arial" w:eastAsia="Arial" w:hAnsi="Arial"/>
          <w:sz w:val="18"/>
          <w:szCs w:val="18"/>
          <w:color w:val="auto"/>
        </w:rPr>
      </w:pPr>
    </w:p>
    <w:p>
      <w:pPr>
        <w:ind w:left="500" w:right="480" w:hanging="330"/>
        <w:spacing w:after="0" w:line="250"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Commercial – Transactions with other businesses, mainly comprised of wholesale product sales and licensing our intellectual property, including entertainment properties, for third-party use; and</w:t>
      </w: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International Franchising – Royalties and other revenue from international operations under franchise agreements.</w:t>
      </w:r>
    </w:p>
    <w:p>
      <w:pPr>
        <w:spacing w:after="0" w:line="23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Selected financial data attributable to each segment for the thirteen and twenty-six week periods ended August 4, 2018 and July 29, 2017 are set forth in the notes to our condensed consolidated financial statements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to improve consolidated sales and profit through the following key initiatives:</w:t>
      </w:r>
    </w:p>
    <w:p>
      <w:pPr>
        <w:spacing w:after="0" w:line="225" w:lineRule="exact"/>
        <w:rPr>
          <w:sz w:val="20"/>
          <w:szCs w:val="20"/>
          <w:color w:val="auto"/>
        </w:rPr>
      </w:pPr>
    </w:p>
    <w:p>
      <w:pPr>
        <w:ind w:left="340" w:right="20" w:hanging="170"/>
        <w:spacing w:after="0" w:line="255"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Development of our experiential retail model to diversify and expand the impact and reach of our brand globally:</w:t>
      </w:r>
      <w:r>
        <w:rPr>
          <w:rFonts w:ascii="Arial" w:cs="Arial" w:eastAsia="Arial" w:hAnsi="Arial"/>
          <w:sz w:val="18"/>
          <w:szCs w:val="18"/>
          <w:color w:val="auto"/>
        </w:rPr>
        <w:t xml:space="preserve"> We expect to continue to diversify our real estate portfolio to focus on places where families are increasingly going to shop or going for entertainment. We have been actively identifying and securing more tourist locations. We also expect to continue to diversify our store portfolio inclusive of a new, lower capital, more flexible “concourse shop” model. We expect to continue to make improvements to our aged store fleet by leveraging our new Discovery format in conjunction with select natural lease events. Overall, these locations continue to perform ahead of heritage locations in both sales and profitability. In addition, we expect to continue to grow e-commerce sales. We expect to expand globally through existing and new franchise agreements including the recently added franchises in China and India.</w:t>
      </w:r>
    </w:p>
    <w:p>
      <w:pPr>
        <w:spacing w:after="0" w:line="189" w:lineRule="exact"/>
        <w:rPr>
          <w:rFonts w:ascii="Arial" w:cs="Arial" w:eastAsia="Arial" w:hAnsi="Arial"/>
          <w:sz w:val="18"/>
          <w:szCs w:val="18"/>
          <w:color w:val="auto"/>
        </w:rPr>
      </w:pPr>
    </w:p>
    <w:p>
      <w:pPr>
        <w:ind w:left="340" w:right="20" w:hanging="170"/>
        <w:spacing w:after="0" w:line="291"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Leverage the power of our brand and intellectual properties to build margin accretive revenue streams:</w:t>
      </w:r>
      <w:r>
        <w:rPr>
          <w:rFonts w:ascii="Arial" w:cs="Arial" w:eastAsia="Arial" w:hAnsi="Arial"/>
          <w:sz w:val="16"/>
          <w:szCs w:val="16"/>
          <w:color w:val="auto"/>
        </w:rPr>
        <w:t xml:space="preserve"> To meet the needs of our core consumer base (girls and boys ages 3 to 12) while systematically building secondary consumer segments (including collectors, gift-givers and teen-plus target), we expect to continue to develop and expand offerings of successful intellectual properties balanced with core products and a comprehensive program of key licensed products. We expect to leverage the power of both our Build-A-Bear brand as well as our other intellectual properties to further develop our outbound licensed programs and expand these and other margin accretive revenue streams. We also expect to build the entertainment aspects of our business model as we continue to develop content to connect with consumers beyond our retail stores including mobile apps, music videos and other entertainment opportunities to increase engagement, improve efficiency and lead to profitable sales growth.</w:t>
      </w:r>
    </w:p>
    <w:p>
      <w:pPr>
        <w:spacing w:after="0" w:line="167" w:lineRule="exact"/>
        <w:rPr>
          <w:rFonts w:ascii="Arial" w:cs="Arial" w:eastAsia="Arial" w:hAnsi="Arial"/>
          <w:sz w:val="16"/>
          <w:szCs w:val="16"/>
          <w:color w:val="auto"/>
        </w:rPr>
      </w:pPr>
    </w:p>
    <w:p>
      <w:pPr>
        <w:ind w:left="340" w:right="100" w:hanging="170"/>
        <w:spacing w:after="0" w:line="259"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Long-Term Profitability Improvement:</w:t>
      </w:r>
      <w:r>
        <w:rPr>
          <w:rFonts w:ascii="Arial" w:cs="Arial" w:eastAsia="Arial" w:hAnsi="Arial"/>
          <w:sz w:val="18"/>
          <w:szCs w:val="18"/>
          <w:color w:val="auto"/>
        </w:rPr>
        <w:t xml:space="preserve"> We are focused on improving profitability through the execution of our stated strategies detailed above as well as disciplined expense management and on-going efforts in process and systems upgrades. While we continue to monitor consolidated comparable sales as an important metric in our business, we believe that total revenue growth and profitability improvement are more indicative of the progress in our business initiatives on a go forward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Stores:</w:t>
      </w:r>
    </w:p>
    <w:p>
      <w:pPr>
        <w:spacing w:after="0" w:line="225"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table below sets forth the number of Build-A-Bear Workshop corporately-managed stores in North America, Europe and Asia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8"/>
                <w:szCs w:val="18"/>
                <w:b w:val="1"/>
                <w:bCs w:val="1"/>
                <w:color w:val="auto"/>
                <w:w w:val="95"/>
              </w:rPr>
              <w:t>Twenty-six weeks ended</w:t>
            </w: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4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rPr>
              <w:t>August 4, 2018</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ind w:left="520"/>
              <w:spacing w:after="0"/>
              <w:rPr>
                <w:sz w:val="20"/>
                <w:szCs w:val="20"/>
                <w:color w:val="auto"/>
              </w:rPr>
            </w:pPr>
            <w:r>
              <w:rPr>
                <w:rFonts w:ascii="Arial" w:cs="Arial" w:eastAsia="Arial" w:hAnsi="Arial"/>
                <w:sz w:val="18"/>
                <w:szCs w:val="18"/>
                <w:b w:val="1"/>
                <w:bCs w:val="1"/>
                <w:color w:val="auto"/>
              </w:rPr>
              <w:t>July 29, 2017</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2400" w:type="dxa"/>
            <w:vAlign w:val="bottom"/>
          </w:tcPr>
          <w:p>
            <w:pPr>
              <w:spacing w:after="0"/>
              <w:rPr>
                <w:sz w:val="16"/>
                <w:szCs w:val="16"/>
                <w:color w:val="auto"/>
              </w:rPr>
            </w:pPr>
          </w:p>
        </w:tc>
        <w:tc>
          <w:tcPr>
            <w:tcW w:w="112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North</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North</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400" w:type="dxa"/>
            <w:vAlign w:val="bottom"/>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America</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Europe</w:t>
            </w:r>
          </w:p>
        </w:tc>
        <w:tc>
          <w:tcPr>
            <w:tcW w:w="220" w:type="dxa"/>
            <w:vAlign w:val="bottom"/>
          </w:tcPr>
          <w:p>
            <w:pPr>
              <w:spacing w:after="0"/>
              <w:rPr>
                <w:sz w:val="20"/>
                <w:szCs w:val="20"/>
                <w:color w:val="auto"/>
              </w:rPr>
            </w:pPr>
          </w:p>
        </w:tc>
        <w:tc>
          <w:tcPr>
            <w:tcW w:w="7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Asia</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America</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Europe</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Asia</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Opened</w:t>
            </w: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Closed</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0"/>
        </w:trPr>
        <w:tc>
          <w:tcPr>
            <w:tcW w:w="24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400" w:type="dxa"/>
            <w:vAlign w:val="bottom"/>
          </w:tcPr>
          <w:p>
            <w:pPr>
              <w:spacing w:after="0"/>
              <w:rPr>
                <w:sz w:val="20"/>
                <w:szCs w:val="20"/>
                <w:color w:val="auto"/>
              </w:rPr>
            </w:pPr>
            <w:r>
              <w:rPr>
                <w:rFonts w:ascii="Arial" w:cs="Arial" w:eastAsia="Arial" w:hAnsi="Arial"/>
                <w:sz w:val="18"/>
                <w:szCs w:val="18"/>
                <w:color w:val="auto"/>
              </w:rPr>
              <w:t>End of period</w:t>
            </w:r>
          </w:p>
        </w:tc>
        <w:tc>
          <w:tcPr>
            <w:tcW w:w="900" w:type="dxa"/>
            <w:vAlign w:val="bottom"/>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365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294</w:t>
            </w: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r>
      <w:tr>
        <w:trPr>
          <w:trHeight w:val="20"/>
        </w:trPr>
        <w:tc>
          <w:tcPr>
            <w:tcW w:w="2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During 2018, we expect to continue to make improvements to our aged store fleet by leveraging the new Discovery format in conjunction with select natural lease events. As of August 4, 2018, 34% of our store base was in an updated Discovery design. We also expect to close certain stores in accordance with natural lease events as an ongoing part of our real estate management and day-to-day operational plans. Current plans include expansion into more non-traditional locations, made possible in part by concourse shops. Concourse shops are stand-alone retail units that occupy approximately 200 square feet designed to be operated in open, concourse areas of malls or other covered pedestrian areas. We currently expect to have 40 to 45 concourse shops open by the end of fiscal 2018.</w:t>
      </w:r>
    </w:p>
    <w:p>
      <w:pPr>
        <w:sectPr>
          <w:pgSz w:w="11900" w:h="16838" w:orient="portrait"/>
          <w:cols w:equalWidth="0" w:num="1">
            <w:col w:w="11420"/>
          </w:cols>
          <w:pgMar w:left="240" w:top="118" w:right="239" w:bottom="0" w:gutter="0" w:footer="0" w:header="0"/>
        </w:sectPr>
      </w:pPr>
    </w:p>
    <w:bookmarkStart w:id="18" w:name="page19"/>
    <w:bookmarkEnd w:id="18"/>
    <w:p>
      <w:pPr>
        <w:jc w:val="center"/>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98425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 Revenue:</w:t>
      </w:r>
    </w:p>
    <w:p>
      <w:pPr>
        <w:spacing w:after="0" w:line="22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Our first franchisee location was opened in November 2003. All franchised stores have similar signage, store layout, merchandise characteristics and guest experience as our corporately-managed stores. As of August 4, 2018, we had eight master franchise agreements, which typically grant franchise rights for a particular country or group of countries, covering an aggregate of 14 countries.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number of franchised stores opened and closed for the periods presented below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30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Twenty-six weeks ended</w:t>
            </w:r>
          </w:p>
        </w:tc>
      </w:tr>
      <w:tr>
        <w:trPr>
          <w:trHeight w:val="210"/>
        </w:trPr>
        <w:tc>
          <w:tcPr>
            <w:tcW w:w="812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August 4, 2018</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July 29, 2017</w:t>
            </w:r>
          </w:p>
        </w:tc>
        <w:tc>
          <w:tcPr>
            <w:tcW w:w="100" w:type="dxa"/>
            <w:vAlign w:val="bottom"/>
          </w:tcPr>
          <w:p>
            <w:pPr>
              <w:spacing w:after="0"/>
              <w:rPr>
                <w:sz w:val="18"/>
                <w:szCs w:val="18"/>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Opened</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Closed</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10"/>
        </w:trPr>
        <w:tc>
          <w:tcPr>
            <w:tcW w:w="81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 of period</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w:t>
            </w:r>
          </w:p>
        </w:tc>
        <w:tc>
          <w:tcPr>
            <w:tcW w:w="220" w:type="dxa"/>
            <w:vAlign w:val="bottom"/>
            <w:tcBorders>
              <w:top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tcBorders>
          </w:tcPr>
          <w:p>
            <w:pPr>
              <w:spacing w:after="0"/>
              <w:rPr>
                <w:sz w:val="18"/>
                <w:szCs w:val="18"/>
                <w:color w:val="auto"/>
              </w:rPr>
            </w:pPr>
          </w:p>
        </w:tc>
      </w:tr>
      <w:tr>
        <w:trPr>
          <w:trHeight w:val="20"/>
        </w:trPr>
        <w:tc>
          <w:tcPr>
            <w:tcW w:w="8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In the ordinary course of business, we anticipate signing additional master franchise agreements and terminating other such agreements. We believe there is a market potential for approximately 300 international stores outside of the United States, Canada, the United Kingdom and Ireland. We continue to expect franchisees to leverage the new formats that have been developed for our corporately-managed operations and sourcing changes that have significantly reduced the capital and expenses required to open stores. We expect to continue to develop market expansion through both new and existing franchisees in 2018 and beyond. For example, our new China franchise partner operates three locations and plans to open up to 10 locations by the end of fiscal year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560" w:firstLine="324"/>
        <w:spacing w:after="0" w:line="264" w:lineRule="auto"/>
        <w:rPr>
          <w:sz w:val="20"/>
          <w:szCs w:val="20"/>
          <w:color w:val="auto"/>
        </w:rPr>
      </w:pPr>
      <w:r>
        <w:rPr>
          <w:rFonts w:ascii="Arial" w:cs="Arial" w:eastAsia="Arial" w:hAnsi="Arial"/>
          <w:sz w:val="18"/>
          <w:szCs w:val="18"/>
          <w:color w:val="auto"/>
        </w:rPr>
        <w:t>The following table sets forth, for the periods indicated, selected income statement data expressed as a percentage of total revenues, except where otherwise indicated. Percentages will not total due to cost of merchandise sold being expressed as a percentage of net retail sales, commercial revenue, international franchising as well as immaterial rounding: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80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Thirteen weeks ended</w:t>
            </w:r>
          </w:p>
        </w:tc>
        <w:tc>
          <w:tcPr>
            <w:tcW w:w="270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Twenty-six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400" w:type="dxa"/>
            <w:vAlign w:val="bottom"/>
            <w:tcBorders>
              <w:top w:val="single" w:sz="8" w:color="auto"/>
            </w:tcBorders>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August 4,</w:t>
            </w:r>
          </w:p>
        </w:tc>
        <w:tc>
          <w:tcPr>
            <w:tcW w:w="112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rPr>
              <w:t>July 29,</w:t>
            </w:r>
          </w:p>
        </w:tc>
        <w:tc>
          <w:tcPr>
            <w:tcW w:w="280" w:type="dxa"/>
            <w:vAlign w:val="bottom"/>
          </w:tcPr>
          <w:p>
            <w:pPr>
              <w:spacing w:after="0"/>
              <w:rPr>
                <w:sz w:val="16"/>
                <w:szCs w:val="16"/>
                <w:color w:val="auto"/>
              </w:rPr>
            </w:pPr>
          </w:p>
        </w:tc>
        <w:tc>
          <w:tcPr>
            <w:tcW w:w="1400" w:type="dxa"/>
            <w:vAlign w:val="bottom"/>
            <w:tcBorders>
              <w:top w:val="single" w:sz="8" w:color="auto"/>
            </w:tcBorders>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August 4,</w:t>
            </w:r>
          </w:p>
        </w:tc>
        <w:tc>
          <w:tcPr>
            <w:tcW w:w="114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rPr>
              <w:t>July 29,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Net retail sales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97.4%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96.5%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97.7%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revenue</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International franchising revenue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0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Cost of merchandise sold - retail </w:t>
            </w:r>
            <w:r>
              <w:rPr>
                <w:rFonts w:ascii="Arial" w:cs="Arial" w:eastAsia="Arial" w:hAnsi="Arial"/>
                <w:sz w:val="29"/>
                <w:szCs w:val="29"/>
                <w:color w:val="auto"/>
                <w:vertAlign w:val="superscript"/>
              </w:rPr>
              <w:t>(1)</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57.5</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55.4</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56.6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0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Cost of merchandise sold - commercial </w:t>
            </w:r>
            <w:r>
              <w:rPr>
                <w:rFonts w:ascii="Arial" w:cs="Arial" w:eastAsia="Arial" w:hAnsi="Arial"/>
                <w:sz w:val="29"/>
                <w:szCs w:val="29"/>
                <w:color w:val="auto"/>
                <w:vertAlign w:val="superscript"/>
              </w:rPr>
              <w:t>(1)</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56.0</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46.9</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51.6</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0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Cost of merchandise sold - international franchising </w:t>
            </w:r>
            <w:r>
              <w:rPr>
                <w:rFonts w:ascii="Arial" w:cs="Arial" w:eastAsia="Arial" w:hAnsi="Arial"/>
                <w:sz w:val="29"/>
                <w:szCs w:val="29"/>
                <w:color w:val="auto"/>
                <w:vertAlign w:val="superscript"/>
              </w:rPr>
              <w:t>(1)</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54.1</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36.1</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50.3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cost of merchandise sold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Consolidated gross profit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42.6</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45.0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43.5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45.6</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45.2</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44.6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(income), net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Pr>
          <w:p>
            <w:pPr>
              <w:ind w:left="480"/>
              <w:spacing w:after="0"/>
              <w:rPr>
                <w:sz w:val="20"/>
                <w:szCs w:val="20"/>
                <w:color w:val="auto"/>
              </w:rPr>
            </w:pPr>
            <w:r>
              <w:rPr>
                <w:rFonts w:ascii="Arial" w:cs="Arial" w:eastAsia="Arial" w:hAnsi="Arial"/>
                <w:sz w:val="18"/>
                <w:szCs w:val="18"/>
                <w:color w:val="auto"/>
              </w:rPr>
              <w:t>Income (loss) before income taxes</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Pr>
          <w:p>
            <w:pPr>
              <w:ind w:left="480"/>
              <w:spacing w:after="0"/>
              <w:rPr>
                <w:sz w:val="20"/>
                <w:szCs w:val="20"/>
                <w:color w:val="auto"/>
              </w:rPr>
            </w:pPr>
            <w:r>
              <w:rPr>
                <w:rFonts w:ascii="Arial" w:cs="Arial" w:eastAsia="Arial" w:hAnsi="Arial"/>
                <w:sz w:val="18"/>
                <w:szCs w:val="18"/>
                <w:color w:val="auto"/>
              </w:rPr>
              <w:t>Net income (loss)</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20" w:type="dxa"/>
            <w:vAlign w:val="bottom"/>
            <w:vMerge w:val="continue"/>
          </w:tcPr>
          <w:p>
            <w:pPr>
              <w:spacing w:after="0"/>
              <w:rPr>
                <w:sz w:val="24"/>
                <w:szCs w:val="24"/>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 xml:space="preserve">Retail Gross Margin </w:t>
            </w:r>
            <w:r>
              <w:rPr>
                <w:rFonts w:ascii="Arial" w:cs="Arial" w:eastAsia="Arial" w:hAnsi="Arial"/>
                <w:sz w:val="30"/>
                <w:szCs w:val="30"/>
                <w:color w:val="auto"/>
                <w:vertAlign w:val="superscript"/>
              </w:rPr>
              <w:t>(2)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42.5%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44.6%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43.4%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right="180" w:hanging="332"/>
        <w:spacing w:after="0" w:line="291"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p>
      <w:pPr>
        <w:ind w:left="340" w:right="160" w:hanging="332"/>
        <w:spacing w:after="0" w:line="261"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merchandise sold - retail; retail gross margin percentage represents retail gross margin divided by net retail sales.</w:t>
      </w:r>
    </w:p>
    <w:p>
      <w:pPr>
        <w:sectPr>
          <w:pgSz w:w="11900" w:h="16838" w:orient="portrait"/>
          <w:cols w:equalWidth="0" w:num="1">
            <w:col w:w="11420"/>
          </w:cols>
          <w:pgMar w:left="240" w:top="118" w:right="2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0" w:name="page21"/>
    <w:bookmarkEnd w:id="2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Thirteen weeks ended August 4, 2018 compared to thirteen weeks ended July 29, 2017</w:t>
      </w:r>
    </w:p>
    <w:p>
      <w:pPr>
        <w:spacing w:after="0" w:line="225" w:lineRule="exact"/>
        <w:rPr>
          <w:sz w:val="20"/>
          <w:szCs w:val="20"/>
          <w:color w:val="auto"/>
        </w:rPr>
      </w:pPr>
    </w:p>
    <w:p>
      <w:pPr>
        <w:ind w:right="140" w:firstLine="243"/>
        <w:spacing w:after="0" w:line="264" w:lineRule="auto"/>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Consolidated revenues rose 5.0%, including an 8.7% increase in North America and a 14.9% decrease in Europe inclusive of a 14.4%</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consolidated e-commerce. Notably, the European results reflected the impact caused by the ongoing uncertainty surrounding Brexit, as well as the May 2018 implementation of new privacy laws, which restricted our ability to directly market to guests.</w:t>
      </w:r>
    </w:p>
    <w:p>
      <w:pPr>
        <w:spacing w:after="0" w:line="181" w:lineRule="exact"/>
        <w:rPr>
          <w:sz w:val="20"/>
          <w:szCs w:val="20"/>
          <w:color w:val="auto"/>
        </w:rPr>
      </w:pPr>
    </w:p>
    <w:p>
      <w:pPr>
        <w:ind w:right="160" w:firstLine="243"/>
        <w:spacing w:after="0" w:line="277" w:lineRule="auto"/>
        <w:rPr>
          <w:sz w:val="20"/>
          <w:szCs w:val="20"/>
          <w:color w:val="auto"/>
        </w:rPr>
      </w:pPr>
      <w:r>
        <w:rPr>
          <w:rFonts w:ascii="Arial" w:cs="Arial" w:eastAsia="Arial" w:hAnsi="Arial"/>
          <w:sz w:val="18"/>
          <w:szCs w:val="18"/>
          <w:color w:val="auto"/>
        </w:rPr>
        <w:t>Net retail sales for the thirteen weeks ended August 4, 2018 were $81.0 million, compared to $76.4 million for the thirteen weeks ended July 29, 2017, an increase of $4.6 million, or 6.1%. The components of this increase are as follows: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9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Thirteen weeks</w:t>
            </w:r>
          </w:p>
        </w:tc>
      </w:tr>
      <w:tr>
        <w:trPr>
          <w:trHeight w:val="216"/>
        </w:trPr>
        <w:tc>
          <w:tcPr>
            <w:tcW w:w="9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ended</w:t>
            </w:r>
          </w:p>
        </w:tc>
      </w:tr>
      <w:tr>
        <w:trPr>
          <w:trHeight w:val="234"/>
        </w:trPr>
        <w:tc>
          <w:tcPr>
            <w:tcW w:w="9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August 4, 2018</w:t>
            </w:r>
          </w:p>
        </w:tc>
      </w:tr>
      <w:tr>
        <w:trPr>
          <w:trHeight w:val="210"/>
        </w:trPr>
        <w:tc>
          <w:tcPr>
            <w:tcW w:w="9200" w:type="dxa"/>
            <w:vAlign w:val="bottom"/>
          </w:tcPr>
          <w:p>
            <w:pPr>
              <w:spacing w:after="0"/>
              <w:rPr>
                <w:sz w:val="18"/>
                <w:szCs w:val="18"/>
                <w:color w:val="auto"/>
              </w:rPr>
            </w:pPr>
          </w:p>
        </w:tc>
        <w:tc>
          <w:tcPr>
            <w:tcW w:w="15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6"/>
              </w:rPr>
              <w:t>(dollars in millions)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Increase in existing store and e-commerce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Impact of store closures</w:t>
            </w:r>
          </w:p>
        </w:tc>
        <w:tc>
          <w:tcPr>
            <w:tcW w:w="14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Increase from new stores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Impact of foreign currency exchange rates</w:t>
            </w:r>
          </w:p>
        </w:tc>
        <w:tc>
          <w:tcPr>
            <w:tcW w:w="1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revenue estimates and accounting treatment, including gift card breakage</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r>
      <w:tr>
        <w:trPr>
          <w:trHeight w:val="210"/>
        </w:trPr>
        <w:tc>
          <w:tcPr>
            <w:tcW w:w="92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9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revenue increase was driven primarily by the mid-July launch of a new benefit to our Bonus Club loyalty members targeting the birthday celebrations of children in which the price paid for our special ‘Birthday Treat Bear’ is the age they are turning in their birthday month. The program (“Count Your Candles”) was launched with a one-day event that offered all Bonus Club members the opportunity to ‘pay their age’ for any furry friend in a store (“Pay Your Age Day”). The increased revenue from the promotion, follow-on vouchers and ongoing birthday program more than offset the $2.8 million impact from the January 2018 closure of our previously most productive store and the adoption of the new revenue recognition standard (See Note 1 — Basis of Presentation and Note 2 — Revenue for additional information). In addition, revenue continued to be impacted by the Toys“R”Us liquidation proceedings which we believe negatively impacted stores particularly those in close proximity to Toys“R”Us liquidating locations during the first two months of the quarter, as well as the aforementioned European drivers.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Commercial revenue was $1.1 million for the thirteen weeks ended August 4, 2018 compared to $2.1 million for the thirteen weeks ended July 29,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$1.0 million decrease related primarily to the timing of the prior year’s wholesale orders.</w:t>
      </w:r>
    </w:p>
    <w:p>
      <w:pPr>
        <w:spacing w:after="0" w:line="211" w:lineRule="exact"/>
        <w:rPr>
          <w:sz w:val="20"/>
          <w:szCs w:val="20"/>
          <w:color w:val="auto"/>
        </w:rPr>
      </w:pPr>
    </w:p>
    <w:p>
      <w:pPr>
        <w:ind w:right="380" w:firstLine="324"/>
        <w:spacing w:after="0" w:line="257" w:lineRule="auto"/>
        <w:rPr>
          <w:sz w:val="20"/>
          <w:szCs w:val="20"/>
          <w:color w:val="auto"/>
        </w:rPr>
      </w:pPr>
      <w:r>
        <w:rPr>
          <w:rFonts w:ascii="Arial" w:cs="Arial" w:eastAsia="Arial" w:hAnsi="Arial"/>
          <w:sz w:val="18"/>
          <w:szCs w:val="18"/>
          <w:i w:val="1"/>
          <w:iCs w:val="1"/>
          <w:color w:val="auto"/>
        </w:rPr>
        <w:t xml:space="preserve">Retail gross margin. </w:t>
      </w:r>
      <w:r>
        <w:rPr>
          <w:rFonts w:ascii="Arial" w:cs="Arial" w:eastAsia="Arial" w:hAnsi="Arial"/>
          <w:sz w:val="18"/>
          <w:szCs w:val="18"/>
          <w:color w:val="auto"/>
        </w:rPr>
        <w:t>Retail gross margin dollars increased $0.4 million to $34.4 million for the thirteen weeks ended August 4, 2018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thirteen weeks ended July 29, 2017, while the retail gross margin rate declined 210 basis points to 42.5%. The rate decline was driven by contraction in merchandise margin due to the higher promotional activity associated with the Count Your Candles and Pay Your Age Day events covering the final four weeks of the quarter, partially offset by the leverage of fixed occupancy costs. The decrease in gross margin rate also included an expected 50-basis point impact from adoption of the new revenue recognition standard.</w:t>
      </w:r>
    </w:p>
    <w:p>
      <w:pPr>
        <w:spacing w:after="0" w:line="188"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Selling, general and administrative expenses (“SGA”) were $37.9 million for the thirteen weeks ended August 4,</w:t>
      </w:r>
      <w:r>
        <w:rPr>
          <w:rFonts w:ascii="Arial" w:cs="Arial" w:eastAsia="Arial" w:hAnsi="Arial"/>
          <w:sz w:val="16"/>
          <w:szCs w:val="16"/>
          <w:i w:val="1"/>
          <w:iCs w:val="1"/>
          <w:color w:val="auto"/>
        </w:rPr>
        <w:t xml:space="preserve"> </w:t>
      </w:r>
      <w:r>
        <w:rPr>
          <w:rFonts w:ascii="Arial" w:cs="Arial" w:eastAsia="Arial" w:hAnsi="Arial"/>
          <w:sz w:val="16"/>
          <w:szCs w:val="16"/>
          <w:color w:val="auto"/>
        </w:rPr>
        <w:t>2018, or 45.6% of total revenues, a 40-basis point increase compared to the thirteen weeks ended July 29, 2017. The increase in SGA was primarily driven by store labor and costs related to the stronger sales trend at the end of the thirteen weeks ended August 4, 2018 as well as unfavorable currency exchange rates.</w:t>
      </w:r>
    </w:p>
    <w:p>
      <w:pPr>
        <w:spacing w:after="0" w:line="14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expense (income) was less than $0.1 million for both the thirteen weeks ended August 4, 2018 and July 29, 2017,</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w:t>
      </w:r>
    </w:p>
    <w:p>
      <w:pPr>
        <w:spacing w:after="0" w:line="170"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The income tax provision was a benefit of $0.7 million with a tax rate of 29.3% for the thirteen weeks ended August 4, 2018</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$0.2 million for the thirteen weeks ended July 29, 2017. In the second quarter of fiscal 2018, the effective tax rate differed from the statutory rate of 21% primarily due to the jurisdictional mix of earnings. In the second quarter of fiscal 2017, the effective tax rate differed from the statutory rate of 34% primarily due to the effect of discrete tax items. The statutory rate decreased to 21% as a result of the enactment of the Tax Cut and Jobs Act on December 22,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Twenty-six weeks ended August 4, 2018 compared to twenty-six weeks ended July 29, 2017</w:t>
      </w:r>
    </w:p>
    <w:p>
      <w:pPr>
        <w:spacing w:after="0" w:line="229" w:lineRule="exact"/>
        <w:rPr>
          <w:sz w:val="20"/>
          <w:szCs w:val="20"/>
          <w:color w:val="auto"/>
        </w:rPr>
      </w:pPr>
    </w:p>
    <w:p>
      <w:pPr>
        <w:ind w:right="180" w:firstLine="243"/>
        <w:spacing w:after="0" w:line="277" w:lineRule="auto"/>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Net retail sales for the twenty-six weeks ended August 4, 2018 were $162.5 million, compared to $165.1 million for the twenty-six weeks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July 29, 2017, a decrease of $2.6 million, or 1.6%. The components of this decrease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4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Twenty-six weeks</w:t>
            </w:r>
          </w:p>
        </w:tc>
      </w:tr>
      <w:tr>
        <w:trPr>
          <w:trHeight w:val="216"/>
        </w:trPr>
        <w:tc>
          <w:tcPr>
            <w:tcW w:w="9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ended</w:t>
            </w:r>
          </w:p>
        </w:tc>
      </w:tr>
      <w:tr>
        <w:trPr>
          <w:trHeight w:val="234"/>
        </w:trPr>
        <w:tc>
          <w:tcPr>
            <w:tcW w:w="9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August 4, 2018</w:t>
            </w:r>
          </w:p>
        </w:tc>
      </w:tr>
      <w:tr>
        <w:trPr>
          <w:trHeight w:val="210"/>
        </w:trPr>
        <w:tc>
          <w:tcPr>
            <w:tcW w:w="9840" w:type="dxa"/>
            <w:vAlign w:val="bottom"/>
          </w:tcPr>
          <w:p>
            <w:pPr>
              <w:spacing w:after="0"/>
              <w:rPr>
                <w:sz w:val="18"/>
                <w:szCs w:val="18"/>
                <w:color w:val="auto"/>
              </w:rPr>
            </w:pPr>
          </w:p>
        </w:tc>
        <w:tc>
          <w:tcPr>
            <w:tcW w:w="14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6"/>
              </w:rPr>
              <w:t>(dollars in millions)</w:t>
            </w:r>
          </w:p>
        </w:tc>
        <w:tc>
          <w:tcPr>
            <w:tcW w:w="100" w:type="dxa"/>
            <w:vAlign w:val="bottom"/>
          </w:tcPr>
          <w:p>
            <w:pPr>
              <w:spacing w:after="0"/>
              <w:rPr>
                <w:sz w:val="18"/>
                <w:szCs w:val="18"/>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Decrease in existing store and e-commerce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Impact of store closures</w:t>
            </w: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Increase from new stores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Impact of foreign currency exchange rates</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revenue estimates and accounting treatment, including gift card breakage</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0"/>
        </w:trPr>
        <w:tc>
          <w:tcPr>
            <w:tcW w:w="98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98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0"/>
        </w:trPr>
        <w:tc>
          <w:tcPr>
            <w:tcW w:w="9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sectPr>
          <w:pgSz w:w="11900" w:h="16838" w:orient="portrait"/>
          <w:cols w:equalWidth="0" w:num="1">
            <w:col w:w="11480"/>
          </w:cols>
          <w:pgMar w:left="240" w:top="118" w:right="179" w:bottom="865" w:gutter="0" w:footer="0" w:header="0"/>
        </w:sectPr>
      </w:pPr>
    </w:p>
    <w:p>
      <w:pPr>
        <w:jc w:val="center"/>
        <w:ind w:right="60"/>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118" w:right="179" w:bottom="865" w:gutter="0" w:footer="0" w:header="0"/>
          <w:type w:val="continuous"/>
        </w:sectPr>
      </w:pPr>
    </w:p>
    <w:bookmarkStart w:id="21" w:name="page22"/>
    <w:bookmarkEnd w:id="2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480" w:firstLine="324"/>
        <w:spacing w:after="0" w:line="274" w:lineRule="auto"/>
        <w:rPr>
          <w:sz w:val="20"/>
          <w:szCs w:val="20"/>
          <w:color w:val="auto"/>
        </w:rPr>
      </w:pPr>
      <w:r>
        <w:rPr>
          <w:rFonts w:ascii="Arial" w:cs="Arial" w:eastAsia="Arial" w:hAnsi="Arial"/>
          <w:sz w:val="17"/>
          <w:szCs w:val="17"/>
          <w:color w:val="auto"/>
        </w:rPr>
        <w:t>The decrease in net retail sales included the $1.3 million impact from the adoption of the new revenue recognition standard (See Note 1 — Basis of Presentation and Note 2 — Revenue for additional information). In addition, our previously most productive store closed in January 2018</w:t>
      </w:r>
    </w:p>
    <w:p>
      <w:pPr>
        <w:ind w:right="560"/>
        <w:spacing w:after="0" w:line="261" w:lineRule="auto"/>
        <w:rPr>
          <w:sz w:val="20"/>
          <w:szCs w:val="20"/>
          <w:color w:val="auto"/>
        </w:rPr>
      </w:pPr>
      <w:r>
        <w:rPr>
          <w:rFonts w:ascii="Arial" w:cs="Arial" w:eastAsia="Arial" w:hAnsi="Arial"/>
          <w:sz w:val="18"/>
          <w:szCs w:val="18"/>
          <w:color w:val="auto"/>
        </w:rPr>
        <w:t>and Toys“R”Us conducted liquidation proceedings which we believe negatively impacted sales at our stores, particularly those in closer proximity to a liquidating Toys“R”Us location, partially offset by revenue increase associated with the Pay Your Age events.</w:t>
      </w:r>
    </w:p>
    <w:p>
      <w:pPr>
        <w:spacing w:after="0" w:line="18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Commercial revenue was $2.1 million for the twenty-six weeks ended August 4, 2018 compared to $4.1 million for the twenty-six weeks ended July 29, 2017. The $2.0 million decrease related primarily to the timing of the prior year's wholesale orders.</w:t>
      </w:r>
    </w:p>
    <w:p>
      <w:pPr>
        <w:spacing w:after="0" w:line="170" w:lineRule="exact"/>
        <w:rPr>
          <w:sz w:val="20"/>
          <w:szCs w:val="20"/>
          <w:color w:val="auto"/>
        </w:rPr>
      </w:pPr>
    </w:p>
    <w:p>
      <w:pPr>
        <w:ind w:right="340" w:firstLine="324"/>
        <w:spacing w:after="0" w:line="291" w:lineRule="auto"/>
        <w:rPr>
          <w:sz w:val="20"/>
          <w:szCs w:val="20"/>
          <w:color w:val="auto"/>
        </w:rPr>
      </w:pPr>
      <w:r>
        <w:rPr>
          <w:rFonts w:ascii="Arial" w:cs="Arial" w:eastAsia="Arial" w:hAnsi="Arial"/>
          <w:sz w:val="16"/>
          <w:szCs w:val="16"/>
          <w:color w:val="auto"/>
        </w:rPr>
        <w:t>Retail gross margin. Retail gross margin was $70.5 million for the twenty-six weeks ended August 4, 2018 compared to $76.3 million for the twenty-six weeks ended July 29, 2017, a decrease of $5.8 million, or 7.7%. As a percentage of net retail sales, retail gross margin was 43.4% for the twenty-</w:t>
      </w:r>
    </w:p>
    <w:p>
      <w:pPr>
        <w:ind w:right="260"/>
        <w:spacing w:after="0" w:line="290" w:lineRule="auto"/>
        <w:rPr>
          <w:sz w:val="20"/>
          <w:szCs w:val="20"/>
          <w:color w:val="auto"/>
        </w:rPr>
      </w:pPr>
      <w:r>
        <w:rPr>
          <w:rFonts w:ascii="Arial" w:cs="Arial" w:eastAsia="Arial" w:hAnsi="Arial"/>
          <w:sz w:val="17"/>
          <w:szCs w:val="17"/>
          <w:color w:val="auto"/>
        </w:rPr>
        <w:t>six weeks ended August 4, 2018 compared to 46.2% for the twenty-six weeks ended July 29, 2017. This 280 basis-point gross margin decrease was largely driven by contraction in merchandise margin due to the higher promotional activity associated with the Pay Your Age events.</w:t>
      </w:r>
    </w:p>
    <w:p>
      <w:pPr>
        <w:spacing w:after="0" w:line="162"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i w:val="1"/>
          <w:iCs w:val="1"/>
          <w:color w:val="auto"/>
        </w:rPr>
        <w:t xml:space="preserve">Selling, general and administrative </w:t>
      </w:r>
      <w:r>
        <w:rPr>
          <w:rFonts w:ascii="Arial" w:cs="Arial" w:eastAsia="Arial" w:hAnsi="Arial"/>
          <w:sz w:val="17"/>
          <w:szCs w:val="17"/>
          <w:color w:val="auto"/>
        </w:rPr>
        <w:t>(“SGA”). SGA was $74.3 million for the twenty-six weeks ended August 4, 2018, compared to $75.0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twenty-six weeks ended July 29, 2017, a decrease of $0.7 million, or 1.0%. The decrease in SGA was primarily due to reduced advertising spend, partially offset by store labor and costs related to the stronger sales trend at the close of the thirteen weeks ended August 4, 2018.</w:t>
      </w:r>
    </w:p>
    <w:p>
      <w:pPr>
        <w:spacing w:after="0" w:line="16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expense (income) was less than $0.1 million for both the twenty-six weeks ended August 4, 2018 and July 29,</w:t>
      </w:r>
      <w:r>
        <w:rPr>
          <w:rFonts w:ascii="Arial" w:cs="Arial" w:eastAsia="Arial" w:hAnsi="Arial"/>
          <w:sz w:val="18"/>
          <w:szCs w:val="18"/>
          <w:i w:val="1"/>
          <w:iCs w:val="1"/>
          <w:color w:val="auto"/>
        </w:rPr>
        <w:t xml:space="preserve"> </w:t>
      </w:r>
      <w:r>
        <w:rPr>
          <w:rFonts w:ascii="Arial" w:cs="Arial" w:eastAsia="Arial" w:hAnsi="Arial"/>
          <w:sz w:val="18"/>
          <w:szCs w:val="18"/>
          <w:color w:val="auto"/>
        </w:rPr>
        <w:t>2017, respectively.</w:t>
      </w:r>
    </w:p>
    <w:p>
      <w:pPr>
        <w:spacing w:after="0" w:line="17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The income tax provision was a benefit of $0.5 million with a tax rate of 23.9% for the twenty-six weeks ended August 4,</w:t>
      </w:r>
      <w:r>
        <w:rPr>
          <w:rFonts w:ascii="Arial" w:cs="Arial" w:eastAsia="Arial" w:hAnsi="Arial"/>
          <w:sz w:val="18"/>
          <w:szCs w:val="18"/>
          <w:i w:val="1"/>
          <w:iCs w:val="1"/>
          <w:color w:val="auto"/>
        </w:rPr>
        <w:t xml:space="preserve"> </w:t>
      </w:r>
      <w:r>
        <w:rPr>
          <w:rFonts w:ascii="Arial" w:cs="Arial" w:eastAsia="Arial" w:hAnsi="Arial"/>
          <w:sz w:val="18"/>
          <w:szCs w:val="18"/>
          <w:color w:val="auto"/>
        </w:rPr>
        <w:t>2018 as compared to income tax expense of $1.6 million with a tax rate of 37.3% for the twenty-six weeks ended July 29, 2017. In the first half of fiscal 2018, the effective tax rate differed from the statutory rate of 21% primarily due to the jurisdictional mix of earnings. In the first half of fiscal 2017, the effective tax rate differed from the statutory rate of 34% primarily due to the effect of discrete tax items. The statutory rate decreased to 21% as a result of the enactment of the Tax Cut and Jobs Act on December 22, 2017.</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 and Quarterly Results</w:t>
      </w:r>
    </w:p>
    <w:p>
      <w:pPr>
        <w:spacing w:after="0" w:line="22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Our operating results for one period may not be indicative of results for other periods, and may fluctuate significantly because of a variety of factors, including, but not limited to: (1) changes in general economic conditions and consumer spending patterns; (2) increases or decreases in our existing store and e-commerce sales; (3) fluctuations in the profitability of our stores; (4) changes in foreign currency exchange rates; (5) the timing and frequency of the sales of licensed products tied to major theatrical releases, our marketing initiatives, including national media and other public relations events; (6) the timing of our store openings and closings and related expenses; (7) changes in consumer preferences; (8) the effectiveness of our inventory management; (9) the actions of our competitors or mall anchors and co-tenants; (10) seasonal shopping patterns and holiday and vacation schedules; and (11) weather conditions.</w:t>
      </w:r>
    </w:p>
    <w:p>
      <w:pPr>
        <w:spacing w:after="0" w:line="16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timing of store closures, remodels and openings may result in fluctuations in quarterly results based on the revenues and expenses associated with each store location. Expenses related to store closings are typically incurred in stages: when the decision is made to close the store typically associated with a lease event such as an expiration or lease triggered clause; when the closure is communicated to store associates; and at the time of closure. We typically incur most preopening costs for a new store in the three months immediately preceding the store’s opening.</w:t>
      </w:r>
    </w:p>
    <w:p>
      <w:pPr>
        <w:spacing w:after="0" w:line="17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As a retailer that has toy products as part of our revenue model, our sales are highest in our fourth quarter. The timing of holidays and school vacations can impact our quarterly results. We cannot assure you that this will continue to be the case. In addition, for accounting purposes, the quarters of each fiscal year consist of 13 weeks, although we will have a 14-week quarter approximately once every six years. For example, the 2014 fiscal fourth quarter had 14 weeks and the transition period ended February 3, 2018 had five weeks.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Our cash requirements are primarily for the relocation and remodeling of existing stores in our new design, opening of new stores, investments in information technology infrastructure and working capital. Over the past several years, we have met these requirements through capital generated from cash flow provided by operations. We have access to additional cash through our revolving line of credit that has been in place since 2000.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operating, investing and financing activities are shown in the following table (dollars in thousands):</w:t>
      </w:r>
    </w:p>
    <w:p>
      <w:pPr>
        <w:sectPr>
          <w:pgSz w:w="11900" w:h="16838" w:orient="portrait"/>
          <w:cols w:equalWidth="0" w:num="1">
            <w:col w:w="11420"/>
          </w:cols>
          <w:pgMar w:left="240" w:top="118" w:right="239" w:bottom="2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 cash</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Twenty-six weeks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1"/>
              </w:rPr>
              <w:t>August 4, 2018</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5"/>
              </w:rPr>
              <w:t>July 29, 2017</w:t>
            </w:r>
          </w:p>
        </w:tc>
      </w:tr>
      <w:tr>
        <w:trPr>
          <w:trHeight w:val="195"/>
        </w:trPr>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7,762</w:t>
            </w:r>
          </w:p>
        </w:tc>
        <w:tc>
          <w:tcPr>
            <w:tcW w:w="10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line="195" w:lineRule="exact"/>
              <w:rPr>
                <w:sz w:val="20"/>
                <w:szCs w:val="20"/>
                <w:color w:val="auto"/>
              </w:rPr>
            </w:pPr>
            <w:r>
              <w:rPr>
                <w:rFonts w:ascii="Arial" w:cs="Arial" w:eastAsia="Arial" w:hAnsi="Arial"/>
                <w:sz w:val="18"/>
                <w:szCs w:val="18"/>
                <w:color w:val="auto"/>
              </w:rPr>
              <w:t>(5,343)</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(9,326)</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230"/>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r>
      <w:tr>
        <w:trPr>
          <w:trHeight w:val="210"/>
        </w:trPr>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(15,460)</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300"/>
          </w:cols>
          <w:pgMar w:left="240" w:top="118" w:right="239" w:bottom="271" w:gutter="0" w:footer="0" w:header="0"/>
          <w:type w:val="continuous"/>
        </w:sectPr>
      </w:pPr>
    </w:p>
    <w:p>
      <w:pPr>
        <w:spacing w:after="0" w:line="2"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Cash provided by operating activities increased $11.3 million for the twenty-six weeks ended August 4, 2018, as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twenty-six weeks ended July 29, 2017. Generally, changes in cash from operating activities are driven by changes in net income and changes in operating assets and liabilities. This increase in cash from operating activities was primarily due to the timing of inventory and payroll payments.</w:t>
      </w:r>
    </w:p>
    <w:p>
      <w:pPr>
        <w:spacing w:after="0" w:line="166" w:lineRule="exact"/>
        <w:rPr>
          <w:sz w:val="20"/>
          <w:szCs w:val="20"/>
          <w:color w:val="auto"/>
        </w:rPr>
      </w:pPr>
    </w:p>
    <w:p>
      <w:pPr>
        <w:jc w:val="both"/>
        <w:ind w:right="20" w:firstLine="405"/>
        <w:spacing w:after="0" w:line="302"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Cash used in investing activities decreased $2.3 million for the twenty-six weeks ended August 4, 2018, as compared to the twenty-six weeks ended July 29, 2017. Cash used in investing activities during the twenty-six weeks ended August 4, 2018 primarily related to store construction and upgrades, and purchases of information technology infrastructure partially offset by the benefit of an insurance claim. Cash used in investing activities during the twenty-six weeks ended July 29, 2017 primarily related to store construction and upgrades as well as purchases of information technology infrastructure.</w:t>
      </w:r>
    </w:p>
    <w:p>
      <w:pPr>
        <w:sectPr>
          <w:pgSz w:w="11900" w:h="16838" w:orient="portrait"/>
          <w:cols w:equalWidth="0" w:num="1">
            <w:col w:w="11420"/>
          </w:cols>
          <w:pgMar w:left="240" w:top="118" w:right="239" w:bottom="271" w:gutter="0" w:footer="0" w:header="0"/>
          <w:type w:val="continuous"/>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271" w:gutter="0" w:footer="0" w:header="0"/>
          <w:type w:val="continuous"/>
        </w:sectPr>
      </w:pPr>
    </w:p>
    <w:bookmarkStart w:id="22" w:name="page23"/>
    <w:bookmarkEnd w:id="2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Financing activities used cash of $1.8 million for the twenty-six weeks ended August 4, 2018, including $1.4 million in purchases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common stock and $0.4 million related to stock-based compensation. In the twenty-six weeks ended July 29, 2017, financing activities used cash of $0.5 million primarily related to stock-based compensation. No borrowings were made under our line of credit in either the twenty-six weeks ended August 4, 2018 or July 29, 2017.</w:t>
      </w:r>
    </w:p>
    <w:p>
      <w:pPr>
        <w:spacing w:after="0" w:line="18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i w:val="1"/>
          <w:iCs w:val="1"/>
          <w:color w:val="auto"/>
        </w:rPr>
        <w:t xml:space="preserve">Capital Resources. </w:t>
      </w:r>
      <w:r>
        <w:rPr>
          <w:rFonts w:ascii="Arial" w:cs="Arial" w:eastAsia="Arial" w:hAnsi="Arial"/>
          <w:sz w:val="17"/>
          <w:szCs w:val="17"/>
          <w:color w:val="auto"/>
        </w:rPr>
        <w:t>As of August 4, 2018, we had a consolidated cash balance of $20.4 million and approximately two-thirds of this balance was</w:t>
      </w:r>
      <w:r>
        <w:rPr>
          <w:rFonts w:ascii="Arial" w:cs="Arial" w:eastAsia="Arial" w:hAnsi="Arial"/>
          <w:sz w:val="17"/>
          <w:szCs w:val="17"/>
          <w:i w:val="1"/>
          <w:iCs w:val="1"/>
          <w:color w:val="auto"/>
        </w:rPr>
        <w:t xml:space="preserve"> </w:t>
      </w:r>
      <w:r>
        <w:rPr>
          <w:rFonts w:ascii="Arial" w:cs="Arial" w:eastAsia="Arial" w:hAnsi="Arial"/>
          <w:sz w:val="17"/>
          <w:szCs w:val="17"/>
          <w:color w:val="auto"/>
        </w:rPr>
        <w:t>domiciled within the United States. We also have a line of credit which we can use to finance capital expenditures and working capital needs throughout the year. On May 4, 2017, we amended the credit agreement, extending the expiration date to December 31, 2018 and increasing the amount of permitted lease and rental payments for personal property from $100,000 to $1.0 million. The bank line provides availability of $35.0 million. Borrowings under the credit agreement are secured by our assets and a pledge of 66% of our ownership interest in certain of our foreign subsidiaries. The credit agreement contains various restrictions on indebtedness, liens, guarantees, redemptions, mergers, acquisitions or sale of assets, loans, transactions with affiliates and investments. It also prohibits us from declaring dividends without the bank’s prior consent, unless such payment of dividends would not violate any terms of the credit agreement. We are also prohibited from repurchasing shares of our common stock unless such repurchase of shares would not violate any terms of the credit agreement, and we may not use the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As of August 4, 2018: (i) we were in compliance with all covenants; (ii) there were no borrowings under our line of credit; and (iii) there was approximately $35.0 million available for borrowing under the line of credit. We may incur borrowings in amounts that are expected to fluctuate throughout the remainder of the year and all of which we expect to repay before the end of the fiscal year.</w:t>
      </w:r>
    </w:p>
    <w:p>
      <w:pPr>
        <w:spacing w:after="0" w:line="185"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In fiscal 2018, we expect to spend a total of $15 to $18 million on capital expenditures. Capital spending through the twenty-six weeks ended August 4, 2018 totaled $7.1 million, on track with our full year plans. Capital spending in fiscal 2018 is expected to primarily support our store activity, including both remodels and new stores and investments in information technology infrastructure.</w:t>
      </w:r>
    </w:p>
    <w:p>
      <w:pPr>
        <w:spacing w:after="0" w:line="181" w:lineRule="exact"/>
        <w:rPr>
          <w:sz w:val="20"/>
          <w:szCs w:val="20"/>
          <w:color w:val="auto"/>
        </w:rPr>
      </w:pPr>
    </w:p>
    <w:p>
      <w:pPr>
        <w:jc w:val="both"/>
        <w:ind w:right="140" w:firstLine="324"/>
        <w:spacing w:after="0" w:line="277" w:lineRule="auto"/>
        <w:rPr>
          <w:sz w:val="20"/>
          <w:szCs w:val="20"/>
          <w:color w:val="auto"/>
        </w:rPr>
      </w:pPr>
      <w:r>
        <w:rPr>
          <w:rFonts w:ascii="Arial" w:cs="Arial" w:eastAsia="Arial" w:hAnsi="Arial"/>
          <w:sz w:val="18"/>
          <w:szCs w:val="18"/>
          <w:color w:val="auto"/>
        </w:rPr>
        <w:t>We believe that cash generated from operations and borrowings under our credit agreement will be sufficient to fund our working capital and other cash flow requirements for the near future. Our credit agreement expires on December 31, 2018.</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August 2017, our Board of Directors authorized a share repurchase program of up to $20 million. This program authorized us to purchase up to $20 million of our common stock in the open market (including through 10b5-1 trading plans), or through privately negotiated transactions. The primary source of funding for the program is expected to be cash on hand. The timing and amount of share repurchases, if any, will depend on price, market conditions, applicable regulatory requirements, and other factors. The program authorizes us to repurchase shares through September 30, 2020, and does not require us to repurchase any specific number of shares, and may be modified, suspended or terminated at any time without prior notice. Shares repurchased under the program will be subsequently retired. Under this program through August 4, 2018, we repurchased approximately 1.2 million shares at an average price of $8.77 per share for an aggregate amount of $10.7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do not believe that inflation has had a material adverse impact on our business or operating results during the periods presented. We cannot provide assurance, however, that our business will not be affected by inflation in the future.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believe application of accounting policies, and the estimates inherently required therein, are reasonable. These accounting policies and estimates, including those related to inventory, long-lived assets, revenue recognition and income taxes, are reevaluated on an ongoing basis,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87"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Our critical accounting policies and estimates are discussed in and should be read in conjunction with our Annual Report on Form 10-K, as filed with the Securities and Exchange Commission (SEC) on March 15, 2018, which includes audited consolidated financial statements for our 2017, 2016 and 2015 fiscal years. There have been no material changes to the critical accounting estimates disclosed in the 2017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 to the Condensed Consolidated Financial Statements — Basis of Presentation — Recently Issued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There have been no material changes to our Quantitative and Qualitative Disclosures About Market Risk as disclosed in our Annual Report on Form 10-K for the year ended December 30, 2017 as filed with the SEC on March 15, 2018.</w:t>
      </w:r>
    </w:p>
    <w:p>
      <w:pPr>
        <w:sectPr>
          <w:pgSz w:w="11900" w:h="16838" w:orient="portrait"/>
          <w:cols w:equalWidth="0" w:num="1">
            <w:col w:w="11400"/>
          </w:cols>
          <w:pgMar w:left="240" w:top="118" w:right="259" w:bottom="352"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352" w:gutter="0" w:footer="0" w:header="0"/>
          <w:type w:val="continuous"/>
        </w:sectPr>
      </w:pPr>
    </w:p>
    <w:bookmarkStart w:id="23" w:name="page24"/>
    <w:bookmarkEnd w:id="2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Our management, with the participation of our President and Chief Executive Officer and Chief Financial Officer, has evaluated the effectiveness of our disclosure controls and procedures,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August 4, 2018, the end of the period covered by this Quarterly Report.</w:t>
      </w:r>
    </w:p>
    <w:p>
      <w:pPr>
        <w:spacing w:after="0" w:line="189"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It should be noted that our management, including the President and Chief Executive Officer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 Company’s management, with the participation of the Company’s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and Chief Financial Officer, also conducted an evaluation of the Company’s internal control over financial reporting to determine whether any changes occurred during the period covered by this report that have materially affected, or are reasonably likely to materially affect, the Company’s internal control over financial reporting.</w:t>
      </w: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fiscal 2018, we implemented a new enterprise resource planning (“ERP”) system by transitioning certain of our corporate operations,</w:t>
      </w:r>
    </w:p>
    <w:p>
      <w:pPr>
        <w:spacing w:after="0" w:line="2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including corporate general ledger, corporate procurement and payments, non-retail order to cash and corporate cash management functions to the new ERP system.</w:t>
      </w:r>
    </w:p>
    <w:p>
      <w:pPr>
        <w:spacing w:after="0" w:line="184"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have modified our existing internal controls infrastructure, as well as added other processes and internal controls, to adapt to our new ERP system as well as take advantage of the increased functionality of the new system. We believe that the new ERP system and related changes to processes and the design of our internal controls will enhance our internal control over financial reporting while providing us with the ability to scale our business. We believe we have taken the necessary steps to monitor and maintain appropriate internal control over financial reporting and we will continue to evaluate the operating effectiveness of related key internal controls during subsequent periods.</w:t>
      </w:r>
    </w:p>
    <w:p>
      <w:pPr>
        <w:spacing w:after="0" w:line="188"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With the exception of the implementation of our ERP solution, no change in our internal control over financial reporting occurred during the fiscal quarter ended August 4, 2018 that has materially affected, or is reasonably likely to materially affect, our internal control over financial reporting. Based on that evaluation, there has been no such change during the period covered by this report.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There have been no material changes to our risk factors as disclosed in our Annual Report on Form 10-K for the year ended December 30, 2017 as filed with the Securities and Exchange Commission on March 15,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(d)</w:t>
            </w:r>
          </w:p>
        </w:tc>
      </w:tr>
      <w:tr>
        <w:trPr>
          <w:trHeight w:val="216"/>
        </w:trPr>
        <w:tc>
          <w:tcPr>
            <w:tcW w:w="5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5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Number</w:t>
            </w:r>
          </w:p>
        </w:tc>
      </w:tr>
      <w:tr>
        <w:trPr>
          <w:trHeight w:val="216"/>
        </w:trPr>
        <w:tc>
          <w:tcPr>
            <w:tcW w:w="5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Total Number of</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(or Approximate</w:t>
            </w:r>
          </w:p>
        </w:tc>
      </w:tr>
      <w:tr>
        <w:trPr>
          <w:trHeight w:val="216"/>
        </w:trPr>
        <w:tc>
          <w:tcPr>
            <w:tcW w:w="5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Shares (or Units)</w:t>
            </w: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Dollar Value) of</w:t>
            </w:r>
          </w:p>
        </w:tc>
      </w:tr>
      <w:tr>
        <w:trPr>
          <w:trHeight w:val="221"/>
        </w:trPr>
        <w:tc>
          <w:tcPr>
            <w:tcW w:w="5160" w:type="dxa"/>
            <w:vAlign w:val="bottom"/>
          </w:tcPr>
          <w:p>
            <w:pPr>
              <w:spacing w:after="0"/>
              <w:rPr>
                <w:sz w:val="19"/>
                <w:szCs w:val="19"/>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w:t>
            </w:r>
          </w:p>
        </w:tc>
        <w:tc>
          <w:tcPr>
            <w:tcW w:w="180" w:type="dxa"/>
            <w:vAlign w:val="bottom"/>
          </w:tcPr>
          <w:p>
            <w:pPr>
              <w:spacing w:after="0"/>
              <w:rPr>
                <w:sz w:val="19"/>
                <w:szCs w:val="19"/>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(b)</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Purchased as</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Shares (or Units)</w:t>
            </w:r>
          </w:p>
        </w:tc>
      </w:tr>
      <w:tr>
        <w:trPr>
          <w:trHeight w:val="216"/>
        </w:trPr>
        <w:tc>
          <w:tcPr>
            <w:tcW w:w="51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Total Number</w:t>
            </w:r>
          </w:p>
        </w:tc>
        <w:tc>
          <w:tcPr>
            <w:tcW w:w="18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Average</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Part of Publicly</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51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of Shares</w:t>
            </w:r>
          </w:p>
        </w:tc>
        <w:tc>
          <w:tcPr>
            <w:tcW w:w="18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Price Paid</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Announced</w:t>
            </w: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51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(or Units)</w:t>
            </w:r>
          </w:p>
        </w:tc>
        <w:tc>
          <w:tcPr>
            <w:tcW w:w="18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Per Share</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Plans or</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the Plans or</w:t>
            </w:r>
          </w:p>
        </w:tc>
      </w:tr>
      <w:tr>
        <w:trPr>
          <w:trHeight w:val="270"/>
        </w:trPr>
        <w:tc>
          <w:tcPr>
            <w:tcW w:w="516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38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5"/>
              </w:rPr>
              <w:t xml:space="preserve">Purchased </w:t>
            </w:r>
            <w:r>
              <w:rPr>
                <w:rFonts w:ascii="Arial" w:cs="Arial" w:eastAsia="Arial" w:hAnsi="Arial"/>
                <w:sz w:val="30"/>
                <w:szCs w:val="30"/>
                <w:b w:val="1"/>
                <w:bCs w:val="1"/>
                <w:color w:val="auto"/>
                <w:w w:val="85"/>
                <w:vertAlign w:val="superscript"/>
              </w:rPr>
              <w:t>(1)</w:t>
            </w:r>
          </w:p>
        </w:tc>
        <w:tc>
          <w:tcPr>
            <w:tcW w:w="2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7"/>
              </w:rPr>
              <w:t>(or Unit)</w:t>
            </w:r>
          </w:p>
        </w:tc>
        <w:tc>
          <w:tcPr>
            <w:tcW w:w="240" w:type="dxa"/>
            <w:vAlign w:val="bottom"/>
          </w:tcPr>
          <w:p>
            <w:pPr>
              <w:spacing w:after="0"/>
              <w:rPr>
                <w:sz w:val="23"/>
                <w:szCs w:val="23"/>
                <w:color w:val="auto"/>
              </w:rPr>
            </w:pPr>
          </w:p>
        </w:tc>
        <w:tc>
          <w:tcPr>
            <w:tcW w:w="134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6"/>
              </w:rPr>
              <w:t xml:space="preserve">Programs </w:t>
            </w:r>
            <w:r>
              <w:rPr>
                <w:rFonts w:ascii="Arial" w:cs="Arial" w:eastAsia="Arial" w:hAnsi="Arial"/>
                <w:sz w:val="30"/>
                <w:szCs w:val="30"/>
                <w:b w:val="1"/>
                <w:bCs w:val="1"/>
                <w:color w:val="auto"/>
                <w:w w:val="86"/>
                <w:vertAlign w:val="superscript"/>
              </w:rPr>
              <w:t>(2)</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center"/>
              <w:ind w:right="70"/>
              <w:spacing w:after="0" w:line="269" w:lineRule="exact"/>
              <w:rPr>
                <w:sz w:val="20"/>
                <w:szCs w:val="20"/>
                <w:color w:val="auto"/>
              </w:rPr>
            </w:pPr>
            <w:r>
              <w:rPr>
                <w:rFonts w:ascii="Arial" w:cs="Arial" w:eastAsia="Arial" w:hAnsi="Arial"/>
                <w:sz w:val="18"/>
                <w:szCs w:val="18"/>
                <w:b w:val="1"/>
                <w:bCs w:val="1"/>
                <w:color w:val="auto"/>
                <w:w w:val="86"/>
              </w:rPr>
              <w:t xml:space="preserve">Programs </w:t>
            </w:r>
            <w:r>
              <w:rPr>
                <w:rFonts w:ascii="Arial" w:cs="Arial" w:eastAsia="Arial" w:hAnsi="Arial"/>
                <w:sz w:val="30"/>
                <w:szCs w:val="30"/>
                <w:b w:val="1"/>
                <w:bCs w:val="1"/>
                <w:color w:val="auto"/>
                <w:w w:val="86"/>
                <w:vertAlign w:val="superscript"/>
              </w:rPr>
              <w:t>(2)</w:t>
            </w:r>
          </w:p>
        </w:tc>
        <w:tc>
          <w:tcPr>
            <w:tcW w:w="100" w:type="dxa"/>
            <w:vAlign w:val="bottom"/>
          </w:tcPr>
          <w:p>
            <w:pPr>
              <w:spacing w:after="0"/>
              <w:rPr>
                <w:sz w:val="23"/>
                <w:szCs w:val="23"/>
                <w:color w:val="auto"/>
              </w:rPr>
            </w:pPr>
          </w:p>
        </w:tc>
      </w:tr>
      <w:tr>
        <w:trPr>
          <w:trHeight w:val="21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May 6, 2018 – June 2, 2018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8.85</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9,993,666</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b w:val="1"/>
                <w:bCs w:val="1"/>
                <w:color w:val="auto"/>
              </w:rPr>
              <w:t>June 3, 2018 – July 7, 2018</w:t>
            </w:r>
          </w:p>
        </w:tc>
        <w:tc>
          <w:tcPr>
            <w:tcW w:w="1380" w:type="dxa"/>
            <w:vAlign w:val="bottom"/>
          </w:tcPr>
          <w:p>
            <w:pPr>
              <w:jc w:val="right"/>
              <w:spacing w:after="0"/>
              <w:rPr>
                <w:sz w:val="20"/>
                <w:szCs w:val="20"/>
                <w:color w:val="auto"/>
              </w:rPr>
            </w:pPr>
            <w:r>
              <w:rPr>
                <w:rFonts w:ascii="Arial" w:cs="Arial" w:eastAsia="Arial" w:hAnsi="Arial"/>
                <w:sz w:val="18"/>
                <w:szCs w:val="18"/>
                <w:color w:val="auto"/>
              </w:rPr>
              <w:t>90,998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7.71</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90,777</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9,293,740</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July 8, 2018 – August 4, 2018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9,293,740</w:t>
            </w:r>
          </w:p>
        </w:tc>
      </w:tr>
      <w:tr>
        <w:trPr>
          <w:trHeight w:val="20"/>
        </w:trPr>
        <w:tc>
          <w:tcPr>
            <w:tcW w:w="516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16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91,377</w:t>
            </w:r>
          </w:p>
        </w:tc>
        <w:tc>
          <w:tcPr>
            <w:tcW w:w="2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7.71</w:t>
            </w:r>
          </w:p>
        </w:tc>
        <w:tc>
          <w:tcPr>
            <w:tcW w:w="2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90,777</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9,293,740</w:t>
            </w:r>
          </w:p>
        </w:tc>
      </w:tr>
      <w:tr>
        <w:trPr>
          <w:trHeight w:val="20"/>
        </w:trPr>
        <w:tc>
          <w:tcPr>
            <w:tcW w:w="5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right="160" w:hanging="332"/>
        <w:spacing w:after="0" w:line="256"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 occurs.</w:t>
      </w:r>
    </w:p>
    <w:p>
      <w:pPr>
        <w:ind w:left="340" w:right="60" w:hanging="332"/>
        <w:spacing w:after="0" w:line="323"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August 2017, the Board of Directors adopted a share repurchase program authorizing the repurchase of up to $20 million of our common stock. This program authorizes the Company to repurchase shares through September 30, 2020 and does not require the Company to repurchase any specific number</w:t>
      </w:r>
    </w:p>
    <w:p>
      <w:pPr>
        <w:sectPr>
          <w:pgSz w:w="11900" w:h="16838" w:orient="portrait"/>
          <w:cols w:equalWidth="0" w:num="1">
            <w:col w:w="11420"/>
          </w:cols>
          <w:pgMar w:left="240" w:top="118" w:right="239" w:bottom="0"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color w:val="auto"/>
        </w:rPr>
        <w:t>of shares, and may be modified, suspended or terminated at any time without prior notice. Shares repurchased under the program will be subsequently retired.</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00"/>
          </w:cols>
          <w:pgMar w:left="580" w:top="125" w:right="51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exhibits filed as a part of the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960" w:type="dxa"/>
            <w:vAlign w:val="bottom"/>
            <w:tcBorders>
              <w:bottom w:val="single" w:sz="8" w:color="auto"/>
            </w:tcBorders>
            <w:gridSpan w:val="9"/>
          </w:tcPr>
          <w:p>
            <w:pPr>
              <w:ind w:left="520"/>
              <w:spacing w:after="0"/>
              <w:rPr>
                <w:sz w:val="20"/>
                <w:szCs w:val="20"/>
                <w:color w:val="auto"/>
              </w:rPr>
            </w:pPr>
            <w:r>
              <w:rPr>
                <w:rFonts w:ascii="Arial" w:cs="Arial" w:eastAsia="Arial" w:hAnsi="Arial"/>
                <w:sz w:val="18"/>
                <w:szCs w:val="18"/>
                <w:b w:val="1"/>
                <w:bCs w:val="1"/>
                <w:color w:val="auto"/>
              </w:rPr>
              <w:t>Description</w:t>
            </w:r>
          </w:p>
        </w:tc>
        <w:tc>
          <w:tcPr>
            <w:tcW w:w="320" w:type="dxa"/>
            <w:vAlign w:val="bottom"/>
          </w:tcPr>
          <w:p>
            <w:pPr>
              <w:spacing w:after="0"/>
              <w:rPr>
                <w:sz w:val="20"/>
                <w:szCs w:val="20"/>
                <w:color w:val="auto"/>
              </w:rPr>
            </w:pPr>
          </w:p>
        </w:tc>
      </w:tr>
      <w:tr>
        <w:trPr>
          <w:trHeight w:val="385"/>
        </w:trPr>
        <w:tc>
          <w:tcPr>
            <w:tcW w:w="1000" w:type="dxa"/>
            <w:vAlign w:val="bottom"/>
          </w:tcPr>
          <w:p>
            <w:pPr>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0300" w:type="dxa"/>
            <w:vAlign w:val="bottom"/>
            <w:gridSpan w:val="15"/>
          </w:tcPr>
          <w:p>
            <w:pPr>
              <w:spacing w:after="0"/>
              <w:rPr>
                <w:rFonts w:ascii="Arial" w:cs="Arial" w:eastAsia="Arial" w:hAnsi="Arial"/>
                <w:sz w:val="18"/>
                <w:szCs w:val="18"/>
                <w:color w:val="0000EE"/>
              </w:rPr>
            </w:pPr>
            <w:hyperlink r:id="rId38">
              <w:r>
                <w:rPr>
                  <w:rFonts w:ascii="Arial" w:cs="Arial" w:eastAsia="Arial" w:hAnsi="Arial"/>
                  <w:sz w:val="18"/>
                  <w:szCs w:val="18"/>
                  <w:color w:val="0000EE"/>
                </w:rPr>
                <w:t>Agreement and Plan of Merger dated April 3, 2000 between Build-A-Bear Workshop, L.L.C. and the Registrant (incorporated by</w:t>
              </w:r>
            </w:hyperlink>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00" w:type="dxa"/>
            <w:vAlign w:val="bottom"/>
            <w:tcBorders>
              <w:top w:val="single" w:sz="8" w:color="0000EE"/>
            </w:tcBorders>
            <w:gridSpan w:val="8"/>
          </w:tcPr>
          <w:p>
            <w:pPr>
              <w:spacing w:after="0" w:line="196" w:lineRule="exact"/>
              <w:rPr>
                <w:rFonts w:ascii="Arial" w:cs="Arial" w:eastAsia="Arial" w:hAnsi="Arial"/>
                <w:sz w:val="18"/>
                <w:szCs w:val="18"/>
                <w:color w:val="0000EE"/>
                <w:w w:val="92"/>
              </w:rPr>
            </w:pPr>
            <w:hyperlink r:id="rId38">
              <w:r>
                <w:rPr>
                  <w:rFonts w:ascii="Arial" w:cs="Arial" w:eastAsia="Arial" w:hAnsi="Arial"/>
                  <w:sz w:val="18"/>
                  <w:szCs w:val="18"/>
                  <w:color w:val="0000EE"/>
                  <w:w w:val="92"/>
                </w:rPr>
                <w:t>reference from Exhibit 2.1 to our Registration Statement on Form S-1, filed on August 12, 2004, Registration No. 333-118142)</w:t>
              </w:r>
            </w:hyperlink>
          </w:p>
        </w:tc>
        <w:tc>
          <w:tcPr>
            <w:tcW w:w="1000" w:type="dxa"/>
            <w:vAlign w:val="bottom"/>
            <w:gridSpan w:val="7"/>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300" w:type="dxa"/>
            <w:vAlign w:val="bottom"/>
            <w:gridSpan w:val="15"/>
          </w:tcPr>
          <w:p>
            <w:pPr>
              <w:spacing w:after="0"/>
              <w:rPr>
                <w:rFonts w:ascii="Arial" w:cs="Arial" w:eastAsia="Arial" w:hAnsi="Arial"/>
                <w:sz w:val="18"/>
                <w:szCs w:val="18"/>
                <w:color w:val="0000EE"/>
                <w:w w:val="96"/>
              </w:rPr>
            </w:pPr>
            <w:hyperlink r:id="rId39">
              <w:r>
                <w:rPr>
                  <w:rFonts w:ascii="Arial" w:cs="Arial" w:eastAsia="Arial" w:hAnsi="Arial"/>
                  <w:sz w:val="18"/>
                  <w:szCs w:val="18"/>
                  <w:color w:val="0000EE"/>
                  <w:w w:val="96"/>
                </w:rPr>
                <w:t>Third Amended and Restated Certificate of Incorporation (incorporated by reference from Exhibit 3.1 of our Current Report on Form 8-</w:t>
              </w:r>
            </w:hyperlink>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39">
              <w:r>
                <w:rPr>
                  <w:rFonts w:ascii="Arial" w:cs="Arial" w:eastAsia="Arial" w:hAnsi="Arial"/>
                  <w:sz w:val="18"/>
                  <w:szCs w:val="18"/>
                  <w:color w:val="0000EE"/>
                  <w:w w:val="92"/>
                </w:rPr>
                <w:t>K, filed on November 11, 2004)</w:t>
              </w:r>
            </w:hyperlink>
          </w:p>
        </w:tc>
        <w:tc>
          <w:tcPr>
            <w:tcW w:w="7480" w:type="dxa"/>
            <w:vAlign w:val="bottom"/>
            <w:tcBorders>
              <w:top w:val="single" w:sz="8" w:color="0000EE"/>
            </w:tcBorders>
            <w:gridSpan w:val="8"/>
          </w:tcPr>
          <w:p>
            <w:pPr>
              <w:spacing w:after="0"/>
              <w:rPr>
                <w:sz w:val="17"/>
                <w:szCs w:val="17"/>
                <w:color w:val="auto"/>
              </w:rPr>
            </w:pPr>
          </w:p>
        </w:tc>
        <w:tc>
          <w:tcPr>
            <w:tcW w:w="500" w:type="dxa"/>
            <w:vAlign w:val="bottom"/>
            <w:gridSpan w:val="4"/>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980" w:type="dxa"/>
            <w:vAlign w:val="bottom"/>
            <w:tcBorders>
              <w:bottom w:val="single" w:sz="8" w:color="0000EE"/>
            </w:tcBorders>
            <w:gridSpan w:val="14"/>
          </w:tcPr>
          <w:p>
            <w:pPr>
              <w:spacing w:after="0"/>
              <w:rPr>
                <w:rFonts w:ascii="Arial" w:cs="Arial" w:eastAsia="Arial" w:hAnsi="Arial"/>
                <w:sz w:val="18"/>
                <w:szCs w:val="18"/>
                <w:color w:val="0000EE"/>
                <w:w w:val="90"/>
              </w:rPr>
            </w:pPr>
            <w:hyperlink r:id="rId40">
              <w:r>
                <w:rPr>
                  <w:rFonts w:ascii="Arial" w:cs="Arial" w:eastAsia="Arial" w:hAnsi="Arial"/>
                  <w:sz w:val="18"/>
                  <w:szCs w:val="18"/>
                  <w:color w:val="0000EE"/>
                  <w:w w:val="90"/>
                </w:rPr>
                <w:t>Amended and Restated Bylaws, as amended through February 23, 2016 (incorporated by reference from Exhibit 3.1 of our Current Report</w:t>
              </w:r>
            </w:hyperlink>
          </w:p>
        </w:tc>
        <w:tc>
          <w:tcPr>
            <w:tcW w:w="32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00" w:type="dxa"/>
            <w:vAlign w:val="bottom"/>
            <w:gridSpan w:val="15"/>
          </w:tcPr>
          <w:p>
            <w:pPr>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on Form 8-K, filed on February 24, 2016)</w:t>
              </w:r>
            </w:hyperlink>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9900" w:type="dxa"/>
            <w:vAlign w:val="bottom"/>
            <w:tcBorders>
              <w:bottom w:val="single" w:sz="8" w:color="0000EE"/>
            </w:tcBorders>
            <w:gridSpan w:val="13"/>
          </w:tcPr>
          <w:p>
            <w:pPr>
              <w:spacing w:after="0"/>
              <w:rPr>
                <w:rFonts w:ascii="Arial" w:cs="Arial" w:eastAsia="Arial" w:hAnsi="Arial"/>
                <w:sz w:val="18"/>
                <w:szCs w:val="18"/>
                <w:color w:val="0000EE"/>
                <w:w w:val="91"/>
              </w:rPr>
            </w:pPr>
            <w:hyperlink r:id="rId41">
              <w:r>
                <w:rPr>
                  <w:rFonts w:ascii="Arial" w:cs="Arial" w:eastAsia="Arial" w:hAnsi="Arial"/>
                  <w:sz w:val="18"/>
                  <w:szCs w:val="18"/>
                  <w:color w:val="0000EE"/>
                  <w:w w:val="91"/>
                </w:rPr>
                <w:t>Specimen Stock Certificate (incorporated by reference from Exhibit 4.1 to Amendment No. 3 to our Registration Statement on Form S-1,</w:t>
              </w:r>
            </w:hyperlink>
          </w:p>
        </w:tc>
        <w:tc>
          <w:tcPr>
            <w:tcW w:w="40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00" w:type="dxa"/>
            <w:vAlign w:val="bottom"/>
            <w:gridSpan w:val="15"/>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filed on October 1, 2004, Registration No. 333-118142)</w:t>
              </w:r>
            </w:hyperlink>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300" w:type="dxa"/>
            <w:vAlign w:val="bottom"/>
            <w:gridSpan w:val="15"/>
          </w:tcPr>
          <w:p>
            <w:pPr>
              <w:spacing w:after="0"/>
              <w:rPr>
                <w:rFonts w:ascii="Arial" w:cs="Arial" w:eastAsia="Arial" w:hAnsi="Arial"/>
                <w:sz w:val="18"/>
                <w:szCs w:val="18"/>
                <w:color w:val="0000EE"/>
                <w:w w:val="95"/>
              </w:rPr>
            </w:pPr>
            <w:hyperlink w:anchor="page28">
              <w:r>
                <w:rPr>
                  <w:rFonts w:ascii="Arial" w:cs="Arial" w:eastAsia="Arial" w:hAnsi="Arial"/>
                  <w:sz w:val="18"/>
                  <w:szCs w:val="18"/>
                  <w:color w:val="0000EE"/>
                  <w:w w:val="95"/>
                </w:rPr>
                <w:t>Rule 13a-14(a)/15d-14(a) certification (pursuant to Section 302 of the Sarbanes-Oxley Act of 2002, executed by the President and Chief</w:t>
              </w:r>
            </w:hyperlink>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Executive Officer)</w:t>
              </w:r>
            </w:hyperlink>
          </w:p>
        </w:tc>
        <w:tc>
          <w:tcPr>
            <w:tcW w:w="8460" w:type="dxa"/>
            <w:vAlign w:val="bottom"/>
            <w:tcBorders>
              <w:top w:val="single" w:sz="8" w:color="0000EE"/>
            </w:tcBorders>
            <w:gridSpan w:val="10"/>
          </w:tcPr>
          <w:p>
            <w:pPr>
              <w:spacing w:after="0"/>
              <w:rPr>
                <w:sz w:val="17"/>
                <w:szCs w:val="17"/>
                <w:color w:val="auto"/>
              </w:rPr>
            </w:pPr>
          </w:p>
        </w:tc>
        <w:tc>
          <w:tcPr>
            <w:tcW w:w="480" w:type="dxa"/>
            <w:vAlign w:val="bottom"/>
            <w:gridSpan w:val="3"/>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5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Rule 13a-14(a)/15d-14(a) certification (pursuant to Section 302 of the Sarbanes-Oxley Act of 2002, executed by the Chief Financial</w:t>
              </w:r>
            </w:hyperlink>
          </w:p>
        </w:tc>
        <w:tc>
          <w:tcPr>
            <w:tcW w:w="780" w:type="dxa"/>
            <w:vAlign w:val="bottom"/>
            <w:gridSpan w:val="6"/>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00" w:type="dxa"/>
            <w:vAlign w:val="bottom"/>
            <w:gridSpan w:val="15"/>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Officer)</w:t>
              </w:r>
            </w:hyperlink>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700" w:type="dxa"/>
            <w:vAlign w:val="bottom"/>
            <w:gridSpan w:val="6"/>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300" w:type="dxa"/>
            <w:vAlign w:val="bottom"/>
            <w:gridSpan w:val="15"/>
          </w:tcPr>
          <w:p>
            <w:pPr>
              <w:spacing w:after="0"/>
              <w:rPr>
                <w:rFonts w:ascii="Arial" w:cs="Arial" w:eastAsia="Arial" w:hAnsi="Arial"/>
                <w:sz w:val="18"/>
                <w:szCs w:val="18"/>
                <w:color w:val="0000EE"/>
                <w:w w:val="96"/>
              </w:rPr>
            </w:pPr>
            <w:hyperlink w:anchor="page30">
              <w:r>
                <w:rPr>
                  <w:rFonts w:ascii="Arial" w:cs="Arial" w:eastAsia="Arial" w:hAnsi="Arial"/>
                  <w:sz w:val="18"/>
                  <w:szCs w:val="18"/>
                  <w:color w:val="0000EE"/>
                  <w:w w:val="96"/>
                </w:rPr>
                <w:t>Section 1350 Certification (pursuant to Section 906 of the Sarbanes-Oxley Act of 2002, executed by the President and Chief Executive</w:t>
              </w:r>
            </w:hyperlink>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Officer)</w:t>
              </w:r>
            </w:hyperlink>
          </w:p>
        </w:tc>
        <w:tc>
          <w:tcPr>
            <w:tcW w:w="580" w:type="dxa"/>
            <w:vAlign w:val="bottom"/>
            <w:gridSpan w:val="5"/>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700" w:type="dxa"/>
            <w:vAlign w:val="bottom"/>
            <w:gridSpan w:val="6"/>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2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Section 1350 Certification (pursuant to Section 906 of the Sarbanes-Oxley Act of 2002, executed by the Chief Financial Officer)</w:t>
              </w:r>
            </w:hyperlink>
          </w:p>
        </w:tc>
        <w:tc>
          <w:tcPr>
            <w:tcW w:w="1020" w:type="dxa"/>
            <w:vAlign w:val="bottom"/>
            <w:gridSpan w:val="8"/>
          </w:tcPr>
          <w:p>
            <w:pPr>
              <w:spacing w:after="0"/>
              <w:rPr>
                <w:sz w:val="24"/>
                <w:szCs w:val="24"/>
                <w:color w:val="auto"/>
              </w:rPr>
            </w:pPr>
          </w:p>
        </w:tc>
      </w:tr>
      <w:tr>
        <w:trPr>
          <w:trHeight w:val="453"/>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10300" w:type="dxa"/>
            <w:vAlign w:val="bottom"/>
            <w:gridSpan w:val="15"/>
          </w:tcPr>
          <w:p>
            <w:pPr>
              <w:spacing w:after="0"/>
              <w:rPr>
                <w:sz w:val="20"/>
                <w:szCs w:val="20"/>
                <w:color w:val="auto"/>
              </w:rPr>
            </w:pPr>
            <w:r>
              <w:rPr>
                <w:rFonts w:ascii="Arial" w:cs="Arial" w:eastAsia="Arial" w:hAnsi="Arial"/>
                <w:sz w:val="18"/>
                <w:szCs w:val="18"/>
                <w:color w:val="auto"/>
              </w:rPr>
              <w:t>XBRL Instance</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10300" w:type="dxa"/>
            <w:vAlign w:val="bottom"/>
            <w:gridSpan w:val="15"/>
          </w:tcPr>
          <w:p>
            <w:pPr>
              <w:spacing w:after="0"/>
              <w:rPr>
                <w:sz w:val="20"/>
                <w:szCs w:val="20"/>
                <w:color w:val="auto"/>
              </w:rPr>
            </w:pPr>
            <w:r>
              <w:rPr>
                <w:rFonts w:ascii="Arial" w:cs="Arial" w:eastAsia="Arial" w:hAnsi="Arial"/>
                <w:sz w:val="18"/>
                <w:szCs w:val="18"/>
                <w:color w:val="auto"/>
              </w:rPr>
              <w:t>XBRL Extension Schema</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10300" w:type="dxa"/>
            <w:vAlign w:val="bottom"/>
            <w:gridSpan w:val="15"/>
          </w:tcPr>
          <w:p>
            <w:pPr>
              <w:spacing w:after="0"/>
              <w:rPr>
                <w:sz w:val="20"/>
                <w:szCs w:val="20"/>
                <w:color w:val="auto"/>
              </w:rPr>
            </w:pPr>
            <w:r>
              <w:rPr>
                <w:rFonts w:ascii="Arial" w:cs="Arial" w:eastAsia="Arial" w:hAnsi="Arial"/>
                <w:sz w:val="18"/>
                <w:szCs w:val="18"/>
                <w:color w:val="auto"/>
              </w:rPr>
              <w:t>XBRL Extension Calculation</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10300" w:type="dxa"/>
            <w:vAlign w:val="bottom"/>
            <w:gridSpan w:val="15"/>
          </w:tcPr>
          <w:p>
            <w:pPr>
              <w:spacing w:after="0"/>
              <w:rPr>
                <w:sz w:val="20"/>
                <w:szCs w:val="20"/>
                <w:color w:val="auto"/>
              </w:rPr>
            </w:pPr>
            <w:r>
              <w:rPr>
                <w:rFonts w:ascii="Arial" w:cs="Arial" w:eastAsia="Arial" w:hAnsi="Arial"/>
                <w:sz w:val="18"/>
                <w:szCs w:val="18"/>
                <w:color w:val="auto"/>
              </w:rPr>
              <w:t>XBRL Extension Definition</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10300" w:type="dxa"/>
            <w:vAlign w:val="bottom"/>
            <w:gridSpan w:val="15"/>
          </w:tcPr>
          <w:p>
            <w:pPr>
              <w:spacing w:after="0"/>
              <w:rPr>
                <w:sz w:val="20"/>
                <w:szCs w:val="20"/>
                <w:color w:val="auto"/>
              </w:rPr>
            </w:pPr>
            <w:r>
              <w:rPr>
                <w:rFonts w:ascii="Arial" w:cs="Arial" w:eastAsia="Arial" w:hAnsi="Arial"/>
                <w:sz w:val="18"/>
                <w:szCs w:val="18"/>
                <w:color w:val="auto"/>
              </w:rPr>
              <w:t>XBRL Extension Label</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10300" w:type="dxa"/>
            <w:vAlign w:val="bottom"/>
            <w:gridSpan w:val="15"/>
          </w:tcPr>
          <w:p>
            <w:pPr>
              <w:spacing w:after="0"/>
              <w:rPr>
                <w:sz w:val="20"/>
                <w:szCs w:val="20"/>
                <w:color w:val="auto"/>
              </w:rPr>
            </w:pPr>
            <w:r>
              <w:rPr>
                <w:rFonts w:ascii="Arial" w:cs="Arial" w:eastAsia="Arial" w:hAnsi="Arial"/>
                <w:sz w:val="18"/>
                <w:szCs w:val="18"/>
                <w:color w:val="auto"/>
              </w:rPr>
              <w:t>XBRL Extension Presentation</w:t>
            </w:r>
          </w:p>
        </w:tc>
      </w:tr>
      <w:tr>
        <w:trPr>
          <w:trHeight w:val="432"/>
        </w:trPr>
        <w:tc>
          <w:tcPr>
            <w:tcW w:w="1000" w:type="dxa"/>
            <w:vAlign w:val="bottom"/>
          </w:tcPr>
          <w:p>
            <w:pPr>
              <w:spacing w:after="0"/>
              <w:rPr>
                <w:sz w:val="24"/>
                <w:szCs w:val="24"/>
                <w:color w:val="auto"/>
              </w:rPr>
            </w:pPr>
          </w:p>
        </w:tc>
        <w:tc>
          <w:tcPr>
            <w:tcW w:w="9280" w:type="dxa"/>
            <w:vAlign w:val="bottom"/>
            <w:gridSpan w:val="7"/>
          </w:tcPr>
          <w:p>
            <w:pPr>
              <w:jc w:val="right"/>
              <w:ind w:right="439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15"/>
        </w:trPr>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13, 2018</w:t>
      </w:r>
    </w:p>
    <w:p>
      <w:pPr>
        <w:spacing w:after="0" w:line="200" w:lineRule="exact"/>
        <w:rPr>
          <w:sz w:val="20"/>
          <w:szCs w:val="20"/>
          <w:color w:val="auto"/>
        </w:rPr>
      </w:pPr>
    </w:p>
    <w:p>
      <w:pPr>
        <w:spacing w:after="0" w:line="24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By:/s/ Sharon John</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-130810</wp:posOffset>
            </wp:positionV>
            <wp:extent cx="30187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President and Chief Executive Officer (on behalf of</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the registrant and as principal executive officer)</w:t>
      </w:r>
    </w:p>
    <w:p>
      <w:pPr>
        <w:spacing w:after="0" w:line="21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By:/s/ Voin Todorovic</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-130810</wp:posOffset>
            </wp:positionV>
            <wp:extent cx="30187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(on behalf of the registrant and as principal</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118" w:right="4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Sharon John, certify that:</w:t>
      </w:r>
    </w:p>
    <w:p>
      <w:pPr>
        <w:spacing w:after="0" w:line="225" w:lineRule="exact"/>
        <w:rPr>
          <w:sz w:val="20"/>
          <w:szCs w:val="20"/>
          <w:color w:val="auto"/>
        </w:rPr>
      </w:pPr>
    </w:p>
    <w:p>
      <w:pPr>
        <w:ind w:left="880" w:hanging="426"/>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40" w:right="160" w:hanging="433"/>
        <w:spacing w:after="0" w:line="264" w:lineRule="auto"/>
        <w:tabs>
          <w:tab w:leader="none" w:pos="1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40" w:right="80" w:hanging="433"/>
        <w:spacing w:after="0" w:line="264" w:lineRule="auto"/>
        <w:tabs>
          <w:tab w:leader="none" w:pos="1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440" w:right="260" w:hanging="433"/>
        <w:spacing w:after="0" w:line="342" w:lineRule="auto"/>
        <w:tabs>
          <w:tab w:leader="none" w:pos="14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40" w:right="240" w:hanging="433"/>
        <w:spacing w:after="0" w:line="264" w:lineRule="auto"/>
        <w:tabs>
          <w:tab w:leader="none" w:pos="1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right="500" w:hanging="433"/>
        <w:spacing w:after="0" w:line="342" w:lineRule="auto"/>
        <w:tabs>
          <w:tab w:leader="none" w:pos="14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440" w:right="180" w:hanging="433"/>
        <w:spacing w:after="0" w:line="277" w:lineRule="auto"/>
        <w:tabs>
          <w:tab w:leader="none" w:pos="1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Sharon John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13, 2018</w:t>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Voin Todorovic, certify that:</w:t>
      </w:r>
    </w:p>
    <w:p>
      <w:pPr>
        <w:spacing w:after="0" w:line="225" w:lineRule="exact"/>
        <w:rPr>
          <w:sz w:val="20"/>
          <w:szCs w:val="20"/>
          <w:color w:val="auto"/>
        </w:rPr>
      </w:pPr>
    </w:p>
    <w:p>
      <w:pPr>
        <w:ind w:left="880" w:hanging="426"/>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40" w:right="160" w:hanging="433"/>
        <w:spacing w:after="0" w:line="264" w:lineRule="auto"/>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40" w:right="80" w:hanging="433"/>
        <w:spacing w:after="0" w:line="264" w:lineRule="auto"/>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440" w:right="260" w:hanging="433"/>
        <w:spacing w:after="0" w:line="342" w:lineRule="auto"/>
        <w:tabs>
          <w:tab w:leader="none" w:pos="14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40" w:right="240" w:hanging="433"/>
        <w:spacing w:after="0" w:line="264" w:lineRule="auto"/>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right="500" w:hanging="433"/>
        <w:spacing w:after="0" w:line="342" w:lineRule="auto"/>
        <w:tabs>
          <w:tab w:leader="none" w:pos="14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440" w:right="180" w:hanging="433"/>
        <w:spacing w:after="0" w:line="277" w:lineRule="auto"/>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Voin Todorovic</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13, 2018</w:t>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August 4, 2018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Sharon John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13, 2018</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August 4, 2018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Voin Todorovic</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Build-A-Bear Workshop, Inc</w:t>
      </w:r>
      <w:r>
        <w:rPr>
          <w:rFonts w:ascii="Arial" w:cs="Arial" w:eastAsia="Arial" w:hAnsi="Arial"/>
          <w:sz w:val="18"/>
          <w:szCs w:val="18"/>
          <w:i w:val="1"/>
          <w:iCs w:val="1"/>
          <w:color w:val="auto"/>
        </w:rPr>
        <w:t>.</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13,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38" Type="http://schemas.openxmlformats.org/officeDocument/2006/relationships/hyperlink" Target="http://www.sec.gov/Archives/edgar/data/1113809/000095013704006634/c86750exv2w1.txt" TargetMode="External"/><Relationship Id="rId39" Type="http://schemas.openxmlformats.org/officeDocument/2006/relationships/hyperlink" Target="http://www.sec.gov/Archives/edgar/data/1113809/000095013804000748/exh3-1.htm" TargetMode="External"/><Relationship Id="rId40" Type="http://schemas.openxmlformats.org/officeDocument/2006/relationships/hyperlink" Target="http://www.sec.gov/Archives/edgar/data/1113809/000115752316004713/a51286063ex3_1.htm" TargetMode="External"/><Relationship Id="rId41" Type="http://schemas.openxmlformats.org/officeDocument/2006/relationships/hyperlink" Target="http://www.sec.gov/Archives/edgar/data/1113809/000095013704008227/c86750a3exv4w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2019-12-28T19:25:19Z</dcterms:created>
  <dcterms:modified xsi:type="dcterms:W3CDTF">2019-12-28T19:25:19Z</dcterms:modified>
</cp:coreProperties>
</file>