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140" w:hanging="432"/>
        <w:spacing w:after="0" w:line="493" w:lineRule="auto"/>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1784985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137160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4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(Do not check if a smaller reporting company)</w:t>
      </w:r>
    </w:p>
    <w:p>
      <w:pPr>
        <w:spacing w:after="0" w:line="209" w:lineRule="exact"/>
        <w:rPr>
          <w:sz w:val="24"/>
          <w:szCs w:val="24"/>
          <w:color w:val="auto"/>
        </w:rPr>
      </w:pPr>
    </w:p>
    <w:p>
      <w:pPr>
        <w:ind w:lef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366" w:lineRule="exact"/>
        <w:rPr>
          <w:sz w:val="24"/>
          <w:szCs w:val="24"/>
          <w:color w:val="auto"/>
        </w:rPr>
      </w:pPr>
    </w:p>
    <w:p>
      <w:pPr>
        <w:ind w:left="220"/>
        <w:spacing w:after="0" w:line="207" w:lineRule="exact"/>
        <w:tabs>
          <w:tab w:leader="none" w:pos="8560" w:val="left"/>
          <w:tab w:leader="none" w:pos="9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3, 2017, there were 15,917,449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368" w:right="359" w:bottom="624"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368" w:right="359" w:bottom="62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9860" w:type="dxa"/>
            <w:vAlign w:val="bottom"/>
          </w:tcPr>
          <w:p>
            <w:pPr>
              <w:spacing w:after="0"/>
              <w:rPr>
                <w:sz w:val="17"/>
                <w:szCs w:val="17"/>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Condensed Consolidated Statements of Operations and Comprehensive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Signatures</w:t>
            </w:r>
          </w:p>
        </w:tc>
        <w:tc>
          <w:tcPr>
            <w:tcW w:w="9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860" w:type="dxa"/>
            <w:vAlign w:val="bottom"/>
          </w:tcPr>
          <w:p>
            <w:pPr>
              <w:ind w:left="45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9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October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61,952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51,885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12,737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$171,922; $172,333 and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$179,584, respectively</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184,341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199,595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59,350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82,857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67,284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15,438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outstanding at September 30, 2017, December 31, 2016 and October 1, 2016</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15,918,117; 15,856,927 and 15,850,629 shares, respectively</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104,930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98,724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184,341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199,595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October 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October 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80,552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81,870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243,559</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Cost of merchandise sold - retail</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44,916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46,461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133,686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commercial</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34,268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preopening</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1,828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3,777</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0.09</w:t>
            </w:r>
          </w:p>
        </w:tc>
        <w:tc>
          <w:tcPr>
            <w:tcW w:w="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0.11</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15,633,290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15,518,115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15,600,184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15,471,759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15,816,265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15,691,004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15,789,851</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15,650,143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October 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2,673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2,681</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1,840</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Impairment of store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property and equipment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(9,093)</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4,816</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(14,180)</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related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2,341</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(9,682)</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(6,999)</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(12,502)</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(17,647)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Proceeds from property insurance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maturitiy of short term investments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4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(12,479)</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8"/>
              </w:rPr>
              <w:t>Proceeds from the exercise of employee stock options, net of withholding tax payments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made under capital leases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Purchases of Company's common 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(21,563)</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32,483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45,196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31,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31, 2016, which were included in the Company’s annual report on Form 10-K filed with the SEC on March 16, 2017.</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 xml:space="preserve">The Company adopted Accounting Standards Update (ASU) No. 2016-09, </w:t>
      </w:r>
      <w:r>
        <w:rPr>
          <w:rFonts w:ascii="Arial" w:cs="Arial" w:eastAsia="Arial" w:hAnsi="Arial"/>
          <w:sz w:val="16"/>
          <w:szCs w:val="16"/>
          <w:i w:val="1"/>
          <w:iCs w:val="1"/>
          <w:color w:val="auto"/>
        </w:rPr>
        <w:t>Compensation – Stock Compensation: Improvements to Employee Share-Based Payment Accounting</w:t>
      </w:r>
      <w:r>
        <w:rPr>
          <w:rFonts w:ascii="Arial" w:cs="Arial" w:eastAsia="Arial" w:hAnsi="Arial"/>
          <w:sz w:val="16"/>
          <w:szCs w:val="16"/>
          <w:color w:val="auto"/>
        </w:rPr>
        <w:t>, effective January 1, 2017. The Company made an accounting policy election to account for forfeitures as they occur. The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election, along with the adoption of the other provisions of the standard in the first quarter of 2017, was to increase deferred tax assets by $1.6 million, increase additional paid-in-capital by $0.3 million, increase retained earnings by $1.9 million and decrease taxes payable by $0.6 million.</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Additionally, the Company early adopted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effective January 1, 2017. Using the modified retrospective method, the impact of the adoption of the standard in the first quarter of 2017 was to increase deferred tax assets by $1.0 million, decrease other assets, net by $2.3 million and decrease retained earnings by $1.3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Current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October 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6,203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w:t>
            </w:r>
          </w:p>
        </w:tc>
        <w:tc>
          <w:tcPr>
            <w:tcW w:w="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3. Accrued Expenses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4920" w:type="dxa"/>
            <w:vAlign w:val="bottom"/>
            <w:gridSpan w:val="3"/>
          </w:tcPr>
          <w:p>
            <w:pPr>
              <w:ind w:left="500"/>
              <w:spacing w:after="0"/>
              <w:rPr>
                <w:sz w:val="20"/>
                <w:szCs w:val="20"/>
                <w:color w:val="auto"/>
              </w:rPr>
            </w:pPr>
            <w:r>
              <w:rPr>
                <w:rFonts w:ascii="Arial" w:cs="Arial" w:eastAsia="Arial" w:hAnsi="Arial"/>
                <w:sz w:val="18"/>
                <w:szCs w:val="18"/>
                <w:color w:val="auto"/>
                <w:w w:val="96"/>
              </w:rPr>
              <w:t>Accrued expenses consist of the following (in thousands):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4"/>
          </w:tcPr>
          <w:p>
            <w:pPr>
              <w:ind w:left="240"/>
              <w:spacing w:after="0"/>
              <w:rPr>
                <w:sz w:val="20"/>
                <w:szCs w:val="20"/>
                <w:color w:val="auto"/>
              </w:rPr>
            </w:pPr>
            <w:r>
              <w:rPr>
                <w:rFonts w:ascii="Arial" w:cs="Arial" w:eastAsia="Arial" w:hAnsi="Arial"/>
                <w:sz w:val="18"/>
                <w:szCs w:val="18"/>
                <w:b w:val="1"/>
                <w:bCs w:val="1"/>
                <w:color w:val="auto"/>
              </w:rPr>
              <w:t>September 30,</w:t>
            </w:r>
          </w:p>
        </w:tc>
        <w:tc>
          <w:tcPr>
            <w:tcW w:w="17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October 1,</w:t>
            </w:r>
          </w:p>
        </w:tc>
        <w:tc>
          <w:tcPr>
            <w:tcW w:w="5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7,465</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5,596</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5,216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2,105</w:t>
            </w: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5,075</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3,450</w:t>
            </w:r>
          </w:p>
        </w:tc>
        <w:tc>
          <w:tcPr>
            <w:tcW w:w="10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4,615</w:t>
            </w: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3,919</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611</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13,055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15,897</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11,918</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9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March 14, 2017, the Company’s Board of Directors (the Board) adopted, subject to stockholder approval, the Build-A-Bear Workshop, Inc. 2017 Omnibus Incentive Plan (the Incentive Plan). On May 11, 2017, at the Company’s 2017 Annual Meeting of Stockholders, the Company’s stockholders approved the Incentive Plan. The Incentive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Incentive Plan. The Board may amend, modify or terminate the Incentive Plan at any time, except as otherwise provided in the Incentive Plan. The Incentive Plan will terminate on March 14, 2027, unless earlier terminated by the Board. The number of shares of the Company’s common stock authorized for issuance under the Incentive Plan is 1,000,000, plus shares of stock subject to outstanding awards made under the Company’s Third Amended and Restated 2004 Stock Incentive Plan that on or after March 21, 2017 may be forfeited, expire or be settled for cash.</w:t>
      </w:r>
    </w:p>
    <w:p>
      <w:pPr>
        <w:spacing w:after="0" w:line="19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the thirteen and thirty-nine weeks ended September 30, 2017, selling, general and administrative expense includes $0.8 million and $2.7 million, respectively, of stock-based compensation expense. For the thirteen and thirty-nine weeks ended October 1, 2016, selling, general and administrative expense includes $0.8 million and $2.3 million, respectively, of stock-based compensation expense. As of September 30, 2017, there was $4.6 million of total unrecognized compensation expense related to unvested restricted stock and option awards which is expected to be recognized over a weighted-average period of 1.5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balances and activity for stock options for the thirty-nine weeks ended September 30,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757,784</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72,051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26,795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September 30, 2017</w:t>
            </w:r>
          </w:p>
        </w:tc>
        <w:tc>
          <w:tcPr>
            <w:tcW w:w="1560" w:type="dxa"/>
            <w:vAlign w:val="bottom"/>
          </w:tcPr>
          <w:p>
            <w:pPr>
              <w:jc w:val="right"/>
              <w:spacing w:after="0"/>
              <w:rPr>
                <w:sz w:val="20"/>
                <w:szCs w:val="20"/>
                <w:color w:val="auto"/>
              </w:rPr>
            </w:pPr>
            <w:r>
              <w:rPr>
                <w:rFonts w:ascii="Arial" w:cs="Arial" w:eastAsia="Arial" w:hAnsi="Arial"/>
                <w:sz w:val="18"/>
                <w:szCs w:val="18"/>
                <w:color w:val="auto"/>
              </w:rPr>
              <w:t>791,567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performance-based restricted stock for the thirty-nine weeks ended September 30, 2017:</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Restricted Stock</w:t>
            </w:r>
          </w:p>
        </w:tc>
        <w:tc>
          <w:tcPr>
            <w:tcW w:w="27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46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Average Grant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Average Grant</w:t>
            </w:r>
          </w:p>
        </w:tc>
      </w:tr>
      <w:tr>
        <w:trPr>
          <w:trHeight w:val="234"/>
        </w:trPr>
        <w:tc>
          <w:tcPr>
            <w:tcW w:w="46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Date Fair Value</w:t>
            </w:r>
          </w:p>
        </w:tc>
        <w:tc>
          <w:tcPr>
            <w:tcW w:w="22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Date Fair Value</w:t>
            </w:r>
          </w:p>
        </w:tc>
      </w:tr>
      <w:tr>
        <w:trPr>
          <w:trHeight w:val="20"/>
        </w:trPr>
        <w:tc>
          <w:tcPr>
            <w:tcW w:w="4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241,141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258,060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83,897</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33,016</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15,247</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r>
      <w:tr>
        <w:trPr>
          <w:trHeight w:val="20"/>
        </w:trPr>
        <w:tc>
          <w:tcPr>
            <w:tcW w:w="46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Outstanding, September 30, 2017</w:t>
            </w:r>
          </w:p>
        </w:tc>
        <w:tc>
          <w:tcPr>
            <w:tcW w:w="1260" w:type="dxa"/>
            <w:vAlign w:val="bottom"/>
          </w:tcPr>
          <w:p>
            <w:pPr>
              <w:jc w:val="right"/>
              <w:spacing w:after="0"/>
              <w:rPr>
                <w:sz w:val="20"/>
                <w:szCs w:val="20"/>
                <w:color w:val="auto"/>
              </w:rPr>
            </w:pPr>
            <w:r>
              <w:rPr>
                <w:rFonts w:ascii="Arial" w:cs="Arial" w:eastAsia="Arial" w:hAnsi="Arial"/>
                <w:sz w:val="18"/>
                <w:szCs w:val="18"/>
                <w:color w:val="auto"/>
              </w:rPr>
              <w:t>362,736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289,615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total fair value of shares vested during the thirty-nine weeks ended September 30, 2017 and October 1, 2016 was $2.3 million and $1.7 million, respectively.</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2017, the Company awarded three-year performance-based restricted stock subject to the achievement of pre-established consolidated total pre-tax income goals for fiscal 2017, 2018 and 2019. These shares have a payout opportunity ranging from 25% to 200% of the target number of shares. In 2016, the Company awarded one and three-year performance-based restricted stock subject to the achievement of pre-established net income objectives for fiscal 2016. In 2017, 13,704 of the one-year performance shares issued in fiscal 2016 were canceled as the pre-established pre-tax income objectives for 2016 were not achieved.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The outstanding performance shares as of September 30, 2017 consist of the following: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Earned shares subject to time-based restrictions at actual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- 2017 consolidated total revenues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8000" w:type="dxa"/>
            <w:vAlign w:val="bottom"/>
          </w:tcPr>
          <w:p>
            <w:pPr>
              <w:ind w:left="20"/>
              <w:spacing w:after="0"/>
              <w:rPr>
                <w:sz w:val="20"/>
                <w:szCs w:val="20"/>
                <w:color w:val="auto"/>
              </w:rPr>
            </w:pPr>
            <w:r>
              <w:rPr>
                <w:rFonts w:ascii="Arial" w:cs="Arial" w:eastAsia="Arial" w:hAnsi="Arial"/>
                <w:sz w:val="18"/>
                <w:szCs w:val="18"/>
                <w:color w:val="auto"/>
              </w:rPr>
              <w:t>- 2018 consolidated total revenues</w:t>
            </w:r>
          </w:p>
        </w:tc>
        <w:tc>
          <w:tcPr>
            <w:tcW w:w="1620" w:type="dxa"/>
            <w:vAlign w:val="bottom"/>
          </w:tcPr>
          <w:p>
            <w:pPr>
              <w:jc w:val="right"/>
              <w:spacing w:after="0"/>
              <w:rPr>
                <w:sz w:val="20"/>
                <w:szCs w:val="20"/>
                <w:color w:val="auto"/>
              </w:rPr>
            </w:pPr>
            <w:r>
              <w:rPr>
                <w:rFonts w:ascii="Arial" w:cs="Arial" w:eastAsia="Arial" w:hAnsi="Arial"/>
                <w:sz w:val="18"/>
                <w:szCs w:val="18"/>
                <w:color w:val="auto"/>
              </w:rPr>
              <w:t>149,393</w:t>
            </w: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- 2019 consolidated pre-tax income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83,897</w:t>
            </w:r>
          </w:p>
        </w:tc>
      </w:tr>
      <w:tr>
        <w:trPr>
          <w:trHeight w:val="210"/>
        </w:trPr>
        <w:tc>
          <w:tcPr>
            <w:tcW w:w="8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Performance shares outstanding, September 30, 2017</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289,615</w:t>
            </w:r>
          </w:p>
        </w:tc>
        <w:tc>
          <w:tcPr>
            <w:tcW w:w="100" w:type="dxa"/>
            <w:vAlign w:val="bottom"/>
            <w:tcBorders>
              <w:top w:val="single" w:sz="8" w:color="CCEEFF"/>
            </w:tcBorders>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effective tax rate was 33.4% and 35.5% for the thirteen and thirty-nine weeks ended September 30, 2017, respectively, compared to 34.2% and 42.0% for the thirteen and thirty-nine weeks ended October 1, 2016, respectively. The 2017 effective tax rate differed from the statutory rate of 34% primarily due to the implementation of the new accounting standard related to the accounting for the tax impact of equity awards vesting and other discrete items. The fluctuation in the 2016 effective tax rate was due primarily to the effect of permanent differences.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thirty-nine weeks ended September 30, 2017 and October 1, 2016:</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68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October 1,</w:t>
            </w:r>
          </w:p>
        </w:tc>
        <w:tc>
          <w:tcPr>
            <w:tcW w:w="100" w:type="dxa"/>
            <w:vAlign w:val="bottom"/>
          </w:tcPr>
          <w:p>
            <w:pPr>
              <w:spacing w:after="0"/>
              <w:rPr>
                <w:sz w:val="16"/>
                <w:szCs w:val="16"/>
                <w:color w:val="auto"/>
              </w:rPr>
            </w:pPr>
          </w:p>
        </w:tc>
      </w:tr>
      <w:tr>
        <w:trPr>
          <w:trHeight w:val="234"/>
        </w:trPr>
        <w:tc>
          <w:tcPr>
            <w:tcW w:w="6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426"/>
        </w:trPr>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99,414</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2,681</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Adoption of new accounting standards</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repurchase and retirement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98,724</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August 21, 2017, the Company’s Board of Directors authorized a share repurchase program of up to $20 million. Under this program, the Company repurchased $1.0 million of shares through September 30, 2017. Under this program, the Company repurchased 112,325 shares at an average price of $8.88 per share for an aggregate amount of $1.0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7. Income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4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October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October 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income before allocation of earnings to participating securities</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Earnings allocated to participating securities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income after allocation of earnings to participating securities</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15,633,290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15,518,115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15,600,184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Dilutive effect of share-based awards:</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182,975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172,889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15,816,265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15,691,004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15,789,851</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15,650,143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20" w:type="dxa"/>
            <w:vAlign w:val="bottom"/>
          </w:tcPr>
          <w:p>
            <w:pPr>
              <w:spacing w:after="0" w:line="182" w:lineRule="exact"/>
              <w:rPr>
                <w:sz w:val="20"/>
                <w:szCs w:val="20"/>
                <w:color w:val="auto"/>
              </w:rPr>
            </w:pPr>
            <w:r>
              <w:rPr>
                <w:rFonts w:ascii="Arial" w:cs="Arial" w:eastAsia="Arial" w:hAnsi="Arial"/>
                <w:sz w:val="18"/>
                <w:szCs w:val="18"/>
                <w:color w:val="auto"/>
                <w:w w:val="97"/>
              </w:rPr>
              <w:t>Basic income per common share attributable to Build-A-Bear Workshop,</w:t>
            </w:r>
          </w:p>
        </w:tc>
        <w:tc>
          <w:tcPr>
            <w:tcW w:w="260" w:type="dxa"/>
            <w:vAlign w:val="bottom"/>
            <w:vMerge w:val="restart"/>
          </w:tcPr>
          <w:p>
            <w:pPr>
              <w:jc w:val="right"/>
              <w:ind w:right="102"/>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0.09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0.12</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0.17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0"/>
        </w:trPr>
        <w:tc>
          <w:tcPr>
            <w:tcW w:w="5640" w:type="dxa"/>
            <w:vAlign w:val="bottom"/>
            <w:gridSpan w:val="2"/>
          </w:tcPr>
          <w:p>
            <w:pPr>
              <w:spacing w:after="0" w:line="190" w:lineRule="exact"/>
              <w:rPr>
                <w:sz w:val="20"/>
                <w:szCs w:val="20"/>
                <w:color w:val="auto"/>
              </w:rPr>
            </w:pPr>
            <w:r>
              <w:rPr>
                <w:rFonts w:ascii="Arial" w:cs="Arial" w:eastAsia="Arial" w:hAnsi="Arial"/>
                <w:sz w:val="18"/>
                <w:szCs w:val="18"/>
                <w:color w:val="auto"/>
              </w:rPr>
              <w:t>Inc. stockholders:</w:t>
            </w:r>
          </w:p>
        </w:tc>
        <w:tc>
          <w:tcPr>
            <w:tcW w:w="2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Diluted income per common share attributable to Build-A-Bear Workshop,</w:t>
            </w:r>
          </w:p>
        </w:tc>
        <w:tc>
          <w:tcPr>
            <w:tcW w:w="260" w:type="dxa"/>
            <w:vAlign w:val="bottom"/>
            <w:vMerge w:val="restart"/>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3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Inc. stockholders</w:t>
            </w:r>
          </w:p>
        </w:tc>
        <w:tc>
          <w:tcPr>
            <w:tcW w:w="26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calculating diluted income per share for the thirteen and thirty-nine week periods ended September 30, 2017, options to purchase 382,317 and 321,998 shares of common stock, respectively, that were outstanding at the end of the period were not included in the computation of diluted income per share due to their anti-dilutive effect. For the thirteen and thirty-nine week periods ended October 1, 2016, the number of options to purchase common shares that were excluded from the calculation was 302,628 and 253,374 shares,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September 30, 2017 and October 1, 2016 was comprised entirely of foreign currency translation. For the thirteen and thirty-nine weeks ended September 30, 2017 and October 1, 2016,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company-owned stores in the United States, Canada, the United Kingdom, Ireland, Denmark and China and other retail delivery operations, including the Company’s e-commerce sites and temporary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11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International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Consumer</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Franchising</w:t>
            </w: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30, 2017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80,552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82,428</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4,764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Thirteen weeks ended October 1, 2016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2,796</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30, 2017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243,559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250,285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12,789</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Thirty-nine weeks ended October 1, 2016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253,862</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11,573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September 30, 2017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184,341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182,897</w:t>
            </w:r>
          </w:p>
        </w:tc>
      </w:tr>
    </w:tbl>
    <w:p>
      <w:pPr>
        <w:spacing w:after="0" w:line="202" w:lineRule="exact"/>
        <w:rPr>
          <w:sz w:val="20"/>
          <w:szCs w:val="20"/>
          <w:color w:val="auto"/>
        </w:rPr>
      </w:pPr>
    </w:p>
    <w:p>
      <w:pPr>
        <w:jc w:val="both"/>
        <w:ind w:right="240" w:firstLine="567"/>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each offers.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1"/>
        </w:trPr>
        <w:tc>
          <w:tcPr>
            <w:tcW w:w="4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200"/>
              <w:spacing w:after="0" w:line="271" w:lineRule="exact"/>
              <w:rPr>
                <w:sz w:val="20"/>
                <w:szCs w:val="20"/>
                <w:color w:val="auto"/>
              </w:rPr>
            </w:pPr>
            <w:r>
              <w:rPr>
                <w:rFonts w:ascii="Arial" w:cs="Arial" w:eastAsia="Arial" w:hAnsi="Arial"/>
                <w:sz w:val="18"/>
                <w:szCs w:val="18"/>
                <w:b w:val="1"/>
                <w:bCs w:val="1"/>
                <w:color w:val="auto"/>
                <w:w w:val="87"/>
              </w:rPr>
              <w:t xml:space="preserve">America </w:t>
            </w:r>
            <w:r>
              <w:rPr>
                <w:rFonts w:ascii="Arial" w:cs="Arial" w:eastAsia="Arial" w:hAnsi="Arial"/>
                <w:sz w:val="30"/>
                <w:szCs w:val="30"/>
                <w:b w:val="1"/>
                <w:bCs w:val="1"/>
                <w:color w:val="auto"/>
                <w:w w:val="87"/>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300"/>
              <w:spacing w:after="0" w:line="271" w:lineRule="exact"/>
              <w:rPr>
                <w:sz w:val="20"/>
                <w:szCs w:val="20"/>
                <w:color w:val="auto"/>
              </w:rPr>
            </w:pPr>
            <w:r>
              <w:rPr>
                <w:rFonts w:ascii="Arial" w:cs="Arial" w:eastAsia="Arial" w:hAnsi="Arial"/>
                <w:sz w:val="18"/>
                <w:szCs w:val="18"/>
                <w:b w:val="1"/>
                <w:bCs w:val="1"/>
                <w:color w:val="auto"/>
                <w:w w:val="89"/>
              </w:rPr>
              <w:t xml:space="preserve">Europe </w:t>
            </w:r>
            <w:r>
              <w:rPr>
                <w:rFonts w:ascii="Arial" w:cs="Arial" w:eastAsia="Arial" w:hAnsi="Arial"/>
                <w:sz w:val="30"/>
                <w:szCs w:val="30"/>
                <w:b w:val="1"/>
                <w:bCs w:val="1"/>
                <w:color w:val="auto"/>
                <w:w w:val="89"/>
                <w:vertAlign w:val="superscript"/>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80"/>
              <w:spacing w:after="0" w:line="271"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30"/>
                <w:szCs w:val="30"/>
                <w:b w:val="1"/>
                <w:bCs w:val="1"/>
                <w:color w:val="auto"/>
                <w:vertAlign w:val="superscript"/>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30, 2017</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67,036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14,812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82,428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76,718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Thirteen weeks ended October 1, 2016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83,748</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71,984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30, 2017</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207,863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40,905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250,285</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76,718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Thirty-nine weeks ended October 1, 2016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253,862</w:t>
            </w:r>
          </w:p>
        </w:tc>
        <w:tc>
          <w:tcPr>
            <w:tcW w:w="12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71,984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beginning in 2016, a company-owned store in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22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September 30, 2017, the Company had a gross receivable balance of $3.5 million and a reserve of $2.8 million, leaving a net receivable of $0.7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91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11. Recently Issued Accounting Pronouncements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 xml:space="preserve">In May 2014, the FASB issued Accounting Standards Update No. 2014-09, </w:t>
      </w:r>
      <w:r>
        <w:rPr>
          <w:rFonts w:ascii="Arial" w:cs="Arial" w:eastAsia="Arial" w:hAnsi="Arial"/>
          <w:sz w:val="17"/>
          <w:szCs w:val="17"/>
          <w:i w:val="1"/>
          <w:iCs w:val="1"/>
          <w:color w:val="auto"/>
        </w:rPr>
        <w:t>Revenue from Contracts with Customer</w:t>
      </w:r>
      <w:r>
        <w:rPr>
          <w:rFonts w:ascii="Arial" w:cs="Arial" w:eastAsia="Arial" w:hAnsi="Arial"/>
          <w:sz w:val="17"/>
          <w:szCs w:val="17"/>
          <w:color w:val="auto"/>
        </w:rPr>
        <w:t>s (ASU 2014-09), which will replace most existing revenue recognition guidance under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in fiscal 2017 is permitted. In 2016, the Company established a cross-functional team to use a bottom-up approach to assess the impact of the new standard. The team has reviewed current accounting policies and practices to identify potential differences that would result from applying the provisions of the new standard to our existing revenue contracts. To date, management has reviewed all of the Company’s revenue sources and contracts. Internal controls have been designed and an accounting policy has been developed. The Company expects the most significant impact to result from changes to the accounting for deferred revenue, specifically related to gift cards. The Company will adopt ASU 2014-09 effective the first day of fiscal 2018 using the modified retrospective method.</w:t>
      </w:r>
    </w:p>
    <w:p>
      <w:pPr>
        <w:spacing w:after="0" w:line="18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timing of adoption and assessing the impact of ASU 2016-02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October 31, 2017, the Company drew $4.0 million on its line of credit. This balance is expected to fluctuate throughout the remainder of the fourth quarter and is expected to be repaid before the end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31, 2016, as filed with the SEC, and include the following:</w:t>
      </w:r>
    </w:p>
    <w:p>
      <w:pPr>
        <w:spacing w:after="0" w:line="188" w:lineRule="exact"/>
        <w:rPr>
          <w:sz w:val="20"/>
          <w:szCs w:val="20"/>
          <w:color w:val="auto"/>
        </w:rPr>
      </w:pPr>
    </w:p>
    <w:p>
      <w:pPr>
        <w:ind w:left="660" w:right="4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disruptions, failures or security breaches of our information technology infrastructure or may improperly obtain or be unable to adequately protect customer information in violation of privacy or security laws or customer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sales growth;</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right="4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products or Build-A-Bear branded products sold by our licensees could fail to meet current safety standards or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safety, quality or sales expectations;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September 30, 2017, we operated 292 stores in the United States, Canada and Puerto Rico (collectively, North America), 60 stores in the United Kingdom, Ireland and Denmark (collectively, Europe), and one store in China and had 90 franchised stores operating internationally under the Build-A-Bear Workshop brand.</w:t>
      </w:r>
    </w:p>
    <w:p>
      <w:pPr>
        <w:spacing w:after="0" w:line="15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August 21, 2017, we announced that our Board of Directors completed the previously announced review of strategic alternatives. After an extensive analysis and careful consideration of a broad range of strategic alternatives by the Board of Directors in consultation with its financial and legal advisors, the Board of Directors authorized a share repurchase program of up to $20 million through September 30, 2020.</w:t>
      </w:r>
    </w:p>
    <w:p>
      <w:pPr>
        <w:spacing w:after="0" w:line="18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Company has been executing a multi-year turnaround plan that was initiated in 2013 to improve both sales and profitability. We are evolving our strategic plan in 2017 to better align with shifts that have been occurring in consumer shopping trends which accelerated in the fourth quarter of 2016 while building on the actions that we have taken over the last few years to return the Company to sustained profitability and prepare for growth. Our focus in 2017 is concentrated in four key areas: channel evolution, product expansion, brand and experience amplification and profitability improvement. We operate in three segments that share the same infrastructure, including management, systems, merchandising and marketing, and generate revenues as follows:</w:t>
      </w:r>
    </w:p>
    <w:p>
      <w:pPr>
        <w:spacing w:after="0" w:line="158" w:lineRule="exact"/>
        <w:rPr>
          <w:sz w:val="20"/>
          <w:szCs w:val="20"/>
          <w:color w:val="auto"/>
        </w:rPr>
      </w:pPr>
    </w:p>
    <w:p>
      <w:pPr>
        <w:ind w:left="440" w:right="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Direct-to-consumer (“DTC”) – Company-owned retail stores located in the United States, Canada, Puerto Rico, the United Kingdom, Ireland, Denmark and China, as well as two e-commerce sites;</w:t>
      </w:r>
    </w:p>
    <w:p>
      <w:pPr>
        <w:spacing w:after="0" w:line="170" w:lineRule="exact"/>
        <w:rPr>
          <w:rFonts w:ascii="Arial" w:cs="Arial" w:eastAsia="Arial" w:hAnsi="Arial"/>
          <w:sz w:val="18"/>
          <w:szCs w:val="18"/>
          <w:color w:val="auto"/>
        </w:rPr>
      </w:pPr>
    </w:p>
    <w:p>
      <w:pPr>
        <w:ind w:left="440" w:right="52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Franchising – Royalties and other fees from other international stores operated under franchise agreements.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Selected financial data attributable to each segment for the thirteen and thirty-nine week periods ended September 30, 2017 and October 1, 2016 are set forth in the notes to our condensed consolidated financial statements included elsewhere in this Quarterly Report on Form 10-Q.</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ind w:firstLine="324"/>
        <w:spacing w:after="0" w:line="286" w:lineRule="auto"/>
        <w:rPr>
          <w:sz w:val="20"/>
          <w:szCs w:val="20"/>
          <w:color w:val="auto"/>
        </w:rPr>
      </w:pPr>
      <w:r>
        <w:rPr>
          <w:rFonts w:ascii="Arial" w:cs="Arial" w:eastAsia="Arial" w:hAnsi="Arial"/>
          <w:sz w:val="17"/>
          <w:szCs w:val="17"/>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Not all stores are included in the calculation. The percentage change in consolidated comparable sales for the periods presented below is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00" w:type="dxa"/>
            <w:vAlign w:val="bottom"/>
            <w:gridSpan w:val="3"/>
          </w:tcPr>
          <w:p>
            <w:pPr>
              <w:ind w:left="48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720" w:type="dxa"/>
            <w:vAlign w:val="bottom"/>
            <w:gridSpan w:val="4"/>
          </w:tcPr>
          <w:p>
            <w:pPr>
              <w:ind w:left="3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620" w:type="dxa"/>
            <w:vAlign w:val="bottom"/>
          </w:tcPr>
          <w:p>
            <w:pPr>
              <w:spacing w:after="0"/>
              <w:rPr>
                <w:sz w:val="16"/>
                <w:szCs w:val="16"/>
                <w:color w:val="auto"/>
              </w:rPr>
            </w:pPr>
          </w:p>
        </w:tc>
        <w:tc>
          <w:tcPr>
            <w:tcW w:w="126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October 1,</w:t>
            </w:r>
          </w:p>
        </w:tc>
        <w:tc>
          <w:tcPr>
            <w:tcW w:w="220" w:type="dxa"/>
            <w:vAlign w:val="bottom"/>
          </w:tcPr>
          <w:p>
            <w:pPr>
              <w:spacing w:after="0"/>
              <w:rPr>
                <w:sz w:val="16"/>
                <w:szCs w:val="16"/>
                <w:color w:val="auto"/>
              </w:rPr>
            </w:pPr>
          </w:p>
        </w:tc>
        <w:tc>
          <w:tcPr>
            <w:tcW w:w="122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October 1,</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2016</w:t>
            </w:r>
          </w:p>
        </w:tc>
        <w:tc>
          <w:tcPr>
            <w:tcW w:w="1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2017</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change (%)</w:t>
            </w: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(7.8)%</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(1.6)%</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(6.4)%</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(2.0)%</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 &amp; Asia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(4.8)%</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(2.4)%</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(7.4)%</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(2.2)%</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(5.8)%</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(2.6)%</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Stores</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(6.9)%</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(3.2)%</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(5.8)%</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(3.1)%</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E-commerce</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25.2%</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(7.4)%</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(2.2)%</w:t>
            </w:r>
          </w:p>
        </w:tc>
        <w:tc>
          <w:tcPr>
            <w:tcW w:w="14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(5.8)%</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(2.6)%</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the decrease in consolidated comparable sales for the thirteen weeks ended September 30, 2017 is attributable to the continued overall decline in traditional mall traffic, anticipated fluctuation in base comparable sales linked to the evolution of our retail footprint, the disruption caused by the planned transition to a new web platform, and unexpected weather impacts. This was partially offset by increases in conversion, units per transaction and dollars per transaction during the quarter. For the thirty-nine weeks ended September 30, 2017, we believe the decrease in consolidated comparable sales is primarily attributable to the continued decline in traditional mall traffic, unexpected events such as weather in North America and multiple terrorist attacks in the United Kingdom in the second quarter, again partially offset by increases in dollars per transaction and units per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improve consolidated sales through the following key initiatives:</w:t>
      </w:r>
    </w:p>
    <w:p>
      <w:pPr>
        <w:spacing w:after="0" w:line="23" w:lineRule="exact"/>
        <w:rPr>
          <w:sz w:val="20"/>
          <w:szCs w:val="20"/>
          <w:color w:val="auto"/>
        </w:rPr>
      </w:pPr>
    </w:p>
    <w:p>
      <w:pPr>
        <w:ind w:left="660" w:right="20" w:hanging="328"/>
        <w:spacing w:after="0" w:line="29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Channel Evolution:</w:t>
      </w:r>
      <w:r>
        <w:rPr>
          <w:rFonts w:ascii="Arial" w:cs="Arial" w:eastAsia="Arial" w:hAnsi="Arial"/>
          <w:sz w:val="16"/>
          <w:szCs w:val="16"/>
          <w:color w:val="auto"/>
        </w:rPr>
        <w:t xml:space="preserve"> We expect to continue to evolve our aged store fleet into new Discovery format stores, leveraging natural lease events. Overall, these locations continue to perform ahead of heritage locations in both sales and profitability. We also expect to continue to diversify our real estate portfolio to include more non-traditional locations inclusive of our new retail model (Concourse Shop) which requires less capital, has shorter-term leases and offers a solution for a wide range of settings. Separately, we have now essentially completed the planned upgrade of our web platform and redesigned site ahead of the fourth quarter holiday season. The updates to the website platform and e-commerce processes are expected to enable our guests to experience Build-A-Bear online in new ways and allow us to leverage the macro trend of consumers online.</w:t>
      </w:r>
    </w:p>
    <w:p>
      <w:pPr>
        <w:spacing w:after="0" w:line="164" w:lineRule="exact"/>
        <w:rPr>
          <w:rFonts w:ascii="Arial" w:cs="Arial" w:eastAsia="Arial" w:hAnsi="Arial"/>
          <w:sz w:val="16"/>
          <w:szCs w:val="16"/>
          <w:color w:val="auto"/>
        </w:rPr>
      </w:pPr>
    </w:p>
    <w:p>
      <w:pPr>
        <w:ind w:left="660" w:right="2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Product Expansion:</w:t>
      </w:r>
      <w:r>
        <w:rPr>
          <w:rFonts w:ascii="Arial" w:cs="Arial" w:eastAsia="Arial" w:hAnsi="Arial"/>
          <w:sz w:val="16"/>
          <w:szCs w:val="16"/>
          <w:color w:val="auto"/>
        </w:rPr>
        <w:t xml:space="preserve"> To meet the needs of our core consumer base (boys and girls ages 3 to 12) while systematically building secondary consumer segments (including affinity, gift-giver and teen-plus), we plan to continue to balance our offering of core products with a comprehensive program of key licensed properties including products with tie-ins to major movie releases throughout 2017 while continuing to develop and expand offerings of our successful owned intellectual property stories, such as Promise Pets, Honey Girls and the holiday-specific Merry Mission collections.</w:t>
      </w:r>
    </w:p>
    <w:p>
      <w:pPr>
        <w:spacing w:after="0" w:line="154" w:lineRule="exact"/>
        <w:rPr>
          <w:rFonts w:ascii="Arial" w:cs="Arial" w:eastAsia="Arial" w:hAnsi="Arial"/>
          <w:sz w:val="16"/>
          <w:szCs w:val="16"/>
          <w:color w:val="auto"/>
        </w:rPr>
      </w:pPr>
    </w:p>
    <w:p>
      <w:pPr>
        <w:ind w:left="660" w:right="100" w:hanging="328"/>
        <w:spacing w:after="0" w:line="29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Brand and Experience Amplification:</w:t>
      </w:r>
      <w:r>
        <w:rPr>
          <w:rFonts w:ascii="Arial" w:cs="Arial" w:eastAsia="Arial" w:hAnsi="Arial"/>
          <w:sz w:val="16"/>
          <w:szCs w:val="16"/>
          <w:color w:val="auto"/>
        </w:rPr>
        <w:t xml:space="preserve"> In addition to creating sharable, emotional content that more authentically communicates the heart of the brand, we are making adjustments to marketing programs to create synergy across channels. These include shifts in media to better reach moms and kids while leveraging the competitive advantage of our entertainment retail experience by adding in-store events such as story readings, movie release celebrations and appearances by our iconic mascots. We plan to continue to develop entertainment content, including mobile apps, music videos and other opportunities that increase engagement and are designed to improve efficiency, drive traffic and lead to profitable sales growth.</w:t>
      </w:r>
    </w:p>
    <w:p>
      <w:pPr>
        <w:spacing w:after="0" w:line="158"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sets forth the number of Build-A-Bear Workshop company-owned stores in North America, Europe and Asia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4"/>
              </w:rPr>
              <w:t>Thirty-nine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6"/>
              </w:rPr>
              <w:t>September 30, 2017</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October 1, 2016</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America</w:t>
            </w:r>
          </w:p>
        </w:tc>
        <w:tc>
          <w:tcPr>
            <w:tcW w:w="24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60</w:t>
            </w: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Opened</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End of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2017, we expect to continue to make improvements to an aged store fleet by leveraging the new Discovery format in conjunction with select natural lease events. We also expect to close certain stores in accordance with natural lease events as an ongoing part of our real estate management and day-to-day operational plans. Current plans include expansion into more non-traditional locations, made possible in part by Concourse Shops. Concourse Shops are stand-alone retail units that occupy approximately 200 square feet designed to be operated in open, concourse areas of malls or other covered pedestrian areas. We currently expect to remodel approximately 20 locations into our Discovery format in 2017 and to have 20 to 25 new stores, inclusive of Concourse Shops, open by the end of the fiscal year. We ended the 2017 third quarter with a total of 100 Discovery format stores, including 23 Concourse Shops.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company-owned stores. As of September 30, 2017, we had eight master franchise agreements, which typically grant franchise rights for a particular country or group of countries, covering an aggregate of 14 countries.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September 30,</w:t>
            </w:r>
          </w:p>
        </w:tc>
        <w:tc>
          <w:tcPr>
            <w:tcW w:w="15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October 1,</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Opened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ordinary course of business, we anticipate signing additional master franchise agreements and terminating other such agreements. For example, we signed a new franchising agreement granting territory rights in China, Hong Kong and Macau with plans to open the first store in Beijing this December. We believe there is a market potential for approximately 300 international stores outside of the United States, Canada, the United Kingdom, Ireland and Denmark. We continue to expect franchisees to leverage the new formats that have been developed for our company-owned operations and sourcing changes that have significantly reduced the capital and expenses required to open stores. We expect to continue to develop market expansion through both new and existing franchisees in 2017 and beyond.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5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Thirteen weeks ended</w:t>
            </w:r>
          </w:p>
        </w:tc>
        <w:tc>
          <w:tcPr>
            <w:tcW w:w="348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382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4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October 1,</w:t>
            </w:r>
          </w:p>
        </w:tc>
        <w:tc>
          <w:tcPr>
            <w:tcW w:w="320" w:type="dxa"/>
            <w:vAlign w:val="bottom"/>
          </w:tcPr>
          <w:p>
            <w:pPr>
              <w:spacing w:after="0"/>
              <w:rPr>
                <w:sz w:val="16"/>
                <w:szCs w:val="16"/>
                <w:color w:val="auto"/>
              </w:rPr>
            </w:pPr>
          </w:p>
        </w:tc>
        <w:tc>
          <w:tcPr>
            <w:tcW w:w="18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50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October 1,</w:t>
            </w:r>
          </w:p>
        </w:tc>
        <w:tc>
          <w:tcPr>
            <w:tcW w:w="18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97.7%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97.8%</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r>
      <w:tr>
        <w:trPr>
          <w:trHeight w:val="20"/>
        </w:trPr>
        <w:tc>
          <w:tcPr>
            <w:tcW w:w="3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0"/>
        </w:trPr>
        <w:tc>
          <w:tcPr>
            <w:tcW w:w="38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Cost of merchandise sold - retail (1)</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55.8</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54.9</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55.1</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commercial (1)</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45.2</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43.1</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preopening</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r>
      <w:tr>
        <w:trPr>
          <w:trHeight w:val="20"/>
        </w:trPr>
        <w:tc>
          <w:tcPr>
            <w:tcW w:w="3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w:t>
            </w:r>
          </w:p>
        </w:tc>
      </w:tr>
      <w:tr>
        <w:trPr>
          <w:trHeight w:val="210"/>
        </w:trPr>
        <w:tc>
          <w:tcPr>
            <w:tcW w:w="38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r>
      <w:tr>
        <w:trPr>
          <w:trHeight w:val="20"/>
        </w:trPr>
        <w:tc>
          <w:tcPr>
            <w:tcW w:w="3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r>
      <w:tr>
        <w:trPr>
          <w:trHeight w:val="197"/>
        </w:trPr>
        <w:tc>
          <w:tcPr>
            <w:tcW w:w="382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16"/>
        </w:trPr>
        <w:tc>
          <w:tcPr>
            <w:tcW w:w="3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Retail Gross Margin % (2)</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r>
      <w:tr>
        <w:trPr>
          <w:trHeight w:val="20"/>
        </w:trPr>
        <w:tc>
          <w:tcPr>
            <w:tcW w:w="3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80" w:right="140" w:hanging="372"/>
        <w:spacing w:after="0" w:line="258"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Retail gross margin percentage represents net retail sales less cost of merchandise sold – retail and is expressed as a percentage of net retail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1775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September 30, 2017 compared to thirteen weeks ended October 1, 2016</w:t>
      </w:r>
    </w:p>
    <w:p>
      <w:pPr>
        <w:spacing w:after="0" w:line="225"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for the thirteen weeks ended September 30, 2017 were $80.6 million, compared to $81.9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2016, a decrease of $1.3 million, or 1.6%. The components of this decrease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Thirteen weeks ended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95"/>
              </w:rPr>
              <w:t>(dollars in millions)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1"/>
              </w:rPr>
              <w:t>Decrease in non-comparable stores, primarily remodels and relocations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Change in deferred revenue estimates, including gift card breakage</w:t>
            </w:r>
          </w:p>
        </w:tc>
        <w:tc>
          <w:tcPr>
            <w:tcW w:w="3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760" w:type="dxa"/>
            <w:vAlign w:val="bottom"/>
            <w:vMerge w:val="restart"/>
          </w:tcPr>
          <w:p>
            <w:pPr>
              <w:jc w:val="right"/>
              <w:ind w:right="339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ind w:right="20" w:firstLine="324"/>
        <w:spacing w:after="0" w:line="259" w:lineRule="auto"/>
        <w:rPr>
          <w:sz w:val="20"/>
          <w:szCs w:val="20"/>
          <w:color w:val="auto"/>
        </w:rPr>
      </w:pPr>
      <w:r>
        <w:rPr>
          <w:rFonts w:ascii="Arial" w:cs="Arial" w:eastAsia="Arial" w:hAnsi="Arial"/>
          <w:sz w:val="18"/>
          <w:szCs w:val="18"/>
          <w:color w:val="auto"/>
        </w:rPr>
        <w:t>We believe the decrease in consolidated comparable sales for the thirteen weeks ended September 30, 2017 is attributable to the continued overall decline in traditional mall traffic, anticipated fluctuation in base comparable sales linked to the evolution of our retail footprint, the disruption caused by the planned transition to a new web platform, and unexpected weather impacts. This was partially offset by increases in conversion, units per transaction and dollars per transaction during the quarter.</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Commercial revenue was $1.3 million for both the thirteen weeks ended September 30, 2017 and October 1, 2016. Revenue from franchise fees was $0.6 million for both the thirteen weeks ended September 30, 2017 and October 1, 2016.</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$35.6 million for the thirteen weeks ended September 30, 2017 compared to $35.4 million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October 1, 2016, an increase of $0.2 million, or 0.6%. As a percentage of net retail sales, retail gross margin was 44.2% for the thirteen weeks ended September 30, 2017 compared to 43.3% for the thirteen weeks ended October 1, 2016. This 90 basis-point gross margin increase was primarily driven by a 220 basis-point improvement in merchandise margin, and largely offset by deleverage of fixed occupancy costs. Merchandise margin benefited from lower discounts, selective price increases and sourcing efficiencies.</w:t>
      </w:r>
    </w:p>
    <w:p>
      <w:pPr>
        <w:spacing w:after="0" w:line="18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$34.3 million for the thirteen weeks ended September 30,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$33.4 million for the thirteen weeks ended October 1, 2016, an increase of $0.9 million, or 2.7%. As a percentage of total revenues, selling, general and administrative expenses increased to 41.6% for the thirteen weeks ended September 30, 2017, as compared to 39.9% for the thirteen weeks ended October 1, 2016, an increase of 170 basis-points. The increase in selling, general and administrative was primarily due to higher performance-based compensation expense and additional expenses related to the higher store count.</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Store preopening expenses were $0.5 million for the thirteen weeks ended September 30, 2017, as compared to $0.6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October 1, 2016, a decrease of $0.1 million.</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thirteen weeks ended September 30, 2017 and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$0.7 million with a tax rate of 33.4% for the thirteen weeks ended September 30, 2017,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tax expense of $1.0 million with a tax rate of 34.2% for the thirteen weeks ended October 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September 30, 2017 compared to thirty-nine weeks ended October 1, 2016</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$243.6 million for the thirty-nine weeks ended September 30, 2017, compared to $249.9 million for the thirty-nine</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October 1, 2016, a decrease of $6.3 million, or 2.5%. The components of this decrease are as follows: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Thirty-nine weeks</w:t>
            </w:r>
          </w:p>
        </w:tc>
      </w:tr>
      <w:tr>
        <w:trPr>
          <w:trHeight w:val="216"/>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95"/>
              </w:rPr>
              <w:t>(dollars in millions)</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1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16"/>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w:t>
            </w:r>
          </w:p>
        </w:tc>
      </w:tr>
      <w:tr>
        <w:trPr>
          <w:trHeight w:val="20"/>
        </w:trPr>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For the thirty-nine weeks ended September 30, 2017, we believe the decrease in consolidated comparable sales is primarily attributable to the continued decline in shopper traffic particularly in traditional malls, unexpected events such as weather in North America and multiple terrorist attacks in the United Kingdom in the second quarter, again partially offset by increases in dollars per transaction and units per transaction.</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Commercial revenue was $5.0 million for the thirty-nine weeks ended September 30, 2017, compared to $2.6 million for the thirty-nine weeks ended October 1, 2016, an increase of $2.4 million. This increase was primarily attributable to an increase in wholesale activities as a part of our initiatives to expand locations through an “experiential wholesale” model including the relationship with Carnival Cruise Lines and ongoing outbound licensing agreements that leverage the strength of the Build-A-Bear brand. Revenue from franchise fees was $1.7 million for the thirty-nine weeks ended September 30, 2017, compared to $1.4 million for the thirty-nine weeks ended October 1, 2016, an increase of $0.3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80" w:firstLine="324"/>
        <w:spacing w:after="0" w:line="279"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was $109.9 million for the thirty-nine weeks ended September 30, 2017, compared to $112.1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thirty-nine weeks ended October 1, 2016, a decrease of $2.2 million due to the decrease in total net retail sales. As a percentage of net retail sales, retail gross margin increased to 45.1% for the thirty-nine weeks ended September 30, 2017 from 44.9% for the thirty-nine weeks ended October 1, 2016. This 20 basis-point increase was primarily driven by the expansion of merchandise margin offset by the deleverage of fixed occupancy costs.</w:t>
      </w:r>
    </w:p>
    <w:p>
      <w:pPr>
        <w:spacing w:after="0" w:line="17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$107.8 million for the thirty-nine weeks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compared to $110.1 million for the thirty-nine weeks ended October 1, 2016, a decrease of $2.3 million, or 2.1%. As a percentage of total revenues, selling, general and administrative expenses were 43.1% for the thirty-nine weeks ended September 30, 2017, as compared to 43.4% for the thirty-nine weeks ended October 1, 2016, a decrease of 30 basis-points. The decrease was primarily due to lower marketing costs, a portion of which will shift into the fourth quarter, as well as a benefit of foreign currency, offset by an increase in lower incentive compensation expense in the first three quarters of fiscal 2017.</w:t>
      </w:r>
    </w:p>
    <w:p>
      <w:pPr>
        <w:spacing w:after="0" w:line="15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i w:val="1"/>
          <w:iCs w:val="1"/>
          <w:color w:val="auto"/>
        </w:rPr>
        <w:t>Store preopening</w:t>
      </w:r>
      <w:r>
        <w:rPr>
          <w:rFonts w:ascii="Arial" w:cs="Arial" w:eastAsia="Arial" w:hAnsi="Arial"/>
          <w:sz w:val="16"/>
          <w:szCs w:val="16"/>
          <w:color w:val="auto"/>
        </w:rPr>
        <w:t>. Store preopening expenses were $2.0 million for the thirty-nine weeks ended September 30, 2017 as compared to $3.0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thirty-nine weeks ended October 1, 2016, a decrease of $1.0 million. Store preopening expenses for the thirty-nine weeks ended September 30, 2017 were predominantly associated with openings of new and remodeled Discovery format stores through September 30, 2017 along with a portion of planned fourth quarter openings. For the thirty-nine weeks ended October 1, 2016, preopening expenses included costs related to the opening of our flagship China location.</w:t>
      </w:r>
    </w:p>
    <w:p>
      <w:pPr>
        <w:spacing w:after="0" w:line="15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less than $0.1 million for the thirty-nine weeks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October 1, 2016, respectively.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$1.5 million with a tax rate of 35.5% for the thirty-nine weeks ended September 30,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$0.8 million with a tax rate of 42.0% for the thirty-nine weeks ended October 1, 2016. The 2017 effective tax rate differed from the statutory rate of 34% primarily due to the implementation of the new accounting standard related to the accounting for the tax impact of equity awards vesting and other discrete items. The fluctuation in the 2016 effective tax rate was primarily due to the effect of permanent differences and a discrete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7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a retailer that has toy products as part of our revenue model,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$7.0 million for the thirty-nine weeks ended September 30, 2017, compared to $14.3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thirty-nine weeks ended October 1, 2016, a decrease of $7.3 million. Generally, changes in cash from operating activities are driven by changes in net income and changes in operating assets and liabilities. This decrease in cash from operating activities over the year ago period was primarily due to the timing of inventory and capital expenditure payments.</w:t>
      </w:r>
    </w:p>
    <w:p>
      <w:pPr>
        <w:spacing w:after="0" w:line="18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$12.5 million for the thirty-nine weeks ended September 30, 2017, as compared to $16.8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thirty-nine weeks ended October 1, 2016, a decrease of $4.3 million. Cash used in investing activities during the thirty-nine weeks ended September 30, 2017 primarily related to store construction and upgrades and purchases of information technology infrastructure. Cash used in investing activities during the thirty-nine weeks ended October 1, 2016 primarily related to store construction and upgrades and purchases of information technology infrastructure, partially offset by the maturity of short-term investments.</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used cash of $1.5 million in the thirty-nine weeks ended September 30, 2017, as purchases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used cash of $1.0 million and exercises of employee stock options, net of shares used for withholding tax payments used $0.5 million. In the thirty-nine weeks ended October 1, 2016, financing activities used cash of $2.0 million, as purchases of our common stock used cash of $1.5 million and exercises of employee stock options, net of shares used for withholding tax payments used $0.5 million. No borrowings were made under our line of credit in either the thirty-nine weeks ended September 30, 2017 or October 1, 2016.</w:t>
      </w:r>
    </w:p>
    <w:p>
      <w:pPr>
        <w:spacing w:after="0" w:line="188"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September 30, 2017, we had a consolidated cash balance of $10.9 million, approximately a third of which was domiciled</w:t>
      </w:r>
      <w:r>
        <w:rPr>
          <w:rFonts w:ascii="Arial" w:cs="Arial" w:eastAsia="Arial" w:hAnsi="Arial"/>
          <w:sz w:val="17"/>
          <w:szCs w:val="17"/>
          <w:i w:val="1"/>
          <w:iCs w:val="1"/>
          <w:color w:val="auto"/>
        </w:rPr>
        <w:t xml:space="preserve"> </w:t>
      </w:r>
      <w:r>
        <w:rPr>
          <w:rFonts w:ascii="Arial" w:cs="Arial" w:eastAsia="Arial" w:hAnsi="Arial"/>
          <w:sz w:val="17"/>
          <w:szCs w:val="17"/>
          <w:color w:val="auto"/>
        </w:rPr>
        <w:t>outside of the United States. 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$1.0 million. The bank line provides availability of $35.0 million. Borrowings under the credit agreement are secured by our assets and a pledge of 65%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September 30, 2017: (i) we were in compliance with all covenants; (ii) there were no borrowings under our line of credit; and (iii) there was approximately $35.0 million available for borrowing under the line of credit. On October 31, 2017, we drew $4.0 million on our line of credit. This balance is expected to fluctuate throughout the remainder of the fourth quarter and is expected to be repaid before the end of the year.</w:t>
      </w:r>
    </w:p>
    <w:p>
      <w:pPr>
        <w:spacing w:after="0" w:line="1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fiscal 2017, we expect to spend a total of $20 to $23 million on capital expenditures. Capital spending through the thirty-nine weeks ended September 30, 2017 totaled $12.8 million, on track with our full year plans. Capital spending in fiscal 2017 is expected to primarily support our store activity, including both remodels and new stores and investments in information technology infrastructure.</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August 2017, our Board of Directors authorized a share repurchase program of up to $20 million. This program authorized us to purchase up to $20 million of our common stock in the open market (including through 10b5-1 trading plans), or through privately negotiated transactions. The primary source of funding for the program is expected to be cash on hand. The timing and amount of share repurchases, if any, will depend on price, market conditions, applicable regulatory requirements, and other factors. The program authorizes us to repurchase shares through September 30, 2020, and does not require us to repurchase any specific number of shares, and may be modified, suspended or terminated at any time without prior notice. Shares repurchased under the program will be subsequently retired. Under this program through September 30, 2017, we repurchased 112,325 shares at an average price of $8.88 per share for an aggregate amount of $1.0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16, 2017, which includes audited consolidated financial statements for our 2016, 2015 and 2014 fiscal years. There have been no material changes to the critical accounting estimates disclosed in the 2016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December 31, 2016 as filed with the SEC on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September 30, 2017, the end of the period covered by this Quarterly Report.</w:t>
      </w:r>
    </w:p>
    <w:p>
      <w:pPr>
        <w:spacing w:after="0" w:line="19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9" w:name="page20"/>
    <w:bookmarkEnd w:id="19"/>
    <w:p>
      <w:pPr>
        <w:ind w:right="360" w:firstLine="324"/>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Except as set forth below, there have been no changes to our Risk Factors as disclosed in our Annual Report on Form 10-K for the year ended December 31, 2016 as filed with the Securities and Exchange Commission on March 16, 2017.</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August 21, 2017, we announced that our Board of Directors completed the previously announced review of strategic alternatives. After an extensive analysis and careful consideration of a broad range of strategic alternatives by the Board of Directors in consultation with its financial and legal advisors, the Board of Directors authorized a share repurchase program of up to $20 million. Accordingly, the following Risk Factor disclosed in our Annual Report on Form 10-K for the year ended December 31, 2016 is deleted:</w:t>
      </w:r>
    </w:p>
    <w:p>
      <w:pPr>
        <w:spacing w:after="0" w:line="183"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b w:val="1"/>
          <w:bCs w:val="1"/>
          <w:color w:val="auto"/>
        </w:rPr>
        <w:t>The outcome of the strategic alternatives evaluation process announced on May 3, 2016 is uncertain and the process may or may not result in any changes to the Company’s business plan or lead to a specific action or transaction.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following Risk Factor is added:</w:t>
      </w:r>
    </w:p>
    <w:p>
      <w:pPr>
        <w:spacing w:after="0" w:line="221"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b w:val="1"/>
          <w:b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ind w:right="60" w:firstLine="324"/>
        <w:spacing w:after="0" w:line="253" w:lineRule="auto"/>
        <w:rPr>
          <w:sz w:val="20"/>
          <w:szCs w:val="20"/>
          <w:color w:val="auto"/>
        </w:rPr>
      </w:pPr>
      <w:r>
        <w:rPr>
          <w:rFonts w:ascii="Arial" w:cs="Arial" w:eastAsia="Arial" w:hAnsi="Arial"/>
          <w:sz w:val="18"/>
          <w:szCs w:val="18"/>
          <w:color w:val="auto"/>
        </w:rPr>
        <w:t>In August 2017, our Board of Directors authorized a $20 million share repurchase program. The program does not require the Company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Shares (or</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Shares (or</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that</w:t>
            </w: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21"/>
        </w:trPr>
        <w:tc>
          <w:tcPr>
            <w:tcW w:w="53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(b) Average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Units)</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 Paid Per</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1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 xml:space="preserve">Purchased </w:t>
            </w:r>
            <w:r>
              <w:rPr>
                <w:rFonts w:ascii="Arial" w:cs="Arial" w:eastAsia="Arial" w:hAnsi="Arial"/>
                <w:sz w:val="30"/>
                <w:szCs w:val="30"/>
                <w:b w:val="1"/>
                <w:bCs w:val="1"/>
                <w:color w:val="auto"/>
                <w:w w:val="83"/>
                <w:vertAlign w:val="superscript"/>
              </w:rPr>
              <w:t>(1)</w:t>
            </w:r>
          </w:p>
        </w:tc>
        <w:tc>
          <w:tcPr>
            <w:tcW w:w="220" w:type="dxa"/>
            <w:vAlign w:val="bottom"/>
          </w:tcPr>
          <w:p>
            <w:pPr>
              <w:spacing w:after="0"/>
              <w:rPr>
                <w:sz w:val="23"/>
                <w:szCs w:val="23"/>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Share (or Unit)</w:t>
            </w:r>
          </w:p>
        </w:tc>
        <w:tc>
          <w:tcPr>
            <w:tcW w:w="220" w:type="dxa"/>
            <w:vAlign w:val="bottom"/>
          </w:tcPr>
          <w:p>
            <w:pPr>
              <w:spacing w:after="0"/>
              <w:rPr>
                <w:sz w:val="23"/>
                <w:szCs w:val="23"/>
                <w:color w:val="auto"/>
              </w:rPr>
            </w:pPr>
          </w:p>
        </w:tc>
        <w:tc>
          <w:tcPr>
            <w:tcW w:w="12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(2)</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(2)</w:t>
            </w:r>
          </w:p>
        </w:tc>
        <w:tc>
          <w:tcPr>
            <w:tcW w:w="100" w:type="dxa"/>
            <w:vAlign w:val="bottom"/>
          </w:tcPr>
          <w:p>
            <w:pPr>
              <w:spacing w:after="0"/>
              <w:rPr>
                <w:sz w:val="23"/>
                <w:szCs w:val="23"/>
                <w:color w:val="auto"/>
              </w:rPr>
            </w:pPr>
          </w:p>
        </w:tc>
      </w:tr>
      <w:tr>
        <w:trPr>
          <w:trHeight w:val="210"/>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Jul. 1, 2017 – Jul. 29, 2017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b w:val="1"/>
                <w:bCs w:val="1"/>
                <w:color w:val="auto"/>
              </w:rPr>
              <w:t>Aug. 1, 2017 – Aug. 26, 2017</w:t>
            </w:r>
          </w:p>
        </w:tc>
        <w:tc>
          <w:tcPr>
            <w:tcW w:w="118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Aug. 27, 2017 – Sep. 30, 2017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19,002,247</w:t>
            </w:r>
          </w:p>
        </w:tc>
      </w:tr>
      <w:tr>
        <w:trPr>
          <w:trHeight w:val="20"/>
        </w:trPr>
        <w:tc>
          <w:tcPr>
            <w:tcW w:w="5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113,553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112,325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60" w:hanging="512"/>
        <w:spacing w:after="0" w:line="256"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520" w:hanging="512"/>
        <w:spacing w:after="0" w:line="25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11"/>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4"/>
              </w:rPr>
            </w:pPr>
            <w:hyperlink r:id="rId36">
              <w:r>
                <w:rPr>
                  <w:rFonts w:ascii="Arial" w:cs="Arial" w:eastAsia="Arial" w:hAnsi="Arial"/>
                  <w:sz w:val="18"/>
                  <w:szCs w:val="18"/>
                  <w:color w:val="0000EE"/>
                  <w:w w:val="94"/>
                </w:rPr>
                <w:t>Agreement and Plan of Merger dated April 3, 2000 between Build-A-Bear Workshop, L.L.C. and the Registrant (incorporated by</w:t>
              </w:r>
            </w:hyperlink>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reference from Exhibit 2.1 to our Registration Statement on Form S-1, filed on August 12, 2004, Registration No. 333-118142)</w:t>
              </w:r>
            </w:hyperlink>
          </w:p>
        </w:tc>
        <w:tc>
          <w:tcPr>
            <w:tcW w:w="280" w:type="dxa"/>
            <w:vAlign w:val="bottom"/>
            <w:gridSpan w:val="5"/>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180" w:type="dxa"/>
            <w:vAlign w:val="bottom"/>
            <w:tcBorders>
              <w:bottom w:val="single" w:sz="8" w:color="0000EE"/>
            </w:tcBorders>
            <w:gridSpan w:val="9"/>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Third Amended and Restated Certificate of Incorporation (incorporated by reference from Exhibit 3.1 of our Current Report on</w:t>
              </w:r>
            </w:hyperlink>
          </w:p>
        </w:tc>
        <w:tc>
          <w:tcPr>
            <w:tcW w:w="400" w:type="dxa"/>
            <w:vAlign w:val="bottom"/>
            <w:gridSpan w:val="7"/>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Form 8-K, filed on November 11, 2004)</w:t>
              </w:r>
            </w:hyperlink>
          </w:p>
        </w:tc>
        <w:tc>
          <w:tcPr>
            <w:tcW w:w="6680" w:type="dxa"/>
            <w:vAlign w:val="bottom"/>
            <w:gridSpan w:val="12"/>
          </w:tcPr>
          <w:p>
            <w:pPr>
              <w:spacing w:after="0"/>
              <w:rPr>
                <w:sz w:val="17"/>
                <w:szCs w:val="17"/>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440" w:type="dxa"/>
            <w:vAlign w:val="bottom"/>
            <w:tcBorders>
              <w:bottom w:val="single" w:sz="8" w:color="0000EE"/>
            </w:tcBorders>
            <w:gridSpan w:val="13"/>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Amended and Restated Bylaws, as amended through February 23, 2016 (incorporated by reference from Exhibit 3.1 of our Current</w:t>
              </w:r>
            </w:hyperlink>
          </w:p>
        </w:tc>
        <w:tc>
          <w:tcPr>
            <w:tcW w:w="140" w:type="dxa"/>
            <w:vAlign w:val="bottom"/>
            <w:gridSpan w:val="3"/>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Report on Form 8-K, filed on February 24, 2016)</w:t>
              </w:r>
            </w:hyperlink>
          </w:p>
        </w:tc>
        <w:tc>
          <w:tcPr>
            <w:tcW w:w="6020" w:type="dxa"/>
            <w:vAlign w:val="bottom"/>
            <w:gridSpan w:val="11"/>
          </w:tcPr>
          <w:p>
            <w:pPr>
              <w:spacing w:after="0"/>
              <w:rPr>
                <w:sz w:val="17"/>
                <w:szCs w:val="17"/>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Specimen Stock Certificate (incorporated by reference from Exhibit 4.1 to Amendment No. 3 to our Registration Statement on Form</w:t>
              </w:r>
            </w:hyperlink>
          </w:p>
        </w:tc>
        <w:tc>
          <w:tcPr>
            <w:tcW w:w="2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S-1, filed on October 1, 2004, Registration No. 333-118142)</w:t>
              </w:r>
            </w:hyperlink>
          </w:p>
        </w:tc>
        <w:tc>
          <w:tcPr>
            <w:tcW w:w="5220" w:type="dxa"/>
            <w:vAlign w:val="bottom"/>
            <w:gridSpan w:val="10"/>
          </w:tcPr>
          <w:p>
            <w:pPr>
              <w:spacing w:after="0"/>
              <w:rPr>
                <w:sz w:val="17"/>
                <w:szCs w:val="17"/>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Rule 13a-14(a)/15d-14(a) certification (pursuant to Section 302 of the Sarbanes-Oxley Act of 2002, executed by the President and</w:t>
              </w:r>
            </w:hyperlink>
          </w:p>
        </w:tc>
        <w:tc>
          <w:tcPr>
            <w:tcW w:w="200" w:type="dxa"/>
            <w:vAlign w:val="bottom"/>
            <w:gridSpan w:val="4"/>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Chief Executive Officer)</w:t>
              </w:r>
            </w:hyperlink>
          </w:p>
        </w:tc>
        <w:tc>
          <w:tcPr>
            <w:tcW w:w="7780" w:type="dxa"/>
            <w:vAlign w:val="bottom"/>
            <w:gridSpan w:val="13"/>
          </w:tcPr>
          <w:p>
            <w:pPr>
              <w:spacing w:after="0"/>
              <w:rPr>
                <w:sz w:val="17"/>
                <w:szCs w:val="17"/>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Rule 13a-14(a)/15d-14(a) certification (pursuant to Section 302 of the Sarbanes-Oxley Act of 2002, executed by the Chief Financial</w:t>
              </w:r>
            </w:hyperlink>
          </w:p>
        </w:tc>
        <w:tc>
          <w:tcPr>
            <w:tcW w:w="60" w:type="dxa"/>
            <w:vAlign w:val="bottom"/>
            <w:gridSpan w:val="2"/>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Officer)</w:t>
              </w:r>
            </w:hyperlink>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9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1350 Certification (pursuant to Section 906 of the Sarbanes-Oxley Act of 2002, executed by the President and Chief</w:t>
              </w:r>
            </w:hyperlink>
          </w:p>
        </w:tc>
        <w:tc>
          <w:tcPr>
            <w:tcW w:w="620" w:type="dxa"/>
            <w:vAlign w:val="bottom"/>
            <w:gridSpan w:val="9"/>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Officer)</w:t>
              </w:r>
            </w:hyperlink>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2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Section 1350 Certification (pursuant to Section 906 of the Sarbanes-Oxley Act of 2002, executed by the Chief Financial Officer)</w:t>
              </w:r>
            </w:hyperlink>
          </w:p>
        </w:tc>
        <w:tc>
          <w:tcPr>
            <w:tcW w:w="300" w:type="dxa"/>
            <w:vAlign w:val="bottom"/>
            <w:gridSpan w:val="6"/>
          </w:tcPr>
          <w:p>
            <w:pPr>
              <w:spacing w:after="0"/>
              <w:rPr>
                <w:sz w:val="24"/>
                <w:szCs w:val="24"/>
                <w:color w:val="auto"/>
              </w:rPr>
            </w:pPr>
          </w:p>
        </w:tc>
      </w:tr>
      <w:tr>
        <w:trPr>
          <w:trHeight w:val="453"/>
        </w:trPr>
        <w:tc>
          <w:tcPr>
            <w:tcW w:w="17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XBRL Extension Presentation</w:t>
            </w:r>
          </w:p>
        </w:tc>
      </w:tr>
      <w:tr>
        <w:trPr>
          <w:trHeight w:val="432"/>
        </w:trPr>
        <w:tc>
          <w:tcPr>
            <w:tcW w:w="1720" w:type="dxa"/>
            <w:vAlign w:val="bottom"/>
          </w:tcPr>
          <w:p>
            <w:pPr>
              <w:spacing w:after="0"/>
              <w:rPr>
                <w:sz w:val="24"/>
                <w:szCs w:val="24"/>
                <w:color w:val="auto"/>
              </w:rPr>
            </w:pPr>
          </w:p>
        </w:tc>
        <w:tc>
          <w:tcPr>
            <w:tcW w:w="4480" w:type="dxa"/>
            <w:vAlign w:val="bottom"/>
            <w:gridSpan w:val="7"/>
          </w:tcPr>
          <w:p>
            <w:pPr>
              <w:jc w:val="right"/>
              <w:ind w:right="310"/>
              <w:spacing w:after="0"/>
              <w:rPr>
                <w:sz w:val="20"/>
                <w:szCs w:val="20"/>
                <w:color w:val="auto"/>
              </w:rPr>
            </w:pPr>
            <w:r>
              <w:rPr>
                <w:rFonts w:ascii="Arial" w:cs="Arial" w:eastAsia="Arial" w:hAnsi="Arial"/>
                <w:sz w:val="18"/>
                <w:szCs w:val="18"/>
                <w:color w:val="auto"/>
              </w:rPr>
              <w:t>21</w:t>
            </w: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24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By:/s/ Sharon John</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President and Chief Executive Officer (on</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behalf of the registrant and as principal</w:t>
      </w:r>
    </w:p>
    <w:p>
      <w:pPr>
        <w:spacing w:after="0" w:line="2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By:/s/ Voin Todorovic</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(on behalf of the registrant and as principal</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580"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1280" w:hanging="61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ind w:left="1280" w:right="140" w:hanging="610"/>
        <w:spacing w:after="0" w:line="264"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280" w:right="420" w:hanging="610"/>
        <w:spacing w:after="0" w:line="342"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280" w:right="300" w:hanging="610"/>
        <w:spacing w:after="0" w:line="291"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2020" w:right="20" w:hanging="607"/>
        <w:spacing w:after="0" w:line="286" w:lineRule="auto"/>
        <w:tabs>
          <w:tab w:leader="none" w:pos="20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020" w:right="320" w:hanging="607"/>
        <w:spacing w:after="0" w:line="286" w:lineRule="auto"/>
        <w:tabs>
          <w:tab w:leader="none" w:pos="20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020" w:right="120" w:hanging="607"/>
        <w:spacing w:after="0" w:line="264" w:lineRule="auto"/>
        <w:tabs>
          <w:tab w:leader="none" w:pos="2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020" w:right="60" w:hanging="607"/>
        <w:spacing w:after="0" w:line="286" w:lineRule="auto"/>
        <w:tabs>
          <w:tab w:leader="none" w:pos="20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280" w:right="340" w:hanging="610"/>
        <w:spacing w:after="0" w:line="264"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2020" w:right="20" w:hanging="607"/>
        <w:spacing w:after="0" w:line="342" w:lineRule="auto"/>
        <w:tabs>
          <w:tab w:leader="none" w:pos="2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2020" w:right="200" w:hanging="607"/>
        <w:spacing w:after="0" w:line="277" w:lineRule="auto"/>
        <w:tabs>
          <w:tab w:leader="none" w:pos="2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1280" w:hanging="610"/>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ind w:left="1280" w:right="140" w:hanging="610"/>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280" w:right="420" w:hanging="610"/>
        <w:spacing w:after="0" w:line="342"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280" w:right="300" w:hanging="610"/>
        <w:spacing w:after="0" w:line="291"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2020" w:right="20" w:hanging="607"/>
        <w:spacing w:after="0" w:line="286" w:lineRule="auto"/>
        <w:tabs>
          <w:tab w:leader="none" w:pos="2020" w:val="left"/>
        </w:tabs>
        <w:numPr>
          <w:ilvl w:val="3"/>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020" w:right="320" w:hanging="607"/>
        <w:spacing w:after="0" w:line="286" w:lineRule="auto"/>
        <w:tabs>
          <w:tab w:leader="none" w:pos="2020" w:val="left"/>
        </w:tabs>
        <w:numPr>
          <w:ilvl w:val="3"/>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020" w:right="120" w:hanging="607"/>
        <w:spacing w:after="0" w:line="264" w:lineRule="auto"/>
        <w:tabs>
          <w:tab w:leader="none" w:pos="2020" w:val="left"/>
        </w:tabs>
        <w:numPr>
          <w:ilvl w:val="3"/>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020" w:right="60" w:hanging="607"/>
        <w:spacing w:after="0" w:line="286" w:lineRule="auto"/>
        <w:tabs>
          <w:tab w:leader="none" w:pos="2020" w:val="left"/>
        </w:tabs>
        <w:numPr>
          <w:ilvl w:val="3"/>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260" w:right="360" w:hanging="563"/>
        <w:spacing w:after="0" w:line="264" w:lineRule="auto"/>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574"/>
        <w:spacing w:after="0" w:line="34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574"/>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30, 2017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30, 2017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36" Type="http://schemas.openxmlformats.org/officeDocument/2006/relationships/hyperlink" Target="http://www.sec.gov/Archives/edgar/data/1113809/000095013704006634/c86750exv2w1.txt" TargetMode="External"/><Relationship Id="rId37" Type="http://schemas.openxmlformats.org/officeDocument/2006/relationships/hyperlink" Target="http://www.sec.gov/Archives/edgar/data/1113809/000095013804000748/exh3-1.htm" TargetMode="External"/><Relationship Id="rId38" Type="http://schemas.openxmlformats.org/officeDocument/2006/relationships/hyperlink" Target="http://www.sec.gov/Archives/edgar/data/1113809/000115752316004713/a51286063ex3_1.htm" TargetMode="External"/><Relationship Id="rId39"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2019-12-29T02:40:07Z</dcterms:created>
  <dcterms:modified xsi:type="dcterms:W3CDTF">2019-12-29T02:40:07Z</dcterms:modified>
</cp:coreProperties>
</file>