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 8-K/A</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CURRENT REPORT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March 10, 2021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Build-A-Bear Workshop,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48895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5" w:lineRule="exact"/>
        <w:rPr>
          <w:sz w:val="24"/>
          <w:szCs w:val="24"/>
          <w:color w:val="auto"/>
        </w:rPr>
      </w:pPr>
    </w:p>
    <w:tbl>
      <w:tblPr>
        <w:tblLayout w:type="fixed"/>
        <w:tblInd w:w="58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3960" w:type="dxa"/>
            <w:vAlign w:val="bottom"/>
            <w:gridSpan w:val="3"/>
          </w:tcPr>
          <w:p>
            <w:pPr>
              <w:jc w:val="center"/>
              <w:ind w:right="1920"/>
              <w:spacing w:after="0"/>
              <w:rPr>
                <w:sz w:val="20"/>
                <w:szCs w:val="20"/>
                <w:color w:val="auto"/>
              </w:rPr>
            </w:pPr>
            <w:r>
              <w:rPr>
                <w:rFonts w:ascii="Arial" w:cs="Arial" w:eastAsia="Arial" w:hAnsi="Arial"/>
                <w:sz w:val="18"/>
                <w:szCs w:val="18"/>
                <w:color w:val="auto"/>
                <w:w w:val="89"/>
              </w:rPr>
              <w:t>Delaware</w:t>
            </w:r>
          </w:p>
        </w:tc>
        <w:tc>
          <w:tcPr>
            <w:tcW w:w="2180" w:type="dxa"/>
            <w:vAlign w:val="bottom"/>
            <w:gridSpan w:val="2"/>
          </w:tcPr>
          <w:p>
            <w:pPr>
              <w:jc w:val="center"/>
              <w:ind w:right="1080"/>
              <w:spacing w:after="0"/>
              <w:rPr>
                <w:sz w:val="20"/>
                <w:szCs w:val="20"/>
                <w:color w:val="auto"/>
              </w:rPr>
            </w:pPr>
            <w:r>
              <w:rPr>
                <w:rFonts w:ascii="Arial" w:cs="Arial" w:eastAsia="Arial" w:hAnsi="Arial"/>
                <w:sz w:val="18"/>
                <w:szCs w:val="18"/>
                <w:color w:val="auto"/>
                <w:w w:val="90"/>
              </w:rPr>
              <w:t>001-32320</w:t>
            </w:r>
          </w:p>
        </w:tc>
        <w:tc>
          <w:tcPr>
            <w:tcW w:w="2840" w:type="dxa"/>
            <w:vAlign w:val="bottom"/>
            <w:gridSpan w:val="3"/>
          </w:tcPr>
          <w:p>
            <w:pPr>
              <w:jc w:val="center"/>
              <w:ind w:left="770"/>
              <w:spacing w:after="0"/>
              <w:rPr>
                <w:sz w:val="20"/>
                <w:szCs w:val="20"/>
                <w:color w:val="auto"/>
              </w:rPr>
            </w:pPr>
            <w:r>
              <w:rPr>
                <w:rFonts w:ascii="Arial" w:cs="Arial" w:eastAsia="Arial" w:hAnsi="Arial"/>
                <w:sz w:val="18"/>
                <w:szCs w:val="18"/>
                <w:color w:val="auto"/>
                <w:w w:val="89"/>
              </w:rPr>
              <w:t>43-1883836</w:t>
            </w:r>
          </w:p>
        </w:tc>
        <w:tc>
          <w:tcPr>
            <w:tcW w:w="580" w:type="dxa"/>
            <w:vAlign w:val="bottom"/>
          </w:tcPr>
          <w:p>
            <w:pPr>
              <w:spacing w:after="0"/>
              <w:rPr>
                <w:sz w:val="20"/>
                <w:szCs w:val="20"/>
                <w:color w:val="auto"/>
              </w:rPr>
            </w:pPr>
          </w:p>
        </w:tc>
      </w:tr>
      <w:tr>
        <w:trPr>
          <w:trHeight w:val="195"/>
        </w:trPr>
        <w:tc>
          <w:tcPr>
            <w:tcW w:w="540" w:type="dxa"/>
            <w:vAlign w:val="bottom"/>
            <w:tcBorders>
              <w:top w:val="single" w:sz="8" w:color="auto"/>
            </w:tcBorders>
          </w:tcPr>
          <w:p>
            <w:pPr>
              <w:spacing w:after="0"/>
              <w:rPr>
                <w:sz w:val="16"/>
                <w:szCs w:val="16"/>
                <w:color w:val="auto"/>
              </w:rPr>
            </w:pPr>
          </w:p>
        </w:tc>
        <w:tc>
          <w:tcPr>
            <w:tcW w:w="2580" w:type="dxa"/>
            <w:vAlign w:val="bottom"/>
            <w:tcBorders>
              <w:top w:val="single" w:sz="8" w:color="auto"/>
            </w:tcBorders>
          </w:tcPr>
          <w:p>
            <w:pPr>
              <w:jc w:val="center"/>
              <w:ind w:right="450"/>
              <w:spacing w:after="0" w:line="195" w:lineRule="exact"/>
              <w:rPr>
                <w:sz w:val="20"/>
                <w:szCs w:val="20"/>
                <w:color w:val="auto"/>
              </w:rPr>
            </w:pPr>
            <w:r>
              <w:rPr>
                <w:rFonts w:ascii="Arial" w:cs="Arial" w:eastAsia="Arial" w:hAnsi="Arial"/>
                <w:sz w:val="18"/>
                <w:szCs w:val="18"/>
                <w:color w:val="auto"/>
                <w:w w:val="91"/>
              </w:rPr>
              <w:t>(State or Other Jurisdiction</w:t>
            </w:r>
          </w:p>
        </w:tc>
        <w:tc>
          <w:tcPr>
            <w:tcW w:w="32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180" w:type="dxa"/>
            <w:vAlign w:val="bottom"/>
            <w:tcBorders>
              <w:top w:val="single" w:sz="8" w:color="auto"/>
            </w:tcBorders>
            <w:gridSpan w:val="2"/>
          </w:tcPr>
          <w:p>
            <w:pPr>
              <w:jc w:val="center"/>
              <w:ind w:right="1080"/>
              <w:spacing w:after="0" w:line="195" w:lineRule="exact"/>
              <w:rPr>
                <w:sz w:val="20"/>
                <w:szCs w:val="20"/>
                <w:color w:val="auto"/>
              </w:rPr>
            </w:pPr>
            <w:r>
              <w:rPr>
                <w:rFonts w:ascii="Arial" w:cs="Arial" w:eastAsia="Arial" w:hAnsi="Arial"/>
                <w:sz w:val="18"/>
                <w:szCs w:val="18"/>
                <w:color w:val="auto"/>
                <w:w w:val="93"/>
              </w:rPr>
              <w:t>(Commission</w:t>
            </w:r>
          </w:p>
        </w:tc>
        <w:tc>
          <w:tcPr>
            <w:tcW w:w="3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3080" w:type="dxa"/>
            <w:vAlign w:val="bottom"/>
            <w:tcBorders>
              <w:top w:val="single" w:sz="8" w:color="auto"/>
            </w:tcBorders>
            <w:gridSpan w:val="2"/>
          </w:tcPr>
          <w:p>
            <w:pPr>
              <w:jc w:val="center"/>
              <w:ind w:right="60"/>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540" w:type="dxa"/>
            <w:vAlign w:val="bottom"/>
          </w:tcPr>
          <w:p>
            <w:pPr>
              <w:spacing w:after="0"/>
              <w:rPr>
                <w:sz w:val="20"/>
                <w:szCs w:val="20"/>
                <w:color w:val="auto"/>
              </w:rPr>
            </w:pPr>
          </w:p>
        </w:tc>
        <w:tc>
          <w:tcPr>
            <w:tcW w:w="3960" w:type="dxa"/>
            <w:vAlign w:val="bottom"/>
            <w:gridSpan w:val="3"/>
          </w:tcPr>
          <w:p>
            <w:pPr>
              <w:jc w:val="center"/>
              <w:ind w:right="1920"/>
              <w:spacing w:after="0"/>
              <w:rPr>
                <w:sz w:val="20"/>
                <w:szCs w:val="20"/>
                <w:color w:val="auto"/>
              </w:rPr>
            </w:pPr>
            <w:r>
              <w:rPr>
                <w:rFonts w:ascii="Arial" w:cs="Arial" w:eastAsia="Arial" w:hAnsi="Arial"/>
                <w:sz w:val="18"/>
                <w:szCs w:val="18"/>
                <w:color w:val="auto"/>
                <w:w w:val="94"/>
              </w:rPr>
              <w:t>of Incorporation)</w:t>
            </w:r>
          </w:p>
        </w:tc>
        <w:tc>
          <w:tcPr>
            <w:tcW w:w="2180" w:type="dxa"/>
            <w:vAlign w:val="bottom"/>
            <w:gridSpan w:val="2"/>
          </w:tcPr>
          <w:p>
            <w:pPr>
              <w:jc w:val="center"/>
              <w:ind w:right="1080"/>
              <w:spacing w:after="0"/>
              <w:rPr>
                <w:sz w:val="20"/>
                <w:szCs w:val="20"/>
                <w:color w:val="auto"/>
              </w:rPr>
            </w:pPr>
            <w:r>
              <w:rPr>
                <w:rFonts w:ascii="Arial" w:cs="Arial" w:eastAsia="Arial" w:hAnsi="Arial"/>
                <w:sz w:val="18"/>
                <w:szCs w:val="18"/>
                <w:color w:val="auto"/>
                <w:w w:val="94"/>
              </w:rPr>
              <w:t>File Number)</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80" w:type="dxa"/>
            <w:vAlign w:val="bottom"/>
            <w:gridSpan w:val="2"/>
          </w:tcPr>
          <w:p>
            <w:pPr>
              <w:jc w:val="center"/>
              <w:ind w:right="60"/>
              <w:spacing w:after="0"/>
              <w:rPr>
                <w:sz w:val="20"/>
                <w:szCs w:val="20"/>
                <w:color w:val="auto"/>
              </w:rPr>
            </w:pPr>
            <w:r>
              <w:rPr>
                <w:rFonts w:ascii="Arial" w:cs="Arial" w:eastAsia="Arial" w:hAnsi="Arial"/>
                <w:sz w:val="18"/>
                <w:szCs w:val="18"/>
                <w:color w:val="auto"/>
                <w:w w:val="95"/>
              </w:rPr>
              <w:t>Identification No.)</w:t>
            </w:r>
          </w:p>
        </w:tc>
      </w:tr>
      <w:tr>
        <w:trPr>
          <w:trHeight w:val="648"/>
        </w:trPr>
        <w:tc>
          <w:tcPr>
            <w:tcW w:w="540" w:type="dxa"/>
            <w:vAlign w:val="bottom"/>
          </w:tcPr>
          <w:p>
            <w:pPr>
              <w:spacing w:after="0"/>
              <w:rPr>
                <w:sz w:val="24"/>
                <w:szCs w:val="24"/>
                <w:color w:val="auto"/>
              </w:rPr>
            </w:pPr>
          </w:p>
        </w:tc>
        <w:tc>
          <w:tcPr>
            <w:tcW w:w="3960" w:type="dxa"/>
            <w:vAlign w:val="bottom"/>
            <w:gridSpan w:val="3"/>
          </w:tcPr>
          <w:p>
            <w:pPr>
              <w:jc w:val="center"/>
              <w:ind w:left="830"/>
              <w:spacing w:after="0"/>
              <w:rPr>
                <w:sz w:val="20"/>
                <w:szCs w:val="20"/>
                <w:color w:val="auto"/>
              </w:rPr>
            </w:pPr>
            <w:r>
              <w:rPr>
                <w:rFonts w:ascii="Arial" w:cs="Arial" w:eastAsia="Arial" w:hAnsi="Arial"/>
                <w:sz w:val="18"/>
                <w:szCs w:val="18"/>
                <w:color w:val="auto"/>
                <w:w w:val="91"/>
              </w:rPr>
              <w:t>415 South 18th St., St. Louis, Missouri</w:t>
            </w:r>
          </w:p>
        </w:tc>
        <w:tc>
          <w:tcPr>
            <w:tcW w:w="9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40" w:type="dxa"/>
            <w:vAlign w:val="bottom"/>
            <w:gridSpan w:val="3"/>
          </w:tcPr>
          <w:p>
            <w:pPr>
              <w:jc w:val="right"/>
              <w:ind w:right="930"/>
              <w:spacing w:after="0"/>
              <w:rPr>
                <w:sz w:val="20"/>
                <w:szCs w:val="20"/>
                <w:color w:val="auto"/>
              </w:rPr>
            </w:pPr>
            <w:r>
              <w:rPr>
                <w:rFonts w:ascii="Arial" w:cs="Arial" w:eastAsia="Arial" w:hAnsi="Arial"/>
                <w:sz w:val="18"/>
                <w:szCs w:val="18"/>
                <w:color w:val="auto"/>
              </w:rPr>
              <w:t>63103</w:t>
            </w:r>
          </w:p>
        </w:tc>
        <w:tc>
          <w:tcPr>
            <w:tcW w:w="580" w:type="dxa"/>
            <w:vAlign w:val="bottom"/>
          </w:tcPr>
          <w:p>
            <w:pPr>
              <w:spacing w:after="0"/>
              <w:rPr>
                <w:sz w:val="24"/>
                <w:szCs w:val="24"/>
                <w:color w:val="auto"/>
              </w:rPr>
            </w:pPr>
          </w:p>
        </w:tc>
      </w:tr>
      <w:tr>
        <w:trPr>
          <w:trHeight w:val="224"/>
        </w:trPr>
        <w:tc>
          <w:tcPr>
            <w:tcW w:w="540" w:type="dxa"/>
            <w:vAlign w:val="bottom"/>
          </w:tcPr>
          <w:p>
            <w:pPr>
              <w:spacing w:after="0"/>
              <w:rPr>
                <w:sz w:val="19"/>
                <w:szCs w:val="19"/>
                <w:color w:val="auto"/>
              </w:rPr>
            </w:pPr>
          </w:p>
        </w:tc>
        <w:tc>
          <w:tcPr>
            <w:tcW w:w="3960" w:type="dxa"/>
            <w:vAlign w:val="bottom"/>
            <w:tcBorders>
              <w:top w:val="single" w:sz="8" w:color="auto"/>
            </w:tcBorders>
            <w:gridSpan w:val="3"/>
          </w:tcPr>
          <w:p>
            <w:pPr>
              <w:jc w:val="center"/>
              <w:ind w:left="830"/>
              <w:spacing w:after="0"/>
              <w:rPr>
                <w:sz w:val="20"/>
                <w:szCs w:val="20"/>
                <w:color w:val="auto"/>
              </w:rPr>
            </w:pPr>
            <w:r>
              <w:rPr>
                <w:rFonts w:ascii="Arial" w:cs="Arial" w:eastAsia="Arial" w:hAnsi="Arial"/>
                <w:sz w:val="18"/>
                <w:szCs w:val="18"/>
                <w:color w:val="auto"/>
                <w:w w:val="92"/>
              </w:rPr>
              <w:t>(Address of Principal Executive Offices)</w:t>
            </w:r>
          </w:p>
        </w:tc>
        <w:tc>
          <w:tcPr>
            <w:tcW w:w="90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c>
          <w:tcPr>
            <w:tcW w:w="580" w:type="dxa"/>
            <w:vAlign w:val="bottom"/>
          </w:tcPr>
          <w:p>
            <w:pPr>
              <w:spacing w:after="0"/>
              <w:rPr>
                <w:sz w:val="19"/>
                <w:szCs w:val="19"/>
                <w:color w:val="auto"/>
              </w:rPr>
            </w:pP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(314) 423-8000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48895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25" w:lineRule="exact"/>
        <w:rPr>
          <w:sz w:val="24"/>
          <w:szCs w:val="24"/>
          <w:color w:val="auto"/>
        </w:rPr>
      </w:pPr>
    </w:p>
    <w:p>
      <w:pPr>
        <w:ind w:firstLine="16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640" w:hanging="470"/>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700" w:hanging="530"/>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700" w:hanging="530"/>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700" w:hanging="530"/>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tabs>
          <w:tab w:leader="none" w:pos="21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40" w:type="dxa"/>
            <w:vAlign w:val="bottom"/>
            <w:gridSpan w:val="2"/>
          </w:tcPr>
          <w:p>
            <w:pPr>
              <w:ind w:left="160"/>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220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33"/>
        </w:trPr>
        <w:tc>
          <w:tcPr>
            <w:tcW w:w="180" w:type="dxa"/>
            <w:vAlign w:val="bottom"/>
          </w:tcPr>
          <w:p>
            <w:pPr>
              <w:spacing w:after="0"/>
              <w:rPr>
                <w:sz w:val="20"/>
                <w:szCs w:val="20"/>
                <w:color w:val="auto"/>
              </w:rPr>
            </w:pPr>
          </w:p>
        </w:tc>
        <w:tc>
          <w:tcPr>
            <w:tcW w:w="43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0"/>
        </w:trPr>
        <w:tc>
          <w:tcPr>
            <w:tcW w:w="180" w:type="dxa"/>
            <w:vAlign w:val="bottom"/>
            <w:tcBorders>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ind w:left="1520"/>
              <w:spacing w:after="0" w:line="189" w:lineRule="exact"/>
              <w:rPr>
                <w:sz w:val="20"/>
                <w:szCs w:val="20"/>
                <w:color w:val="auto"/>
              </w:rPr>
            </w:pPr>
            <w:r>
              <w:rPr>
                <w:rFonts w:ascii="Arial" w:cs="Arial" w:eastAsia="Arial" w:hAnsi="Arial"/>
                <w:sz w:val="18"/>
                <w:szCs w:val="18"/>
                <w:color w:val="auto"/>
              </w:rPr>
              <w:t>Title of each class</w:t>
            </w:r>
          </w:p>
        </w:tc>
        <w:tc>
          <w:tcPr>
            <w:tcW w:w="220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1"/>
              </w:rPr>
              <w:t>Trading Symbol(s)</w:t>
            </w:r>
          </w:p>
        </w:tc>
        <w:tc>
          <w:tcPr>
            <w:tcW w:w="432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Name of each exchange on which registered</w:t>
            </w:r>
          </w:p>
        </w:tc>
        <w:tc>
          <w:tcPr>
            <w:tcW w:w="180" w:type="dxa"/>
            <w:vAlign w:val="bottom"/>
          </w:tcPr>
          <w:p>
            <w:pPr>
              <w:spacing w:after="0"/>
              <w:rPr>
                <w:sz w:val="18"/>
                <w:szCs w:val="18"/>
                <w:color w:val="auto"/>
              </w:rPr>
            </w:pPr>
          </w:p>
        </w:tc>
      </w:tr>
      <w:tr>
        <w:trPr>
          <w:trHeight w:val="193"/>
        </w:trPr>
        <w:tc>
          <w:tcPr>
            <w:tcW w:w="180" w:type="dxa"/>
            <w:vAlign w:val="bottom"/>
            <w:tcBorders>
              <w:right w:val="single" w:sz="8" w:color="auto"/>
            </w:tcBorders>
          </w:tcPr>
          <w:p>
            <w:pPr>
              <w:spacing w:after="0"/>
              <w:rPr>
                <w:sz w:val="16"/>
                <w:szCs w:val="16"/>
                <w:color w:val="auto"/>
              </w:rPr>
            </w:pPr>
          </w:p>
        </w:tc>
        <w:tc>
          <w:tcPr>
            <w:tcW w:w="436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Common Stock, par value $0.01 per share</w:t>
            </w:r>
          </w:p>
        </w:tc>
        <w:tc>
          <w:tcPr>
            <w:tcW w:w="220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rPr>
              <w:t>BBW</w:t>
            </w:r>
          </w:p>
        </w:tc>
        <w:tc>
          <w:tcPr>
            <w:tcW w:w="43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1"/>
              </w:rPr>
              <w:t>New York Stock Exchange</w:t>
            </w:r>
          </w:p>
        </w:tc>
        <w:tc>
          <w:tcPr>
            <w:tcW w:w="180" w:type="dxa"/>
            <w:vAlign w:val="bottom"/>
          </w:tcPr>
          <w:p>
            <w:pPr>
              <w:spacing w:after="0"/>
              <w:rPr>
                <w:sz w:val="16"/>
                <w:szCs w:val="16"/>
                <w:color w:val="auto"/>
              </w:rPr>
            </w:pPr>
          </w:p>
        </w:tc>
      </w:tr>
      <w:tr>
        <w:trPr>
          <w:trHeight w:val="567"/>
        </w:trPr>
        <w:tc>
          <w:tcPr>
            <w:tcW w:w="18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49" w:right="3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color w:val="auto"/>
        </w:rPr>
        <w:t>Item 2.02.</w:t>
      </w:r>
      <w:r>
        <w:rPr>
          <w:sz w:val="20"/>
          <w:szCs w:val="20"/>
          <w:color w:val="auto"/>
        </w:rPr>
        <w:tab/>
      </w:r>
      <w:r>
        <w:rPr>
          <w:rFonts w:ascii="Arial" w:cs="Arial" w:eastAsia="Arial" w:hAnsi="Arial"/>
          <w:sz w:val="16"/>
          <w:szCs w:val="16"/>
          <w:color w:val="auto"/>
        </w:rPr>
        <w:t>Results of Operations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875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75280" cy="8255"/>
                    </a:xfrm>
                    <a:prstGeom prst="rect">
                      <a:avLst/>
                    </a:prstGeom>
                    <a:noFill/>
                  </pic:spPr>
                </pic:pic>
              </a:graphicData>
            </a:graphic>
          </wp:anchor>
        </w:drawing>
      </w: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Current Report Form 8-K/A of Build-A-Bear Workshop, Inc. (the “Company”) relates to the Current Report on Form 8-K filed on March 10, 2021 (the “Original Report”). In the Original Report, the Company furnished a press release (the “Press Release”) announcing its results for the Company’s 2020 fourth fiscal quarter and full 2020 fiscal year ended January 30, 2021. This amendment describes changes from the Original Report.</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After the filing of the Original Report, and in connection with the finalization of its fiscal 2020 audit, the Company identified certain changes to the financial statements filed in the Original Report. These revisions affected the following items on the Company’s Consolidated Balance Sheets: Accounts payable, Accrued expenses, Total current liabilities, Other liabilities, Retained earnings, and Total stockholders’ equity. The revisions also affected the following items on the Company’s Consolidated Statements of Operations: Cost of merchandise sold – retail, Consolidated gross profit, Selling, general and administrative expense, income (loss) before income taxes, and, net (loss) income and (loss) income per common share for the quarter and year ended January 30, 2021. These changes also affected the Company’s Adjusted income (loss) before income taxes (adjusted pre-tax), Adjusted net (loss) income, and Adjusted net (loss) income per diluted share (adjusted EPS). A summary of the revised amounts is set forth below. Amended financial statements giving effect to these changes are reflected in this Report and replace those included in the Press Release. These adjustments have no effect on the Company's previously issued guidance for 2021.</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changes were primarily the result of the following:</w:t>
      </w:r>
    </w:p>
    <w:p>
      <w:pPr>
        <w:spacing w:after="0" w:line="225" w:lineRule="exact"/>
        <w:rPr>
          <w:sz w:val="20"/>
          <w:szCs w:val="20"/>
          <w:color w:val="auto"/>
        </w:rPr>
      </w:pPr>
    </w:p>
    <w:p>
      <w:pPr>
        <w:ind w:left="660" w:right="60" w:hanging="328"/>
        <w:spacing w:after="0" w:line="25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reduction in Selling, general and administrative expense of approximately $1.5 million, which was due to a change in estimate of incentive compensation expense because of the significant Loss before income taxes in fiscal 2020, largely driven by negative impact of the pandemic. This change in estimate resulted in a corresponding increase in income (loss) before income taxes, and (loss) income per common share within the Unaudited Condensed Consolidated Statement of Operations. This change also resulted in a decrease in Accrued expenses of the same amount within the Unaudited Condensed Consolidated Balance Sheets.</w:t>
      </w:r>
    </w:p>
    <w:p>
      <w:pPr>
        <w:spacing w:after="0" w:line="3" w:lineRule="exact"/>
        <w:rPr>
          <w:rFonts w:ascii="Arial" w:cs="Arial" w:eastAsia="Arial" w:hAnsi="Arial"/>
          <w:sz w:val="18"/>
          <w:szCs w:val="18"/>
          <w:color w:val="auto"/>
        </w:rPr>
      </w:pPr>
    </w:p>
    <w:p>
      <w:pPr>
        <w:jc w:val="both"/>
        <w:ind w:left="660" w:right="8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reduction in Accrued expenses and an increase in Other liabilities of approximately $1.0 million within the Unaudited Condensed Consolidated Balance Sheets was due to a reclassification of the long-term portion of deferred FICA tax payments. This change had no effect on the Unaudited Condensed Consolidated Statements of Operations.</w:t>
      </w:r>
    </w:p>
    <w:p>
      <w:pPr>
        <w:spacing w:after="0" w:line="1" w:lineRule="exact"/>
        <w:rPr>
          <w:rFonts w:ascii="Arial" w:cs="Arial" w:eastAsia="Arial" w:hAnsi="Arial"/>
          <w:sz w:val="18"/>
          <w:szCs w:val="18"/>
          <w:color w:val="auto"/>
        </w:rPr>
      </w:pPr>
    </w:p>
    <w:p>
      <w:pPr>
        <w:ind w:left="660" w:right="60" w:hanging="328"/>
        <w:spacing w:after="0" w:line="255"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aggregate effect of certain immaterial adjustments of $0.1 million affecting Cost of goods sold – retail and Selling, general and administrative expenses in the Unaudited Condensed Consolidated Statements of Operations and Accrued expenses and Accounts payable within the Unaudited Condensed Consolidated Balance Sheets.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Regarding Non-GAAP Financial Measures</w:t>
      </w:r>
    </w:p>
    <w:p>
      <w:pPr>
        <w:spacing w:after="0" w:line="2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this Current Report on Form 8-K/A, the Company’s financial results are provided both in accordance with generally accepted accounting principles (GAAP) and using certain non-GAAP financial measures. In particular, the Company provides historic income and income per diluted share adjusted to exclude certain costs and accounting adjustments, which are non-GAAP financial measures. These results are included as a complement to results provided in accordance with GAAP because management believes these non-GAAP financial measures help identify underlying trends in the Company’s business and provide useful information to both management and investors by excluding certain items that may not be indicative of the Company’s core operating results. These measures should not be considered a substitute for or superior to GAAP results. These non-GAAP financial measures are defined and reconciled to the most comparable GAAP measure later in this document.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 w:name="page3"/>
    <w:bookmarkEnd w:id="2"/>
    <w:p>
      <w:pPr>
        <w:ind w:firstLine="324"/>
        <w:spacing w:after="0" w:line="257" w:lineRule="auto"/>
        <w:rPr>
          <w:sz w:val="20"/>
          <w:szCs w:val="20"/>
          <w:color w:val="auto"/>
        </w:rPr>
      </w:pPr>
      <w:r>
        <w:rPr>
          <w:rFonts w:ascii="Arial" w:cs="Arial" w:eastAsia="Arial" w:hAnsi="Arial"/>
          <w:sz w:val="18"/>
          <w:szCs w:val="18"/>
          <w:color w:val="auto"/>
        </w:rPr>
        <w:t>The information furnished in, contained, or incorporated by reference into this Item 2.02, is being furnished and shall not be deemed “filed” for purposes of Section 18 of the Securities and Exchange Act of 1934 (the “Exchange Act”) or otherwise subject to the liabilities of that section, nor shall it be deemed incorporated by reference in any filing under the Securities Act of 1933, as amended, or the Exchange Act, regardless of any general incorporation language in such filing. In addition, this report shall not be deemed an admission as to the materiality of any information contained herein that is required to be disclosed solely as a requirement of this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263525</wp:posOffset>
            </wp:positionV>
            <wp:extent cx="5704840" cy="3295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04840" cy="32956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Summary of Changes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(Dollars in thousands, except per share data or otherwise noted)</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1140" w:type="dxa"/>
            <w:vAlign w:val="bottom"/>
            <w:tcBorders>
              <w:right w:val="single" w:sz="8" w:color="auto"/>
            </w:tcBorders>
          </w:tcPr>
          <w:p>
            <w:pPr>
              <w:spacing w:after="0"/>
              <w:rPr>
                <w:sz w:val="22"/>
                <w:szCs w:val="22"/>
                <w:color w:val="auto"/>
              </w:rPr>
            </w:pPr>
          </w:p>
        </w:tc>
        <w:tc>
          <w:tcPr>
            <w:tcW w:w="3940" w:type="dxa"/>
            <w:vAlign w:val="bottom"/>
            <w:tcBorders>
              <w:top w:val="single" w:sz="8" w:color="auto"/>
              <w:right w:val="single" w:sz="8" w:color="auto"/>
            </w:tcBorders>
          </w:tcPr>
          <w:p>
            <w:pPr>
              <w:spacing w:after="0"/>
              <w:rPr>
                <w:sz w:val="22"/>
                <w:szCs w:val="22"/>
                <w:color w:val="auto"/>
              </w:rPr>
            </w:pPr>
          </w:p>
        </w:tc>
        <w:tc>
          <w:tcPr>
            <w:tcW w:w="1660" w:type="dxa"/>
            <w:vAlign w:val="bottom"/>
            <w:tcBorders>
              <w:top w:val="single" w:sz="8" w:color="auto"/>
              <w:right w:val="single" w:sz="8" w:color="auto"/>
            </w:tcBorders>
          </w:tcPr>
          <w:p>
            <w:pPr>
              <w:jc w:val="right"/>
              <w:ind w:right="450"/>
              <w:spacing w:after="0"/>
              <w:rPr>
                <w:sz w:val="20"/>
                <w:szCs w:val="20"/>
                <w:color w:val="auto"/>
              </w:rPr>
            </w:pPr>
            <w:r>
              <w:rPr>
                <w:rFonts w:ascii="Arial" w:cs="Arial" w:eastAsia="Arial" w:hAnsi="Arial"/>
                <w:sz w:val="18"/>
                <w:szCs w:val="18"/>
                <w:color w:val="auto"/>
              </w:rPr>
              <w:t>Original</w:t>
            </w:r>
          </w:p>
        </w:tc>
        <w:tc>
          <w:tcPr>
            <w:tcW w:w="1680" w:type="dxa"/>
            <w:vAlign w:val="bottom"/>
            <w:tcBorders>
              <w:top w:val="single" w:sz="8" w:color="auto"/>
              <w:right w:val="single" w:sz="8" w:color="auto"/>
            </w:tcBorders>
          </w:tcPr>
          <w:p>
            <w:pPr>
              <w:jc w:val="right"/>
              <w:ind w:right="470"/>
              <w:spacing w:after="0"/>
              <w:rPr>
                <w:sz w:val="20"/>
                <w:szCs w:val="20"/>
                <w:color w:val="auto"/>
              </w:rPr>
            </w:pPr>
            <w:r>
              <w:rPr>
                <w:rFonts w:ascii="Arial" w:cs="Arial" w:eastAsia="Arial" w:hAnsi="Arial"/>
                <w:sz w:val="18"/>
                <w:szCs w:val="18"/>
                <w:color w:val="auto"/>
              </w:rPr>
              <w:t>Revised</w:t>
            </w:r>
          </w:p>
        </w:tc>
        <w:tc>
          <w:tcPr>
            <w:tcW w:w="1700" w:type="dxa"/>
            <w:vAlign w:val="bottom"/>
            <w:tcBorders>
              <w:top w:val="single" w:sz="8" w:color="auto"/>
              <w:right w:val="single" w:sz="8" w:color="auto"/>
            </w:tcBorders>
          </w:tcPr>
          <w:p>
            <w:pPr>
              <w:jc w:val="right"/>
              <w:ind w:right="490"/>
              <w:spacing w:after="0"/>
              <w:rPr>
                <w:sz w:val="20"/>
                <w:szCs w:val="20"/>
                <w:color w:val="auto"/>
              </w:rPr>
            </w:pPr>
            <w:r>
              <w:rPr>
                <w:rFonts w:ascii="Arial" w:cs="Arial" w:eastAsia="Arial" w:hAnsi="Arial"/>
                <w:sz w:val="18"/>
                <w:szCs w:val="18"/>
                <w:color w:val="auto"/>
              </w:rPr>
              <w:t>Change</w:t>
            </w:r>
          </w:p>
        </w:tc>
        <w:tc>
          <w:tcPr>
            <w:tcW w:w="1120" w:type="dxa"/>
            <w:vAlign w:val="bottom"/>
          </w:tcPr>
          <w:p>
            <w:pPr>
              <w:spacing w:after="0"/>
              <w:rPr>
                <w:sz w:val="22"/>
                <w:szCs w:val="22"/>
                <w:color w:val="auto"/>
              </w:rPr>
            </w:pPr>
          </w:p>
        </w:tc>
      </w:tr>
      <w:tr>
        <w:trPr>
          <w:trHeight w:val="27"/>
        </w:trPr>
        <w:tc>
          <w:tcPr>
            <w:tcW w:w="1140" w:type="dxa"/>
            <w:vAlign w:val="bottom"/>
            <w:tcBorders>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r>
      <w:tr>
        <w:trPr>
          <w:trHeight w:val="218"/>
        </w:trPr>
        <w:tc>
          <w:tcPr>
            <w:tcW w:w="1140" w:type="dxa"/>
            <w:vAlign w:val="bottom"/>
            <w:tcBorders>
              <w:right w:val="single" w:sz="8" w:color="auto"/>
            </w:tcBorders>
          </w:tcPr>
          <w:p>
            <w:pPr>
              <w:spacing w:after="0"/>
              <w:rPr>
                <w:sz w:val="18"/>
                <w:szCs w:val="18"/>
                <w:color w:val="auto"/>
              </w:rPr>
            </w:pPr>
          </w:p>
        </w:tc>
        <w:tc>
          <w:tcPr>
            <w:tcW w:w="394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w w:val="98"/>
              </w:rPr>
              <w:t>Consolidated Balance Sheet as of January 30,</w:t>
            </w:r>
          </w:p>
        </w:tc>
        <w:tc>
          <w:tcPr>
            <w:tcW w:w="166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1140" w:type="dxa"/>
            <w:vAlign w:val="bottom"/>
            <w:tcBorders>
              <w:right w:val="single" w:sz="8" w:color="auto"/>
            </w:tcBorders>
          </w:tcPr>
          <w:p>
            <w:pPr>
              <w:spacing w:after="0"/>
              <w:rPr>
                <w:sz w:val="20"/>
                <w:szCs w:val="20"/>
                <w:color w:val="auto"/>
              </w:rPr>
            </w:pPr>
          </w:p>
        </w:tc>
        <w:tc>
          <w:tcPr>
            <w:tcW w:w="394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2021</w:t>
            </w:r>
          </w:p>
        </w:tc>
        <w:tc>
          <w:tcPr>
            <w:tcW w:w="166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1140" w:type="dxa"/>
            <w:vAlign w:val="bottom"/>
            <w:tcBorders>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1140" w:type="dxa"/>
            <w:vAlign w:val="bottom"/>
            <w:tcBorders>
              <w:right w:val="single" w:sz="8" w:color="auto"/>
            </w:tcBorders>
          </w:tcPr>
          <w:p>
            <w:pPr>
              <w:spacing w:after="0"/>
              <w:rPr>
                <w:sz w:val="20"/>
                <w:szCs w:val="20"/>
                <w:color w:val="auto"/>
              </w:rPr>
            </w:pPr>
          </w:p>
        </w:tc>
        <w:tc>
          <w:tcPr>
            <w:tcW w:w="3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Accounts payable</w:t>
            </w:r>
          </w:p>
        </w:tc>
        <w:tc>
          <w:tcPr>
            <w:tcW w:w="16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$17,784</w:t>
            </w:r>
          </w:p>
        </w:tc>
        <w:tc>
          <w:tcPr>
            <w:tcW w:w="1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$17,901</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120" w:type="dxa"/>
            <w:vAlign w:val="bottom"/>
          </w:tcPr>
          <w:p>
            <w:pPr>
              <w:spacing w:after="0"/>
              <w:rPr>
                <w:sz w:val="20"/>
                <w:szCs w:val="20"/>
                <w:color w:val="auto"/>
              </w:rPr>
            </w:pPr>
          </w:p>
        </w:tc>
      </w:tr>
      <w:tr>
        <w:trPr>
          <w:trHeight w:val="27"/>
        </w:trPr>
        <w:tc>
          <w:tcPr>
            <w:tcW w:w="1140" w:type="dxa"/>
            <w:vAlign w:val="bottom"/>
            <w:tcBorders>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1140" w:type="dxa"/>
            <w:vAlign w:val="bottom"/>
            <w:tcBorders>
              <w:right w:val="single" w:sz="8" w:color="auto"/>
            </w:tcBorders>
          </w:tcPr>
          <w:p>
            <w:pPr>
              <w:spacing w:after="0"/>
              <w:rPr>
                <w:sz w:val="20"/>
                <w:szCs w:val="20"/>
                <w:color w:val="auto"/>
              </w:rPr>
            </w:pPr>
          </w:p>
        </w:tc>
        <w:tc>
          <w:tcPr>
            <w:tcW w:w="3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Accrued expenses</w:t>
            </w:r>
          </w:p>
        </w:tc>
        <w:tc>
          <w:tcPr>
            <w:tcW w:w="16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20,326</w:t>
            </w:r>
          </w:p>
        </w:tc>
        <w:tc>
          <w:tcPr>
            <w:tcW w:w="1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17,551</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(2,775)</w:t>
            </w:r>
          </w:p>
        </w:tc>
        <w:tc>
          <w:tcPr>
            <w:tcW w:w="1120" w:type="dxa"/>
            <w:vAlign w:val="bottom"/>
          </w:tcPr>
          <w:p>
            <w:pPr>
              <w:spacing w:after="0"/>
              <w:rPr>
                <w:sz w:val="20"/>
                <w:szCs w:val="20"/>
                <w:color w:val="auto"/>
              </w:rPr>
            </w:pPr>
          </w:p>
        </w:tc>
      </w:tr>
      <w:tr>
        <w:trPr>
          <w:trHeight w:val="27"/>
        </w:trPr>
        <w:tc>
          <w:tcPr>
            <w:tcW w:w="1140" w:type="dxa"/>
            <w:vAlign w:val="bottom"/>
            <w:tcBorders>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1140" w:type="dxa"/>
            <w:vAlign w:val="bottom"/>
            <w:tcBorders>
              <w:right w:val="single" w:sz="8" w:color="auto"/>
            </w:tcBorders>
          </w:tcPr>
          <w:p>
            <w:pPr>
              <w:spacing w:after="0"/>
              <w:rPr>
                <w:sz w:val="20"/>
                <w:szCs w:val="20"/>
                <w:color w:val="auto"/>
              </w:rPr>
            </w:pPr>
          </w:p>
        </w:tc>
        <w:tc>
          <w:tcPr>
            <w:tcW w:w="3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Other liabilities</w:t>
            </w:r>
          </w:p>
        </w:tc>
        <w:tc>
          <w:tcPr>
            <w:tcW w:w="16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1,323</w:t>
            </w:r>
          </w:p>
        </w:tc>
        <w:tc>
          <w:tcPr>
            <w:tcW w:w="1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2,354</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1,031</w:t>
            </w:r>
          </w:p>
        </w:tc>
        <w:tc>
          <w:tcPr>
            <w:tcW w:w="1120" w:type="dxa"/>
            <w:vAlign w:val="bottom"/>
          </w:tcPr>
          <w:p>
            <w:pPr>
              <w:spacing w:after="0"/>
              <w:rPr>
                <w:sz w:val="20"/>
                <w:szCs w:val="20"/>
                <w:color w:val="auto"/>
              </w:rPr>
            </w:pPr>
          </w:p>
        </w:tc>
      </w:tr>
      <w:tr>
        <w:trPr>
          <w:trHeight w:val="27"/>
        </w:trPr>
        <w:tc>
          <w:tcPr>
            <w:tcW w:w="1140" w:type="dxa"/>
            <w:vAlign w:val="bottom"/>
            <w:tcBorders>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1140" w:type="dxa"/>
            <w:vAlign w:val="bottom"/>
            <w:tcBorders>
              <w:right w:val="single" w:sz="8" w:color="auto"/>
            </w:tcBorders>
          </w:tcPr>
          <w:p>
            <w:pPr>
              <w:spacing w:after="0"/>
              <w:rPr>
                <w:sz w:val="20"/>
                <w:szCs w:val="20"/>
                <w:color w:val="auto"/>
              </w:rPr>
            </w:pPr>
          </w:p>
        </w:tc>
        <w:tc>
          <w:tcPr>
            <w:tcW w:w="3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Retained earnings</w:t>
            </w:r>
          </w:p>
        </w:tc>
        <w:tc>
          <w:tcPr>
            <w:tcW w:w="16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5,315</w:t>
            </w:r>
          </w:p>
        </w:tc>
        <w:tc>
          <w:tcPr>
            <w:tcW w:w="1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6,942</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1,627</w:t>
            </w:r>
          </w:p>
        </w:tc>
        <w:tc>
          <w:tcPr>
            <w:tcW w:w="1120" w:type="dxa"/>
            <w:vAlign w:val="bottom"/>
          </w:tcPr>
          <w:p>
            <w:pPr>
              <w:spacing w:after="0"/>
              <w:rPr>
                <w:sz w:val="20"/>
                <w:szCs w:val="20"/>
                <w:color w:val="auto"/>
              </w:rPr>
            </w:pPr>
          </w:p>
        </w:tc>
      </w:tr>
      <w:tr>
        <w:trPr>
          <w:trHeight w:val="27"/>
        </w:trPr>
        <w:tc>
          <w:tcPr>
            <w:tcW w:w="1140" w:type="dxa"/>
            <w:vAlign w:val="bottom"/>
            <w:tcBorders>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r>
      <w:tr>
        <w:trPr>
          <w:trHeight w:val="263"/>
        </w:trPr>
        <w:tc>
          <w:tcPr>
            <w:tcW w:w="1140" w:type="dxa"/>
            <w:vAlign w:val="bottom"/>
            <w:tcBorders>
              <w:right w:val="single" w:sz="8" w:color="auto"/>
            </w:tcBorders>
          </w:tcPr>
          <w:p>
            <w:pPr>
              <w:spacing w:after="0"/>
              <w:rPr>
                <w:sz w:val="22"/>
                <w:szCs w:val="22"/>
                <w:color w:val="auto"/>
              </w:rPr>
            </w:pPr>
          </w:p>
        </w:tc>
        <w:tc>
          <w:tcPr>
            <w:tcW w:w="3940" w:type="dxa"/>
            <w:vAlign w:val="bottom"/>
            <w:tcBorders>
              <w:bottom w:val="single" w:sz="8" w:color="auto"/>
              <w:right w:val="single" w:sz="8" w:color="auto"/>
            </w:tcBorders>
          </w:tcPr>
          <w:p>
            <w:pPr>
              <w:spacing w:after="0"/>
              <w:rPr>
                <w:sz w:val="22"/>
                <w:szCs w:val="22"/>
                <w:color w:val="auto"/>
              </w:rPr>
            </w:pPr>
          </w:p>
        </w:tc>
        <w:tc>
          <w:tcPr>
            <w:tcW w:w="1660" w:type="dxa"/>
            <w:vAlign w:val="bottom"/>
            <w:tcBorders>
              <w:bottom w:val="single" w:sz="8" w:color="auto"/>
              <w:right w:val="single" w:sz="8" w:color="auto"/>
            </w:tcBorders>
          </w:tcPr>
          <w:p>
            <w:pPr>
              <w:spacing w:after="0"/>
              <w:rPr>
                <w:sz w:val="22"/>
                <w:szCs w:val="22"/>
                <w:color w:val="auto"/>
              </w:rPr>
            </w:pPr>
          </w:p>
        </w:tc>
        <w:tc>
          <w:tcPr>
            <w:tcW w:w="1680" w:type="dxa"/>
            <w:vAlign w:val="bottom"/>
            <w:tcBorders>
              <w:bottom w:val="single" w:sz="8" w:color="auto"/>
              <w:right w:val="single" w:sz="8" w:color="auto"/>
            </w:tcBorders>
          </w:tcPr>
          <w:p>
            <w:pPr>
              <w:spacing w:after="0"/>
              <w:rPr>
                <w:sz w:val="22"/>
                <w:szCs w:val="22"/>
                <w:color w:val="auto"/>
              </w:rPr>
            </w:pPr>
          </w:p>
        </w:tc>
        <w:tc>
          <w:tcPr>
            <w:tcW w:w="1700" w:type="dxa"/>
            <w:vAlign w:val="bottom"/>
            <w:tcBorders>
              <w:bottom w:val="single" w:sz="8" w:color="auto"/>
              <w:right w:val="single" w:sz="8" w:color="auto"/>
            </w:tcBorders>
          </w:tcPr>
          <w:p>
            <w:pPr>
              <w:spacing w:after="0"/>
              <w:rPr>
                <w:sz w:val="22"/>
                <w:szCs w:val="22"/>
                <w:color w:val="auto"/>
              </w:rPr>
            </w:pPr>
          </w:p>
        </w:tc>
        <w:tc>
          <w:tcPr>
            <w:tcW w:w="1120" w:type="dxa"/>
            <w:vAlign w:val="bottom"/>
          </w:tcPr>
          <w:p>
            <w:pPr>
              <w:spacing w:after="0"/>
              <w:rPr>
                <w:sz w:val="22"/>
                <w:szCs w:val="22"/>
                <w:color w:val="auto"/>
              </w:rPr>
            </w:pPr>
          </w:p>
        </w:tc>
      </w:tr>
      <w:tr>
        <w:trPr>
          <w:trHeight w:val="218"/>
        </w:trPr>
        <w:tc>
          <w:tcPr>
            <w:tcW w:w="1140" w:type="dxa"/>
            <w:vAlign w:val="bottom"/>
            <w:tcBorders>
              <w:right w:val="single" w:sz="8" w:color="auto"/>
            </w:tcBorders>
          </w:tcPr>
          <w:p>
            <w:pPr>
              <w:spacing w:after="0"/>
              <w:rPr>
                <w:sz w:val="18"/>
                <w:szCs w:val="18"/>
                <w:color w:val="auto"/>
              </w:rPr>
            </w:pPr>
          </w:p>
        </w:tc>
        <w:tc>
          <w:tcPr>
            <w:tcW w:w="394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Company</w:t>
            </w:r>
            <w:r>
              <w:rPr>
                <w:rFonts w:ascii="Arial" w:cs="Arial" w:eastAsia="Arial" w:hAnsi="Arial"/>
                <w:sz w:val="18"/>
                <w:szCs w:val="18"/>
                <w:color w:val="auto"/>
              </w:rPr>
              <w:t>’</w:t>
            </w:r>
            <w:r>
              <w:rPr>
                <w:rFonts w:ascii="Arial" w:cs="Arial" w:eastAsia="Arial" w:hAnsi="Arial"/>
                <w:sz w:val="18"/>
                <w:szCs w:val="18"/>
                <w:b w:val="1"/>
                <w:bCs w:val="1"/>
                <w:color w:val="auto"/>
              </w:rPr>
              <w:t>s Consolidated Statements of</w:t>
            </w:r>
          </w:p>
        </w:tc>
        <w:tc>
          <w:tcPr>
            <w:tcW w:w="166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Borders>
              <w:right w:val="single" w:sz="8" w:color="auto"/>
            </w:tcBorders>
          </w:tcPr>
          <w:p>
            <w:pPr>
              <w:spacing w:after="0"/>
              <w:rPr>
                <w:sz w:val="18"/>
                <w:szCs w:val="18"/>
                <w:color w:val="auto"/>
              </w:rPr>
            </w:pPr>
          </w:p>
        </w:tc>
        <w:tc>
          <w:tcPr>
            <w:tcW w:w="394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w w:val="95"/>
              </w:rPr>
              <w:t>Operations for the 13 weeks ended January 30,</w:t>
            </w:r>
          </w:p>
        </w:tc>
        <w:tc>
          <w:tcPr>
            <w:tcW w:w="166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1140" w:type="dxa"/>
            <w:vAlign w:val="bottom"/>
            <w:tcBorders>
              <w:right w:val="single" w:sz="8" w:color="auto"/>
            </w:tcBorders>
          </w:tcPr>
          <w:p>
            <w:pPr>
              <w:spacing w:after="0"/>
              <w:rPr>
                <w:sz w:val="20"/>
                <w:szCs w:val="20"/>
                <w:color w:val="auto"/>
              </w:rPr>
            </w:pPr>
          </w:p>
        </w:tc>
        <w:tc>
          <w:tcPr>
            <w:tcW w:w="394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2021</w:t>
            </w:r>
          </w:p>
        </w:tc>
        <w:tc>
          <w:tcPr>
            <w:tcW w:w="166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1140" w:type="dxa"/>
            <w:vAlign w:val="bottom"/>
            <w:tcBorders>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1140" w:type="dxa"/>
            <w:vAlign w:val="bottom"/>
            <w:tcBorders>
              <w:right w:val="single" w:sz="8" w:color="auto"/>
            </w:tcBorders>
          </w:tcPr>
          <w:p>
            <w:pPr>
              <w:spacing w:after="0"/>
              <w:rPr>
                <w:sz w:val="20"/>
                <w:szCs w:val="20"/>
                <w:color w:val="auto"/>
              </w:rPr>
            </w:pPr>
          </w:p>
        </w:tc>
        <w:tc>
          <w:tcPr>
            <w:tcW w:w="3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Cost of merchandise sold – retail</w:t>
            </w:r>
          </w:p>
        </w:tc>
        <w:tc>
          <w:tcPr>
            <w:tcW w:w="16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$45,606</w:t>
            </w:r>
          </w:p>
        </w:tc>
        <w:tc>
          <w:tcPr>
            <w:tcW w:w="1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$45,483</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120" w:type="dxa"/>
            <w:vAlign w:val="bottom"/>
          </w:tcPr>
          <w:p>
            <w:pPr>
              <w:spacing w:after="0"/>
              <w:rPr>
                <w:sz w:val="20"/>
                <w:szCs w:val="20"/>
                <w:color w:val="auto"/>
              </w:rPr>
            </w:pPr>
          </w:p>
        </w:tc>
      </w:tr>
      <w:tr>
        <w:trPr>
          <w:trHeight w:val="27"/>
        </w:trPr>
        <w:tc>
          <w:tcPr>
            <w:tcW w:w="1140" w:type="dxa"/>
            <w:vAlign w:val="bottom"/>
            <w:tcBorders>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1140" w:type="dxa"/>
            <w:vAlign w:val="bottom"/>
            <w:tcBorders>
              <w:right w:val="single" w:sz="8" w:color="auto"/>
            </w:tcBorders>
          </w:tcPr>
          <w:p>
            <w:pPr>
              <w:spacing w:after="0"/>
              <w:rPr>
                <w:sz w:val="20"/>
                <w:szCs w:val="20"/>
                <w:color w:val="auto"/>
              </w:rPr>
            </w:pPr>
          </w:p>
        </w:tc>
        <w:tc>
          <w:tcPr>
            <w:tcW w:w="3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Consolidated gross profit</w:t>
            </w:r>
          </w:p>
        </w:tc>
        <w:tc>
          <w:tcPr>
            <w:tcW w:w="16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46,925</w:t>
            </w:r>
          </w:p>
        </w:tc>
        <w:tc>
          <w:tcPr>
            <w:tcW w:w="1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47,048</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120" w:type="dxa"/>
            <w:vAlign w:val="bottom"/>
          </w:tcPr>
          <w:p>
            <w:pPr>
              <w:spacing w:after="0"/>
              <w:rPr>
                <w:sz w:val="20"/>
                <w:szCs w:val="20"/>
                <w:color w:val="auto"/>
              </w:rPr>
            </w:pPr>
          </w:p>
        </w:tc>
      </w:tr>
      <w:tr>
        <w:trPr>
          <w:trHeight w:val="27"/>
        </w:trPr>
        <w:tc>
          <w:tcPr>
            <w:tcW w:w="1140" w:type="dxa"/>
            <w:vAlign w:val="bottom"/>
            <w:tcBorders>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1140" w:type="dxa"/>
            <w:vAlign w:val="bottom"/>
            <w:tcBorders>
              <w:right w:val="single" w:sz="8" w:color="auto"/>
            </w:tcBorders>
          </w:tcPr>
          <w:p>
            <w:pPr>
              <w:spacing w:after="0"/>
              <w:rPr>
                <w:sz w:val="20"/>
                <w:szCs w:val="20"/>
                <w:color w:val="auto"/>
              </w:rPr>
            </w:pPr>
          </w:p>
        </w:tc>
        <w:tc>
          <w:tcPr>
            <w:tcW w:w="3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16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37,757</w:t>
            </w:r>
          </w:p>
        </w:tc>
        <w:tc>
          <w:tcPr>
            <w:tcW w:w="1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36,253</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(1,504)</w:t>
            </w:r>
          </w:p>
        </w:tc>
        <w:tc>
          <w:tcPr>
            <w:tcW w:w="1120" w:type="dxa"/>
            <w:vAlign w:val="bottom"/>
          </w:tcPr>
          <w:p>
            <w:pPr>
              <w:spacing w:after="0"/>
              <w:rPr>
                <w:sz w:val="20"/>
                <w:szCs w:val="20"/>
                <w:color w:val="auto"/>
              </w:rPr>
            </w:pPr>
          </w:p>
        </w:tc>
      </w:tr>
      <w:tr>
        <w:trPr>
          <w:trHeight w:val="27"/>
        </w:trPr>
        <w:tc>
          <w:tcPr>
            <w:tcW w:w="1140" w:type="dxa"/>
            <w:vAlign w:val="bottom"/>
            <w:tcBorders>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1140" w:type="dxa"/>
            <w:vAlign w:val="bottom"/>
            <w:tcBorders>
              <w:right w:val="single" w:sz="8" w:color="auto"/>
            </w:tcBorders>
          </w:tcPr>
          <w:p>
            <w:pPr>
              <w:spacing w:after="0"/>
              <w:rPr>
                <w:sz w:val="20"/>
                <w:szCs w:val="20"/>
                <w:color w:val="auto"/>
              </w:rPr>
            </w:pPr>
          </w:p>
        </w:tc>
        <w:tc>
          <w:tcPr>
            <w:tcW w:w="3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(Loss) income before income taxes</w:t>
            </w:r>
          </w:p>
        </w:tc>
        <w:tc>
          <w:tcPr>
            <w:tcW w:w="16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9,164</w:t>
            </w:r>
          </w:p>
        </w:tc>
        <w:tc>
          <w:tcPr>
            <w:tcW w:w="1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10,791</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1,627</w:t>
            </w:r>
          </w:p>
        </w:tc>
        <w:tc>
          <w:tcPr>
            <w:tcW w:w="1120" w:type="dxa"/>
            <w:vAlign w:val="bottom"/>
          </w:tcPr>
          <w:p>
            <w:pPr>
              <w:spacing w:after="0"/>
              <w:rPr>
                <w:sz w:val="20"/>
                <w:szCs w:val="20"/>
                <w:color w:val="auto"/>
              </w:rPr>
            </w:pPr>
          </w:p>
        </w:tc>
      </w:tr>
      <w:tr>
        <w:trPr>
          <w:trHeight w:val="27"/>
        </w:trPr>
        <w:tc>
          <w:tcPr>
            <w:tcW w:w="1140" w:type="dxa"/>
            <w:vAlign w:val="bottom"/>
            <w:tcBorders>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1140" w:type="dxa"/>
            <w:vAlign w:val="bottom"/>
            <w:tcBorders>
              <w:right w:val="single" w:sz="8" w:color="auto"/>
            </w:tcBorders>
          </w:tcPr>
          <w:p>
            <w:pPr>
              <w:spacing w:after="0"/>
              <w:rPr>
                <w:sz w:val="20"/>
                <w:szCs w:val="20"/>
                <w:color w:val="auto"/>
              </w:rPr>
            </w:pPr>
          </w:p>
        </w:tc>
        <w:tc>
          <w:tcPr>
            <w:tcW w:w="3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Net (loss) income</w:t>
            </w:r>
          </w:p>
        </w:tc>
        <w:tc>
          <w:tcPr>
            <w:tcW w:w="16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8,843</w:t>
            </w:r>
          </w:p>
        </w:tc>
        <w:tc>
          <w:tcPr>
            <w:tcW w:w="1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10,470</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1,627</w:t>
            </w:r>
          </w:p>
        </w:tc>
        <w:tc>
          <w:tcPr>
            <w:tcW w:w="1120" w:type="dxa"/>
            <w:vAlign w:val="bottom"/>
          </w:tcPr>
          <w:p>
            <w:pPr>
              <w:spacing w:after="0"/>
              <w:rPr>
                <w:sz w:val="20"/>
                <w:szCs w:val="20"/>
                <w:color w:val="auto"/>
              </w:rPr>
            </w:pPr>
          </w:p>
        </w:tc>
      </w:tr>
      <w:tr>
        <w:trPr>
          <w:trHeight w:val="27"/>
        </w:trPr>
        <w:tc>
          <w:tcPr>
            <w:tcW w:w="1140" w:type="dxa"/>
            <w:vAlign w:val="bottom"/>
            <w:tcBorders>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1140" w:type="dxa"/>
            <w:vAlign w:val="bottom"/>
            <w:tcBorders>
              <w:right w:val="single" w:sz="8" w:color="auto"/>
            </w:tcBorders>
          </w:tcPr>
          <w:p>
            <w:pPr>
              <w:spacing w:after="0"/>
              <w:rPr>
                <w:sz w:val="20"/>
                <w:szCs w:val="20"/>
                <w:color w:val="auto"/>
              </w:rPr>
            </w:pPr>
          </w:p>
        </w:tc>
        <w:tc>
          <w:tcPr>
            <w:tcW w:w="3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(Loss) income per common share</w:t>
            </w:r>
          </w:p>
        </w:tc>
        <w:tc>
          <w:tcPr>
            <w:tcW w:w="166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1140" w:type="dxa"/>
            <w:vAlign w:val="bottom"/>
            <w:tcBorders>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r>
      <w:tr>
        <w:trPr>
          <w:trHeight w:val="236"/>
        </w:trPr>
        <w:tc>
          <w:tcPr>
            <w:tcW w:w="1140" w:type="dxa"/>
            <w:vAlign w:val="bottom"/>
            <w:tcBorders>
              <w:right w:val="single" w:sz="8" w:color="auto"/>
            </w:tcBorders>
          </w:tcPr>
          <w:p>
            <w:pPr>
              <w:spacing w:after="0"/>
              <w:rPr>
                <w:sz w:val="20"/>
                <w:szCs w:val="20"/>
                <w:color w:val="auto"/>
              </w:rPr>
            </w:pPr>
          </w:p>
        </w:tc>
        <w:tc>
          <w:tcPr>
            <w:tcW w:w="39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Basic</w:t>
            </w:r>
          </w:p>
        </w:tc>
        <w:tc>
          <w:tcPr>
            <w:tcW w:w="16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1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$0.70</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120" w:type="dxa"/>
            <w:vAlign w:val="bottom"/>
          </w:tcPr>
          <w:p>
            <w:pPr>
              <w:spacing w:after="0"/>
              <w:rPr>
                <w:sz w:val="20"/>
                <w:szCs w:val="20"/>
                <w:color w:val="auto"/>
              </w:rPr>
            </w:pPr>
          </w:p>
        </w:tc>
      </w:tr>
      <w:tr>
        <w:trPr>
          <w:trHeight w:val="27"/>
        </w:trPr>
        <w:tc>
          <w:tcPr>
            <w:tcW w:w="1140" w:type="dxa"/>
            <w:vAlign w:val="bottom"/>
            <w:tcBorders>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1140" w:type="dxa"/>
            <w:vAlign w:val="bottom"/>
            <w:tcBorders>
              <w:right w:val="single" w:sz="8" w:color="auto"/>
            </w:tcBorders>
          </w:tcPr>
          <w:p>
            <w:pPr>
              <w:spacing w:after="0"/>
              <w:rPr>
                <w:sz w:val="20"/>
                <w:szCs w:val="20"/>
                <w:color w:val="auto"/>
              </w:rPr>
            </w:pPr>
          </w:p>
        </w:tc>
        <w:tc>
          <w:tcPr>
            <w:tcW w:w="39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Diluted</w:t>
            </w:r>
          </w:p>
        </w:tc>
        <w:tc>
          <w:tcPr>
            <w:tcW w:w="16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1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0.67</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120" w:type="dxa"/>
            <w:vAlign w:val="bottom"/>
          </w:tcPr>
          <w:p>
            <w:pPr>
              <w:spacing w:after="0"/>
              <w:rPr>
                <w:sz w:val="20"/>
                <w:szCs w:val="20"/>
                <w:color w:val="auto"/>
              </w:rPr>
            </w:pPr>
          </w:p>
        </w:tc>
      </w:tr>
      <w:tr>
        <w:trPr>
          <w:trHeight w:val="27"/>
        </w:trPr>
        <w:tc>
          <w:tcPr>
            <w:tcW w:w="1140" w:type="dxa"/>
            <w:vAlign w:val="bottom"/>
            <w:tcBorders>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r>
      <w:tr>
        <w:trPr>
          <w:trHeight w:val="264"/>
        </w:trPr>
        <w:tc>
          <w:tcPr>
            <w:tcW w:w="1140" w:type="dxa"/>
            <w:vAlign w:val="bottom"/>
            <w:tcBorders>
              <w:right w:val="single" w:sz="8" w:color="auto"/>
            </w:tcBorders>
          </w:tcPr>
          <w:p>
            <w:pPr>
              <w:spacing w:after="0"/>
              <w:rPr>
                <w:sz w:val="22"/>
                <w:szCs w:val="22"/>
                <w:color w:val="auto"/>
              </w:rPr>
            </w:pPr>
          </w:p>
        </w:tc>
        <w:tc>
          <w:tcPr>
            <w:tcW w:w="3940" w:type="dxa"/>
            <w:vAlign w:val="bottom"/>
            <w:tcBorders>
              <w:bottom w:val="single" w:sz="8" w:color="auto"/>
              <w:right w:val="single" w:sz="8" w:color="auto"/>
            </w:tcBorders>
          </w:tcPr>
          <w:p>
            <w:pPr>
              <w:spacing w:after="0"/>
              <w:rPr>
                <w:sz w:val="22"/>
                <w:szCs w:val="22"/>
                <w:color w:val="auto"/>
              </w:rPr>
            </w:pPr>
          </w:p>
        </w:tc>
        <w:tc>
          <w:tcPr>
            <w:tcW w:w="1660" w:type="dxa"/>
            <w:vAlign w:val="bottom"/>
            <w:tcBorders>
              <w:bottom w:val="single" w:sz="8" w:color="auto"/>
              <w:right w:val="single" w:sz="8" w:color="auto"/>
            </w:tcBorders>
          </w:tcPr>
          <w:p>
            <w:pPr>
              <w:spacing w:after="0"/>
              <w:rPr>
                <w:sz w:val="22"/>
                <w:szCs w:val="22"/>
                <w:color w:val="auto"/>
              </w:rPr>
            </w:pPr>
          </w:p>
        </w:tc>
        <w:tc>
          <w:tcPr>
            <w:tcW w:w="1680" w:type="dxa"/>
            <w:vAlign w:val="bottom"/>
            <w:tcBorders>
              <w:bottom w:val="single" w:sz="8" w:color="auto"/>
              <w:right w:val="single" w:sz="8" w:color="auto"/>
            </w:tcBorders>
          </w:tcPr>
          <w:p>
            <w:pPr>
              <w:spacing w:after="0"/>
              <w:rPr>
                <w:sz w:val="22"/>
                <w:szCs w:val="22"/>
                <w:color w:val="auto"/>
              </w:rPr>
            </w:pPr>
          </w:p>
        </w:tc>
        <w:tc>
          <w:tcPr>
            <w:tcW w:w="1700" w:type="dxa"/>
            <w:vAlign w:val="bottom"/>
            <w:tcBorders>
              <w:bottom w:val="single" w:sz="8" w:color="auto"/>
              <w:right w:val="single" w:sz="8" w:color="auto"/>
            </w:tcBorders>
          </w:tcPr>
          <w:p>
            <w:pPr>
              <w:spacing w:after="0"/>
              <w:rPr>
                <w:sz w:val="22"/>
                <w:szCs w:val="22"/>
                <w:color w:val="auto"/>
              </w:rPr>
            </w:pPr>
          </w:p>
        </w:tc>
        <w:tc>
          <w:tcPr>
            <w:tcW w:w="1120" w:type="dxa"/>
            <w:vAlign w:val="bottom"/>
          </w:tcPr>
          <w:p>
            <w:pPr>
              <w:spacing w:after="0"/>
              <w:rPr>
                <w:sz w:val="22"/>
                <w:szCs w:val="22"/>
                <w:color w:val="auto"/>
              </w:rPr>
            </w:pPr>
          </w:p>
        </w:tc>
      </w:tr>
      <w:tr>
        <w:trPr>
          <w:trHeight w:val="218"/>
        </w:trPr>
        <w:tc>
          <w:tcPr>
            <w:tcW w:w="1140" w:type="dxa"/>
            <w:vAlign w:val="bottom"/>
            <w:tcBorders>
              <w:right w:val="single" w:sz="8" w:color="auto"/>
            </w:tcBorders>
          </w:tcPr>
          <w:p>
            <w:pPr>
              <w:spacing w:after="0"/>
              <w:rPr>
                <w:sz w:val="18"/>
                <w:szCs w:val="18"/>
                <w:color w:val="auto"/>
              </w:rPr>
            </w:pPr>
          </w:p>
        </w:tc>
        <w:tc>
          <w:tcPr>
            <w:tcW w:w="394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Company</w:t>
            </w:r>
            <w:r>
              <w:rPr>
                <w:rFonts w:ascii="Arial" w:cs="Arial" w:eastAsia="Arial" w:hAnsi="Arial"/>
                <w:sz w:val="18"/>
                <w:szCs w:val="18"/>
                <w:color w:val="auto"/>
              </w:rPr>
              <w:t>’</w:t>
            </w:r>
            <w:r>
              <w:rPr>
                <w:rFonts w:ascii="Arial" w:cs="Arial" w:eastAsia="Arial" w:hAnsi="Arial"/>
                <w:sz w:val="18"/>
                <w:szCs w:val="18"/>
                <w:b w:val="1"/>
                <w:bCs w:val="1"/>
                <w:color w:val="auto"/>
              </w:rPr>
              <w:t>s Consolidated Statements of</w:t>
            </w:r>
          </w:p>
        </w:tc>
        <w:tc>
          <w:tcPr>
            <w:tcW w:w="166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Borders>
              <w:right w:val="single" w:sz="8" w:color="auto"/>
            </w:tcBorders>
          </w:tcPr>
          <w:p>
            <w:pPr>
              <w:spacing w:after="0"/>
              <w:rPr>
                <w:sz w:val="18"/>
                <w:szCs w:val="18"/>
                <w:color w:val="auto"/>
              </w:rPr>
            </w:pPr>
          </w:p>
        </w:tc>
        <w:tc>
          <w:tcPr>
            <w:tcW w:w="394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w w:val="95"/>
              </w:rPr>
              <w:t>Operations for the 52 weeks ended January 30,</w:t>
            </w:r>
          </w:p>
        </w:tc>
        <w:tc>
          <w:tcPr>
            <w:tcW w:w="166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1140" w:type="dxa"/>
            <w:vAlign w:val="bottom"/>
            <w:tcBorders>
              <w:right w:val="single" w:sz="8" w:color="auto"/>
            </w:tcBorders>
          </w:tcPr>
          <w:p>
            <w:pPr>
              <w:spacing w:after="0"/>
              <w:rPr>
                <w:sz w:val="20"/>
                <w:szCs w:val="20"/>
                <w:color w:val="auto"/>
              </w:rPr>
            </w:pPr>
          </w:p>
        </w:tc>
        <w:tc>
          <w:tcPr>
            <w:tcW w:w="394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2021</w:t>
            </w:r>
          </w:p>
        </w:tc>
        <w:tc>
          <w:tcPr>
            <w:tcW w:w="166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1140" w:type="dxa"/>
            <w:vAlign w:val="bottom"/>
            <w:tcBorders>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1140" w:type="dxa"/>
            <w:vAlign w:val="bottom"/>
            <w:tcBorders>
              <w:right w:val="single" w:sz="8" w:color="auto"/>
            </w:tcBorders>
          </w:tcPr>
          <w:p>
            <w:pPr>
              <w:spacing w:after="0"/>
              <w:rPr>
                <w:sz w:val="20"/>
                <w:szCs w:val="20"/>
                <w:color w:val="auto"/>
              </w:rPr>
            </w:pPr>
          </w:p>
        </w:tc>
        <w:tc>
          <w:tcPr>
            <w:tcW w:w="3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Cost of merchandise sold – retail</w:t>
            </w:r>
          </w:p>
        </w:tc>
        <w:tc>
          <w:tcPr>
            <w:tcW w:w="16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$147,906</w:t>
            </w:r>
          </w:p>
        </w:tc>
        <w:tc>
          <w:tcPr>
            <w:tcW w:w="1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$147,783</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120" w:type="dxa"/>
            <w:vAlign w:val="bottom"/>
          </w:tcPr>
          <w:p>
            <w:pPr>
              <w:spacing w:after="0"/>
              <w:rPr>
                <w:sz w:val="20"/>
                <w:szCs w:val="20"/>
                <w:color w:val="auto"/>
              </w:rPr>
            </w:pPr>
          </w:p>
        </w:tc>
      </w:tr>
      <w:tr>
        <w:trPr>
          <w:trHeight w:val="27"/>
        </w:trPr>
        <w:tc>
          <w:tcPr>
            <w:tcW w:w="1140" w:type="dxa"/>
            <w:vAlign w:val="bottom"/>
            <w:tcBorders>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1140" w:type="dxa"/>
            <w:vAlign w:val="bottom"/>
            <w:tcBorders>
              <w:right w:val="single" w:sz="8" w:color="auto"/>
            </w:tcBorders>
          </w:tcPr>
          <w:p>
            <w:pPr>
              <w:spacing w:after="0"/>
              <w:rPr>
                <w:sz w:val="20"/>
                <w:szCs w:val="20"/>
                <w:color w:val="auto"/>
              </w:rPr>
            </w:pPr>
          </w:p>
        </w:tc>
        <w:tc>
          <w:tcPr>
            <w:tcW w:w="3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Consolidated gross profit</w:t>
            </w:r>
          </w:p>
        </w:tc>
        <w:tc>
          <w:tcPr>
            <w:tcW w:w="16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97,286</w:t>
            </w:r>
          </w:p>
        </w:tc>
        <w:tc>
          <w:tcPr>
            <w:tcW w:w="1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97,409</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120" w:type="dxa"/>
            <w:vAlign w:val="bottom"/>
          </w:tcPr>
          <w:p>
            <w:pPr>
              <w:spacing w:after="0"/>
              <w:rPr>
                <w:sz w:val="20"/>
                <w:szCs w:val="20"/>
                <w:color w:val="auto"/>
              </w:rPr>
            </w:pPr>
          </w:p>
        </w:tc>
      </w:tr>
      <w:tr>
        <w:trPr>
          <w:trHeight w:val="27"/>
        </w:trPr>
        <w:tc>
          <w:tcPr>
            <w:tcW w:w="1140" w:type="dxa"/>
            <w:vAlign w:val="bottom"/>
            <w:tcBorders>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1140" w:type="dxa"/>
            <w:vAlign w:val="bottom"/>
            <w:tcBorders>
              <w:right w:val="single" w:sz="8" w:color="auto"/>
            </w:tcBorders>
          </w:tcPr>
          <w:p>
            <w:pPr>
              <w:spacing w:after="0"/>
              <w:rPr>
                <w:sz w:val="20"/>
                <w:szCs w:val="20"/>
                <w:color w:val="auto"/>
              </w:rPr>
            </w:pPr>
          </w:p>
        </w:tc>
        <w:tc>
          <w:tcPr>
            <w:tcW w:w="3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16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119,089</w:t>
            </w:r>
          </w:p>
        </w:tc>
        <w:tc>
          <w:tcPr>
            <w:tcW w:w="1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117,585</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(1,504)</w:t>
            </w:r>
          </w:p>
        </w:tc>
        <w:tc>
          <w:tcPr>
            <w:tcW w:w="1120" w:type="dxa"/>
            <w:vAlign w:val="bottom"/>
          </w:tcPr>
          <w:p>
            <w:pPr>
              <w:spacing w:after="0"/>
              <w:rPr>
                <w:sz w:val="20"/>
                <w:szCs w:val="20"/>
                <w:color w:val="auto"/>
              </w:rPr>
            </w:pPr>
          </w:p>
        </w:tc>
      </w:tr>
      <w:tr>
        <w:trPr>
          <w:trHeight w:val="27"/>
        </w:trPr>
        <w:tc>
          <w:tcPr>
            <w:tcW w:w="1140" w:type="dxa"/>
            <w:vAlign w:val="bottom"/>
            <w:tcBorders>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1140" w:type="dxa"/>
            <w:vAlign w:val="bottom"/>
            <w:tcBorders>
              <w:right w:val="single" w:sz="8" w:color="auto"/>
            </w:tcBorders>
          </w:tcPr>
          <w:p>
            <w:pPr>
              <w:spacing w:after="0"/>
              <w:rPr>
                <w:sz w:val="20"/>
                <w:szCs w:val="20"/>
                <w:color w:val="auto"/>
              </w:rPr>
            </w:pPr>
          </w:p>
        </w:tc>
        <w:tc>
          <w:tcPr>
            <w:tcW w:w="3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(Loss) income before income taxes</w:t>
            </w:r>
          </w:p>
        </w:tc>
        <w:tc>
          <w:tcPr>
            <w:tcW w:w="16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(21,813)</w:t>
            </w:r>
          </w:p>
        </w:tc>
        <w:tc>
          <w:tcPr>
            <w:tcW w:w="1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(20,186)</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1,627</w:t>
            </w:r>
          </w:p>
        </w:tc>
        <w:tc>
          <w:tcPr>
            <w:tcW w:w="1120" w:type="dxa"/>
            <w:vAlign w:val="bottom"/>
          </w:tcPr>
          <w:p>
            <w:pPr>
              <w:spacing w:after="0"/>
              <w:rPr>
                <w:sz w:val="20"/>
                <w:szCs w:val="20"/>
                <w:color w:val="auto"/>
              </w:rPr>
            </w:pPr>
          </w:p>
        </w:tc>
      </w:tr>
      <w:tr>
        <w:trPr>
          <w:trHeight w:val="27"/>
        </w:trPr>
        <w:tc>
          <w:tcPr>
            <w:tcW w:w="1140" w:type="dxa"/>
            <w:vAlign w:val="bottom"/>
            <w:tcBorders>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1140" w:type="dxa"/>
            <w:vAlign w:val="bottom"/>
            <w:tcBorders>
              <w:right w:val="single" w:sz="8" w:color="auto"/>
            </w:tcBorders>
          </w:tcPr>
          <w:p>
            <w:pPr>
              <w:spacing w:after="0"/>
              <w:rPr>
                <w:sz w:val="20"/>
                <w:szCs w:val="20"/>
                <w:color w:val="auto"/>
              </w:rPr>
            </w:pPr>
          </w:p>
        </w:tc>
        <w:tc>
          <w:tcPr>
            <w:tcW w:w="3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Net (loss) income</w:t>
            </w:r>
          </w:p>
        </w:tc>
        <w:tc>
          <w:tcPr>
            <w:tcW w:w="16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(24,610)</w:t>
            </w:r>
          </w:p>
        </w:tc>
        <w:tc>
          <w:tcPr>
            <w:tcW w:w="1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(22,983)</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1,627</w:t>
            </w:r>
          </w:p>
        </w:tc>
        <w:tc>
          <w:tcPr>
            <w:tcW w:w="1120" w:type="dxa"/>
            <w:vAlign w:val="bottom"/>
          </w:tcPr>
          <w:p>
            <w:pPr>
              <w:spacing w:after="0"/>
              <w:rPr>
                <w:sz w:val="20"/>
                <w:szCs w:val="20"/>
                <w:color w:val="auto"/>
              </w:rPr>
            </w:pPr>
          </w:p>
        </w:tc>
      </w:tr>
      <w:tr>
        <w:trPr>
          <w:trHeight w:val="27"/>
        </w:trPr>
        <w:tc>
          <w:tcPr>
            <w:tcW w:w="1140" w:type="dxa"/>
            <w:vAlign w:val="bottom"/>
            <w:tcBorders>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1140" w:type="dxa"/>
            <w:vAlign w:val="bottom"/>
            <w:tcBorders>
              <w:right w:val="single" w:sz="8" w:color="auto"/>
            </w:tcBorders>
          </w:tcPr>
          <w:p>
            <w:pPr>
              <w:spacing w:after="0"/>
              <w:rPr>
                <w:sz w:val="20"/>
                <w:szCs w:val="20"/>
                <w:color w:val="auto"/>
              </w:rPr>
            </w:pPr>
          </w:p>
        </w:tc>
        <w:tc>
          <w:tcPr>
            <w:tcW w:w="3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(Loss) income per common share</w:t>
            </w:r>
          </w:p>
        </w:tc>
        <w:tc>
          <w:tcPr>
            <w:tcW w:w="166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1140" w:type="dxa"/>
            <w:vAlign w:val="bottom"/>
            <w:tcBorders>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1140" w:type="dxa"/>
            <w:vAlign w:val="bottom"/>
            <w:tcBorders>
              <w:right w:val="single" w:sz="8" w:color="auto"/>
            </w:tcBorders>
          </w:tcPr>
          <w:p>
            <w:pPr>
              <w:spacing w:after="0"/>
              <w:rPr>
                <w:sz w:val="20"/>
                <w:szCs w:val="20"/>
                <w:color w:val="auto"/>
              </w:rPr>
            </w:pPr>
          </w:p>
        </w:tc>
        <w:tc>
          <w:tcPr>
            <w:tcW w:w="39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Basic</w:t>
            </w:r>
          </w:p>
        </w:tc>
        <w:tc>
          <w:tcPr>
            <w:tcW w:w="16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120" w:type="dxa"/>
            <w:vAlign w:val="bottom"/>
          </w:tcPr>
          <w:p>
            <w:pPr>
              <w:spacing w:after="0"/>
              <w:rPr>
                <w:sz w:val="20"/>
                <w:szCs w:val="20"/>
                <w:color w:val="auto"/>
              </w:rPr>
            </w:pPr>
          </w:p>
        </w:tc>
      </w:tr>
      <w:tr>
        <w:trPr>
          <w:trHeight w:val="27"/>
        </w:trPr>
        <w:tc>
          <w:tcPr>
            <w:tcW w:w="1140" w:type="dxa"/>
            <w:vAlign w:val="bottom"/>
            <w:tcBorders>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1140" w:type="dxa"/>
            <w:vAlign w:val="bottom"/>
            <w:tcBorders>
              <w:right w:val="single" w:sz="8" w:color="auto"/>
            </w:tcBorders>
          </w:tcPr>
          <w:p>
            <w:pPr>
              <w:spacing w:after="0"/>
              <w:rPr>
                <w:sz w:val="20"/>
                <w:szCs w:val="20"/>
                <w:color w:val="auto"/>
              </w:rPr>
            </w:pPr>
          </w:p>
        </w:tc>
        <w:tc>
          <w:tcPr>
            <w:tcW w:w="39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Diluted</w:t>
            </w:r>
          </w:p>
        </w:tc>
        <w:tc>
          <w:tcPr>
            <w:tcW w:w="16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120" w:type="dxa"/>
            <w:vAlign w:val="bottom"/>
          </w:tcPr>
          <w:p>
            <w:pPr>
              <w:spacing w:after="0"/>
              <w:rPr>
                <w:sz w:val="20"/>
                <w:szCs w:val="20"/>
                <w:color w:val="auto"/>
              </w:rPr>
            </w:pPr>
          </w:p>
        </w:tc>
      </w:tr>
      <w:tr>
        <w:trPr>
          <w:trHeight w:val="27"/>
        </w:trPr>
        <w:tc>
          <w:tcPr>
            <w:tcW w:w="1140" w:type="dxa"/>
            <w:vAlign w:val="bottom"/>
            <w:tcBorders>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r>
      <w:tr>
        <w:trPr>
          <w:trHeight w:val="426"/>
        </w:trPr>
        <w:tc>
          <w:tcPr>
            <w:tcW w:w="11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660" w:type="dxa"/>
            <w:vAlign w:val="bottom"/>
          </w:tcPr>
          <w:p>
            <w:pPr>
              <w:jc w:val="right"/>
              <w:ind w:right="990"/>
              <w:spacing w:after="0"/>
              <w:rPr>
                <w:sz w:val="20"/>
                <w:szCs w:val="20"/>
                <w:color w:val="auto"/>
              </w:rPr>
            </w:pPr>
            <w:r>
              <w:rPr>
                <w:rFonts w:ascii="Arial" w:cs="Arial" w:eastAsia="Arial" w:hAnsi="Arial"/>
                <w:sz w:val="18"/>
                <w:szCs w:val="18"/>
                <w:color w:val="auto"/>
              </w:rPr>
              <w:t>3</w:t>
            </w:r>
          </w:p>
        </w:tc>
        <w:tc>
          <w:tcPr>
            <w:tcW w:w="1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394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4"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1140" w:type="dxa"/>
            <w:vAlign w:val="bottom"/>
            <w:tcBorders>
              <w:right w:val="single" w:sz="8" w:color="auto"/>
            </w:tcBorders>
          </w:tcPr>
          <w:p>
            <w:pPr>
              <w:spacing w:after="0"/>
              <w:rPr>
                <w:sz w:val="22"/>
                <w:szCs w:val="22"/>
                <w:color w:val="auto"/>
              </w:rPr>
            </w:pPr>
          </w:p>
        </w:tc>
        <w:tc>
          <w:tcPr>
            <w:tcW w:w="3960" w:type="dxa"/>
            <w:vAlign w:val="bottom"/>
            <w:tcBorders>
              <w:top w:val="single" w:sz="8" w:color="auto"/>
              <w:right w:val="single" w:sz="8" w:color="auto"/>
            </w:tcBorders>
          </w:tcPr>
          <w:p>
            <w:pPr>
              <w:spacing w:after="0"/>
              <w:rPr>
                <w:sz w:val="22"/>
                <w:szCs w:val="22"/>
                <w:color w:val="auto"/>
              </w:rPr>
            </w:pPr>
          </w:p>
        </w:tc>
        <w:tc>
          <w:tcPr>
            <w:tcW w:w="1660" w:type="dxa"/>
            <w:vAlign w:val="bottom"/>
            <w:tcBorders>
              <w:top w:val="single" w:sz="8" w:color="auto"/>
              <w:right w:val="single" w:sz="8" w:color="auto"/>
            </w:tcBorders>
          </w:tcPr>
          <w:p>
            <w:pPr>
              <w:jc w:val="right"/>
              <w:ind w:right="470"/>
              <w:spacing w:after="0"/>
              <w:rPr>
                <w:sz w:val="20"/>
                <w:szCs w:val="20"/>
                <w:color w:val="auto"/>
              </w:rPr>
            </w:pPr>
            <w:r>
              <w:rPr>
                <w:rFonts w:ascii="Arial" w:cs="Arial" w:eastAsia="Arial" w:hAnsi="Arial"/>
                <w:sz w:val="18"/>
                <w:szCs w:val="18"/>
                <w:color w:val="auto"/>
              </w:rPr>
              <w:t>Original</w:t>
            </w:r>
          </w:p>
        </w:tc>
        <w:tc>
          <w:tcPr>
            <w:tcW w:w="1660" w:type="dxa"/>
            <w:vAlign w:val="bottom"/>
            <w:tcBorders>
              <w:top w:val="single" w:sz="8" w:color="auto"/>
              <w:right w:val="single" w:sz="8" w:color="auto"/>
            </w:tcBorders>
          </w:tcPr>
          <w:p>
            <w:pPr>
              <w:jc w:val="right"/>
              <w:ind w:right="470"/>
              <w:spacing w:after="0"/>
              <w:rPr>
                <w:sz w:val="20"/>
                <w:szCs w:val="20"/>
                <w:color w:val="auto"/>
              </w:rPr>
            </w:pPr>
            <w:r>
              <w:rPr>
                <w:rFonts w:ascii="Arial" w:cs="Arial" w:eastAsia="Arial" w:hAnsi="Arial"/>
                <w:sz w:val="18"/>
                <w:szCs w:val="18"/>
                <w:color w:val="auto"/>
              </w:rPr>
              <w:t>Revised</w:t>
            </w:r>
          </w:p>
        </w:tc>
        <w:tc>
          <w:tcPr>
            <w:tcW w:w="1700" w:type="dxa"/>
            <w:vAlign w:val="bottom"/>
            <w:tcBorders>
              <w:top w:val="single" w:sz="8" w:color="auto"/>
              <w:right w:val="single" w:sz="8" w:color="auto"/>
            </w:tcBorders>
          </w:tcPr>
          <w:p>
            <w:pPr>
              <w:jc w:val="right"/>
              <w:ind w:right="490"/>
              <w:spacing w:after="0"/>
              <w:rPr>
                <w:sz w:val="20"/>
                <w:szCs w:val="20"/>
                <w:color w:val="auto"/>
              </w:rPr>
            </w:pPr>
            <w:r>
              <w:rPr>
                <w:rFonts w:ascii="Arial" w:cs="Arial" w:eastAsia="Arial" w:hAnsi="Arial"/>
                <w:sz w:val="18"/>
                <w:szCs w:val="18"/>
                <w:color w:val="auto"/>
              </w:rPr>
              <w:t>Change</w:t>
            </w:r>
          </w:p>
        </w:tc>
        <w:tc>
          <w:tcPr>
            <w:tcW w:w="1120" w:type="dxa"/>
            <w:vAlign w:val="bottom"/>
          </w:tcPr>
          <w:p>
            <w:pPr>
              <w:spacing w:after="0"/>
              <w:rPr>
                <w:sz w:val="22"/>
                <w:szCs w:val="22"/>
                <w:color w:val="auto"/>
              </w:rPr>
            </w:pPr>
          </w:p>
        </w:tc>
      </w:tr>
      <w:tr>
        <w:trPr>
          <w:trHeight w:val="24"/>
        </w:trPr>
        <w:tc>
          <w:tcPr>
            <w:tcW w:w="1140" w:type="dxa"/>
            <w:vAlign w:val="bottom"/>
            <w:tcBorders>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r>
      <w:tr>
        <w:trPr>
          <w:trHeight w:val="221"/>
        </w:trPr>
        <w:tc>
          <w:tcPr>
            <w:tcW w:w="1140" w:type="dxa"/>
            <w:vAlign w:val="bottom"/>
            <w:tcBorders>
              <w:right w:val="single" w:sz="8" w:color="auto"/>
            </w:tcBorders>
          </w:tcPr>
          <w:p>
            <w:pPr>
              <w:spacing w:after="0"/>
              <w:rPr>
                <w:sz w:val="19"/>
                <w:szCs w:val="19"/>
                <w:color w:val="auto"/>
              </w:rPr>
            </w:pPr>
          </w:p>
        </w:tc>
        <w:tc>
          <w:tcPr>
            <w:tcW w:w="396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 xml:space="preserve">Selected Financial and Store data </w:t>
            </w:r>
            <w:r>
              <w:rPr>
                <w:rFonts w:ascii="Arial" w:cs="Arial" w:eastAsia="Arial" w:hAnsi="Arial"/>
                <w:sz w:val="18"/>
                <w:szCs w:val="18"/>
                <w:color w:val="auto"/>
              </w:rPr>
              <w:t>–</w:t>
            </w:r>
            <w:r>
              <w:rPr>
                <w:rFonts w:ascii="Arial" w:cs="Arial" w:eastAsia="Arial" w:hAnsi="Arial"/>
                <w:sz w:val="18"/>
                <w:szCs w:val="18"/>
                <w:b w:val="1"/>
                <w:bCs w:val="1"/>
                <w:color w:val="auto"/>
              </w:rPr>
              <w:t xml:space="preserve"> Other</w:t>
            </w:r>
          </w:p>
        </w:tc>
        <w:tc>
          <w:tcPr>
            <w:tcW w:w="16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120" w:type="dxa"/>
            <w:vAlign w:val="bottom"/>
          </w:tcPr>
          <w:p>
            <w:pPr>
              <w:spacing w:after="0"/>
              <w:rPr>
                <w:sz w:val="19"/>
                <w:szCs w:val="19"/>
                <w:color w:val="auto"/>
              </w:rPr>
            </w:pPr>
          </w:p>
        </w:tc>
      </w:tr>
      <w:tr>
        <w:trPr>
          <w:trHeight w:val="216"/>
        </w:trPr>
        <w:tc>
          <w:tcPr>
            <w:tcW w:w="1140" w:type="dxa"/>
            <w:vAlign w:val="bottom"/>
            <w:tcBorders>
              <w:right w:val="single" w:sz="8" w:color="auto"/>
            </w:tcBorders>
          </w:tcPr>
          <w:p>
            <w:pPr>
              <w:spacing w:after="0"/>
              <w:rPr>
                <w:sz w:val="18"/>
                <w:szCs w:val="18"/>
                <w:color w:val="auto"/>
              </w:rPr>
            </w:pPr>
          </w:p>
        </w:tc>
        <w:tc>
          <w:tcPr>
            <w:tcW w:w="396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w w:val="99"/>
              </w:rPr>
              <w:t>financial data for 13 weeks ended January 30,</w:t>
            </w:r>
          </w:p>
        </w:tc>
        <w:tc>
          <w:tcPr>
            <w:tcW w:w="166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1140" w:type="dxa"/>
            <w:vAlign w:val="bottom"/>
            <w:tcBorders>
              <w:right w:val="single" w:sz="8" w:color="auto"/>
            </w:tcBorders>
          </w:tcPr>
          <w:p>
            <w:pPr>
              <w:spacing w:after="0"/>
              <w:rPr>
                <w:sz w:val="20"/>
                <w:szCs w:val="20"/>
                <w:color w:val="auto"/>
              </w:rPr>
            </w:pPr>
          </w:p>
        </w:tc>
        <w:tc>
          <w:tcPr>
            <w:tcW w:w="396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2021</w:t>
            </w:r>
          </w:p>
        </w:tc>
        <w:tc>
          <w:tcPr>
            <w:tcW w:w="166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1140" w:type="dxa"/>
            <w:vAlign w:val="bottom"/>
            <w:tcBorders>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1140" w:type="dxa"/>
            <w:vAlign w:val="bottom"/>
            <w:tcBorders>
              <w:right w:val="single" w:sz="8" w:color="auto"/>
            </w:tcBorders>
          </w:tcPr>
          <w:p>
            <w:pPr>
              <w:spacing w:after="0"/>
              <w:rPr>
                <w:sz w:val="20"/>
                <w:szCs w:val="20"/>
                <w:color w:val="auto"/>
              </w:rPr>
            </w:pPr>
          </w:p>
        </w:tc>
        <w:tc>
          <w:tcPr>
            <w:tcW w:w="3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Retail gross margin ($)</w:t>
            </w:r>
          </w:p>
        </w:tc>
        <w:tc>
          <w:tcPr>
            <w:tcW w:w="16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$46,250</w:t>
            </w:r>
          </w:p>
        </w:tc>
        <w:tc>
          <w:tcPr>
            <w:tcW w:w="16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$46,373</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120" w:type="dxa"/>
            <w:vAlign w:val="bottom"/>
          </w:tcPr>
          <w:p>
            <w:pPr>
              <w:spacing w:after="0"/>
              <w:rPr>
                <w:sz w:val="20"/>
                <w:szCs w:val="20"/>
                <w:color w:val="auto"/>
              </w:rPr>
            </w:pPr>
          </w:p>
        </w:tc>
      </w:tr>
      <w:tr>
        <w:trPr>
          <w:trHeight w:val="27"/>
        </w:trPr>
        <w:tc>
          <w:tcPr>
            <w:tcW w:w="1140" w:type="dxa"/>
            <w:vAlign w:val="bottom"/>
            <w:tcBorders>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1140" w:type="dxa"/>
            <w:vAlign w:val="bottom"/>
            <w:tcBorders>
              <w:right w:val="single" w:sz="8" w:color="auto"/>
            </w:tcBorders>
          </w:tcPr>
          <w:p>
            <w:pPr>
              <w:spacing w:after="0"/>
              <w:rPr>
                <w:sz w:val="20"/>
                <w:szCs w:val="20"/>
                <w:color w:val="auto"/>
              </w:rPr>
            </w:pPr>
          </w:p>
        </w:tc>
        <w:tc>
          <w:tcPr>
            <w:tcW w:w="3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Retail gross margin (%)</w:t>
            </w:r>
          </w:p>
        </w:tc>
        <w:tc>
          <w:tcPr>
            <w:tcW w:w="16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6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120" w:type="dxa"/>
            <w:vAlign w:val="bottom"/>
          </w:tcPr>
          <w:p>
            <w:pPr>
              <w:spacing w:after="0"/>
              <w:rPr>
                <w:sz w:val="20"/>
                <w:szCs w:val="20"/>
                <w:color w:val="auto"/>
              </w:rPr>
            </w:pPr>
          </w:p>
        </w:tc>
      </w:tr>
      <w:tr>
        <w:trPr>
          <w:trHeight w:val="27"/>
        </w:trPr>
        <w:tc>
          <w:tcPr>
            <w:tcW w:w="1140" w:type="dxa"/>
            <w:vAlign w:val="bottom"/>
            <w:tcBorders>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r>
      <w:tr>
        <w:trPr>
          <w:trHeight w:val="263"/>
        </w:trPr>
        <w:tc>
          <w:tcPr>
            <w:tcW w:w="1140" w:type="dxa"/>
            <w:vAlign w:val="bottom"/>
            <w:tcBorders>
              <w:right w:val="single" w:sz="8" w:color="auto"/>
            </w:tcBorders>
          </w:tcPr>
          <w:p>
            <w:pPr>
              <w:spacing w:after="0"/>
              <w:rPr>
                <w:sz w:val="22"/>
                <w:szCs w:val="22"/>
                <w:color w:val="auto"/>
              </w:rPr>
            </w:pPr>
          </w:p>
        </w:tc>
        <w:tc>
          <w:tcPr>
            <w:tcW w:w="3960" w:type="dxa"/>
            <w:vAlign w:val="bottom"/>
            <w:tcBorders>
              <w:bottom w:val="single" w:sz="8" w:color="auto"/>
              <w:right w:val="single" w:sz="8" w:color="auto"/>
            </w:tcBorders>
          </w:tcPr>
          <w:p>
            <w:pPr>
              <w:spacing w:after="0"/>
              <w:rPr>
                <w:sz w:val="22"/>
                <w:szCs w:val="22"/>
                <w:color w:val="auto"/>
              </w:rPr>
            </w:pPr>
          </w:p>
        </w:tc>
        <w:tc>
          <w:tcPr>
            <w:tcW w:w="1660" w:type="dxa"/>
            <w:vAlign w:val="bottom"/>
            <w:tcBorders>
              <w:bottom w:val="single" w:sz="8" w:color="auto"/>
              <w:right w:val="single" w:sz="8" w:color="auto"/>
            </w:tcBorders>
          </w:tcPr>
          <w:p>
            <w:pPr>
              <w:spacing w:after="0"/>
              <w:rPr>
                <w:sz w:val="22"/>
                <w:szCs w:val="22"/>
                <w:color w:val="auto"/>
              </w:rPr>
            </w:pPr>
          </w:p>
        </w:tc>
        <w:tc>
          <w:tcPr>
            <w:tcW w:w="1660" w:type="dxa"/>
            <w:vAlign w:val="bottom"/>
            <w:tcBorders>
              <w:bottom w:val="single" w:sz="8" w:color="auto"/>
              <w:right w:val="single" w:sz="8" w:color="auto"/>
            </w:tcBorders>
          </w:tcPr>
          <w:p>
            <w:pPr>
              <w:spacing w:after="0"/>
              <w:rPr>
                <w:sz w:val="22"/>
                <w:szCs w:val="22"/>
                <w:color w:val="auto"/>
              </w:rPr>
            </w:pPr>
          </w:p>
        </w:tc>
        <w:tc>
          <w:tcPr>
            <w:tcW w:w="1700" w:type="dxa"/>
            <w:vAlign w:val="bottom"/>
            <w:tcBorders>
              <w:bottom w:val="single" w:sz="8" w:color="auto"/>
              <w:right w:val="single" w:sz="8" w:color="auto"/>
            </w:tcBorders>
          </w:tcPr>
          <w:p>
            <w:pPr>
              <w:spacing w:after="0"/>
              <w:rPr>
                <w:sz w:val="22"/>
                <w:szCs w:val="22"/>
                <w:color w:val="auto"/>
              </w:rPr>
            </w:pPr>
          </w:p>
        </w:tc>
        <w:tc>
          <w:tcPr>
            <w:tcW w:w="1120" w:type="dxa"/>
            <w:vAlign w:val="bottom"/>
          </w:tcPr>
          <w:p>
            <w:pPr>
              <w:spacing w:after="0"/>
              <w:rPr>
                <w:sz w:val="22"/>
                <w:szCs w:val="22"/>
                <w:color w:val="auto"/>
              </w:rPr>
            </w:pPr>
          </w:p>
        </w:tc>
      </w:tr>
      <w:tr>
        <w:trPr>
          <w:trHeight w:val="218"/>
        </w:trPr>
        <w:tc>
          <w:tcPr>
            <w:tcW w:w="1140" w:type="dxa"/>
            <w:vAlign w:val="bottom"/>
            <w:tcBorders>
              <w:right w:val="single" w:sz="8" w:color="auto"/>
            </w:tcBorders>
          </w:tcPr>
          <w:p>
            <w:pPr>
              <w:spacing w:after="0"/>
              <w:rPr>
                <w:sz w:val="18"/>
                <w:szCs w:val="18"/>
                <w:color w:val="auto"/>
              </w:rPr>
            </w:pPr>
          </w:p>
        </w:tc>
        <w:tc>
          <w:tcPr>
            <w:tcW w:w="396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 xml:space="preserve">Selected Financial and Store data </w:t>
            </w:r>
            <w:r>
              <w:rPr>
                <w:rFonts w:ascii="Arial" w:cs="Arial" w:eastAsia="Arial" w:hAnsi="Arial"/>
                <w:sz w:val="18"/>
                <w:szCs w:val="18"/>
                <w:color w:val="auto"/>
              </w:rPr>
              <w:t>–</w:t>
            </w:r>
            <w:r>
              <w:rPr>
                <w:rFonts w:ascii="Arial" w:cs="Arial" w:eastAsia="Arial" w:hAnsi="Arial"/>
                <w:sz w:val="18"/>
                <w:szCs w:val="18"/>
                <w:b w:val="1"/>
                <w:bCs w:val="1"/>
                <w:color w:val="auto"/>
              </w:rPr>
              <w:t xml:space="preserve"> Other</w:t>
            </w:r>
          </w:p>
        </w:tc>
        <w:tc>
          <w:tcPr>
            <w:tcW w:w="166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Borders>
              <w:right w:val="single" w:sz="8" w:color="auto"/>
            </w:tcBorders>
          </w:tcPr>
          <w:p>
            <w:pPr>
              <w:spacing w:after="0"/>
              <w:rPr>
                <w:sz w:val="18"/>
                <w:szCs w:val="18"/>
                <w:color w:val="auto"/>
              </w:rPr>
            </w:pPr>
          </w:p>
        </w:tc>
        <w:tc>
          <w:tcPr>
            <w:tcW w:w="396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w w:val="99"/>
              </w:rPr>
              <w:t>financial data for 52 weeks ended January 30,</w:t>
            </w:r>
          </w:p>
        </w:tc>
        <w:tc>
          <w:tcPr>
            <w:tcW w:w="166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1140" w:type="dxa"/>
            <w:vAlign w:val="bottom"/>
            <w:tcBorders>
              <w:right w:val="single" w:sz="8" w:color="auto"/>
            </w:tcBorders>
          </w:tcPr>
          <w:p>
            <w:pPr>
              <w:spacing w:after="0"/>
              <w:rPr>
                <w:sz w:val="20"/>
                <w:szCs w:val="20"/>
                <w:color w:val="auto"/>
              </w:rPr>
            </w:pPr>
          </w:p>
        </w:tc>
        <w:tc>
          <w:tcPr>
            <w:tcW w:w="396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2021</w:t>
            </w:r>
          </w:p>
        </w:tc>
        <w:tc>
          <w:tcPr>
            <w:tcW w:w="166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1140" w:type="dxa"/>
            <w:vAlign w:val="bottom"/>
            <w:tcBorders>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1140" w:type="dxa"/>
            <w:vAlign w:val="bottom"/>
            <w:tcBorders>
              <w:right w:val="single" w:sz="8" w:color="auto"/>
            </w:tcBorders>
          </w:tcPr>
          <w:p>
            <w:pPr>
              <w:spacing w:after="0"/>
              <w:rPr>
                <w:sz w:val="20"/>
                <w:szCs w:val="20"/>
                <w:color w:val="auto"/>
              </w:rPr>
            </w:pPr>
          </w:p>
        </w:tc>
        <w:tc>
          <w:tcPr>
            <w:tcW w:w="3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Retail gross margin ($)</w:t>
            </w:r>
          </w:p>
        </w:tc>
        <w:tc>
          <w:tcPr>
            <w:tcW w:w="16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$101,304</w:t>
            </w:r>
          </w:p>
        </w:tc>
        <w:tc>
          <w:tcPr>
            <w:tcW w:w="16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$101,427</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120" w:type="dxa"/>
            <w:vAlign w:val="bottom"/>
          </w:tcPr>
          <w:p>
            <w:pPr>
              <w:spacing w:after="0"/>
              <w:rPr>
                <w:sz w:val="20"/>
                <w:szCs w:val="20"/>
                <w:color w:val="auto"/>
              </w:rPr>
            </w:pPr>
          </w:p>
        </w:tc>
      </w:tr>
      <w:tr>
        <w:trPr>
          <w:trHeight w:val="27"/>
        </w:trPr>
        <w:tc>
          <w:tcPr>
            <w:tcW w:w="1140" w:type="dxa"/>
            <w:vAlign w:val="bottom"/>
            <w:tcBorders>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r>
      <w:tr>
        <w:trPr>
          <w:trHeight w:val="263"/>
        </w:trPr>
        <w:tc>
          <w:tcPr>
            <w:tcW w:w="1140" w:type="dxa"/>
            <w:vAlign w:val="bottom"/>
            <w:tcBorders>
              <w:right w:val="single" w:sz="8" w:color="auto"/>
            </w:tcBorders>
          </w:tcPr>
          <w:p>
            <w:pPr>
              <w:spacing w:after="0"/>
              <w:rPr>
                <w:sz w:val="22"/>
                <w:szCs w:val="22"/>
                <w:color w:val="auto"/>
              </w:rPr>
            </w:pPr>
          </w:p>
        </w:tc>
        <w:tc>
          <w:tcPr>
            <w:tcW w:w="3960" w:type="dxa"/>
            <w:vAlign w:val="bottom"/>
            <w:tcBorders>
              <w:bottom w:val="single" w:sz="8" w:color="auto"/>
              <w:right w:val="single" w:sz="8" w:color="auto"/>
            </w:tcBorders>
          </w:tcPr>
          <w:p>
            <w:pPr>
              <w:spacing w:after="0"/>
              <w:rPr>
                <w:sz w:val="22"/>
                <w:szCs w:val="22"/>
                <w:color w:val="auto"/>
              </w:rPr>
            </w:pPr>
          </w:p>
        </w:tc>
        <w:tc>
          <w:tcPr>
            <w:tcW w:w="1660" w:type="dxa"/>
            <w:vAlign w:val="bottom"/>
            <w:tcBorders>
              <w:bottom w:val="single" w:sz="8" w:color="auto"/>
              <w:right w:val="single" w:sz="8" w:color="auto"/>
            </w:tcBorders>
          </w:tcPr>
          <w:p>
            <w:pPr>
              <w:spacing w:after="0"/>
              <w:rPr>
                <w:sz w:val="22"/>
                <w:szCs w:val="22"/>
                <w:color w:val="auto"/>
              </w:rPr>
            </w:pPr>
          </w:p>
        </w:tc>
        <w:tc>
          <w:tcPr>
            <w:tcW w:w="1660" w:type="dxa"/>
            <w:vAlign w:val="bottom"/>
            <w:tcBorders>
              <w:bottom w:val="single" w:sz="8" w:color="auto"/>
              <w:right w:val="single" w:sz="8" w:color="auto"/>
            </w:tcBorders>
          </w:tcPr>
          <w:p>
            <w:pPr>
              <w:spacing w:after="0"/>
              <w:rPr>
                <w:sz w:val="22"/>
                <w:szCs w:val="22"/>
                <w:color w:val="auto"/>
              </w:rPr>
            </w:pPr>
          </w:p>
        </w:tc>
        <w:tc>
          <w:tcPr>
            <w:tcW w:w="1700" w:type="dxa"/>
            <w:vAlign w:val="bottom"/>
            <w:tcBorders>
              <w:bottom w:val="single" w:sz="8" w:color="auto"/>
              <w:right w:val="single" w:sz="8" w:color="auto"/>
            </w:tcBorders>
          </w:tcPr>
          <w:p>
            <w:pPr>
              <w:spacing w:after="0"/>
              <w:rPr>
                <w:sz w:val="22"/>
                <w:szCs w:val="22"/>
                <w:color w:val="auto"/>
              </w:rPr>
            </w:pPr>
          </w:p>
        </w:tc>
        <w:tc>
          <w:tcPr>
            <w:tcW w:w="1120" w:type="dxa"/>
            <w:vAlign w:val="bottom"/>
          </w:tcPr>
          <w:p>
            <w:pPr>
              <w:spacing w:after="0"/>
              <w:rPr>
                <w:sz w:val="22"/>
                <w:szCs w:val="22"/>
                <w:color w:val="auto"/>
              </w:rPr>
            </w:pPr>
          </w:p>
        </w:tc>
      </w:tr>
      <w:tr>
        <w:trPr>
          <w:trHeight w:val="218"/>
        </w:trPr>
        <w:tc>
          <w:tcPr>
            <w:tcW w:w="1140" w:type="dxa"/>
            <w:vAlign w:val="bottom"/>
            <w:tcBorders>
              <w:right w:val="single" w:sz="8" w:color="auto"/>
            </w:tcBorders>
          </w:tcPr>
          <w:p>
            <w:pPr>
              <w:spacing w:after="0"/>
              <w:rPr>
                <w:sz w:val="18"/>
                <w:szCs w:val="18"/>
                <w:color w:val="auto"/>
              </w:rPr>
            </w:pPr>
          </w:p>
        </w:tc>
        <w:tc>
          <w:tcPr>
            <w:tcW w:w="396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w w:val="92"/>
              </w:rPr>
              <w:t>Reconciliation of GAAP to Non-GAAP Results for</w:t>
            </w:r>
          </w:p>
        </w:tc>
        <w:tc>
          <w:tcPr>
            <w:tcW w:w="166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Borders>
              <w:right w:val="single" w:sz="8" w:color="auto"/>
            </w:tcBorders>
          </w:tcPr>
          <w:p>
            <w:pPr>
              <w:spacing w:after="0"/>
              <w:rPr>
                <w:sz w:val="18"/>
                <w:szCs w:val="18"/>
                <w:color w:val="auto"/>
              </w:rPr>
            </w:pPr>
          </w:p>
        </w:tc>
        <w:tc>
          <w:tcPr>
            <w:tcW w:w="396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13 weeks ended</w:t>
            </w:r>
          </w:p>
        </w:tc>
        <w:tc>
          <w:tcPr>
            <w:tcW w:w="166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1140" w:type="dxa"/>
            <w:vAlign w:val="bottom"/>
            <w:tcBorders>
              <w:right w:val="single" w:sz="8" w:color="auto"/>
            </w:tcBorders>
          </w:tcPr>
          <w:p>
            <w:pPr>
              <w:spacing w:after="0"/>
              <w:rPr>
                <w:sz w:val="20"/>
                <w:szCs w:val="20"/>
                <w:color w:val="auto"/>
              </w:rPr>
            </w:pPr>
          </w:p>
        </w:tc>
        <w:tc>
          <w:tcPr>
            <w:tcW w:w="396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January 30, 2021</w:t>
            </w:r>
          </w:p>
        </w:tc>
        <w:tc>
          <w:tcPr>
            <w:tcW w:w="166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1140" w:type="dxa"/>
            <w:vAlign w:val="bottom"/>
            <w:tcBorders>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1140" w:type="dxa"/>
            <w:vAlign w:val="bottom"/>
            <w:tcBorders>
              <w:right w:val="single" w:sz="8" w:color="auto"/>
            </w:tcBorders>
          </w:tcPr>
          <w:p>
            <w:pPr>
              <w:spacing w:after="0"/>
              <w:rPr>
                <w:sz w:val="20"/>
                <w:szCs w:val="20"/>
                <w:color w:val="auto"/>
              </w:rPr>
            </w:pPr>
          </w:p>
        </w:tc>
        <w:tc>
          <w:tcPr>
            <w:tcW w:w="3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Income (loss) before income taxes (pre-tax)</w:t>
            </w:r>
          </w:p>
        </w:tc>
        <w:tc>
          <w:tcPr>
            <w:tcW w:w="16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$9,164</w:t>
            </w:r>
          </w:p>
        </w:tc>
        <w:tc>
          <w:tcPr>
            <w:tcW w:w="16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$10,791</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$1,627</w:t>
            </w:r>
          </w:p>
        </w:tc>
        <w:tc>
          <w:tcPr>
            <w:tcW w:w="1120" w:type="dxa"/>
            <w:vAlign w:val="bottom"/>
          </w:tcPr>
          <w:p>
            <w:pPr>
              <w:spacing w:after="0"/>
              <w:rPr>
                <w:sz w:val="20"/>
                <w:szCs w:val="20"/>
                <w:color w:val="auto"/>
              </w:rPr>
            </w:pPr>
          </w:p>
        </w:tc>
      </w:tr>
      <w:tr>
        <w:trPr>
          <w:trHeight w:val="27"/>
        </w:trPr>
        <w:tc>
          <w:tcPr>
            <w:tcW w:w="1140" w:type="dxa"/>
            <w:vAlign w:val="bottom"/>
            <w:tcBorders>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r>
      <w:tr>
        <w:trPr>
          <w:trHeight w:val="222"/>
        </w:trPr>
        <w:tc>
          <w:tcPr>
            <w:tcW w:w="1140" w:type="dxa"/>
            <w:vAlign w:val="bottom"/>
            <w:tcBorders>
              <w:right w:val="single" w:sz="8" w:color="auto"/>
            </w:tcBorders>
          </w:tcPr>
          <w:p>
            <w:pPr>
              <w:spacing w:after="0"/>
              <w:rPr>
                <w:sz w:val="19"/>
                <w:szCs w:val="19"/>
                <w:color w:val="auto"/>
              </w:rPr>
            </w:pPr>
          </w:p>
        </w:tc>
        <w:tc>
          <w:tcPr>
            <w:tcW w:w="3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Adjusted income (loss) before income taxes</w:t>
            </w:r>
          </w:p>
        </w:tc>
        <w:tc>
          <w:tcPr>
            <w:tcW w:w="16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7,638</w:t>
            </w:r>
          </w:p>
        </w:tc>
        <w:tc>
          <w:tcPr>
            <w:tcW w:w="16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9,265</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1,627</w:t>
            </w:r>
          </w:p>
        </w:tc>
        <w:tc>
          <w:tcPr>
            <w:tcW w:w="1120" w:type="dxa"/>
            <w:vAlign w:val="bottom"/>
          </w:tcPr>
          <w:p>
            <w:pPr>
              <w:spacing w:after="0"/>
              <w:rPr>
                <w:sz w:val="19"/>
                <w:szCs w:val="19"/>
                <w:color w:val="auto"/>
              </w:rPr>
            </w:pPr>
          </w:p>
        </w:tc>
      </w:tr>
      <w:tr>
        <w:trPr>
          <w:trHeight w:val="230"/>
        </w:trPr>
        <w:tc>
          <w:tcPr>
            <w:tcW w:w="1140" w:type="dxa"/>
            <w:vAlign w:val="bottom"/>
            <w:tcBorders>
              <w:right w:val="single" w:sz="8" w:color="auto"/>
            </w:tcBorders>
          </w:tcPr>
          <w:p>
            <w:pPr>
              <w:spacing w:after="0"/>
              <w:rPr>
                <w:sz w:val="20"/>
                <w:szCs w:val="20"/>
                <w:color w:val="auto"/>
              </w:rPr>
            </w:pPr>
          </w:p>
        </w:tc>
        <w:tc>
          <w:tcPr>
            <w:tcW w:w="3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(adjusted pre-tax)</w:t>
            </w:r>
          </w:p>
        </w:tc>
        <w:tc>
          <w:tcPr>
            <w:tcW w:w="166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1140" w:type="dxa"/>
            <w:vAlign w:val="bottom"/>
            <w:tcBorders>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r>
      <w:tr>
        <w:trPr>
          <w:trHeight w:val="263"/>
        </w:trPr>
        <w:tc>
          <w:tcPr>
            <w:tcW w:w="1140" w:type="dxa"/>
            <w:vAlign w:val="bottom"/>
            <w:tcBorders>
              <w:right w:val="single" w:sz="8" w:color="auto"/>
            </w:tcBorders>
          </w:tcPr>
          <w:p>
            <w:pPr>
              <w:spacing w:after="0"/>
              <w:rPr>
                <w:sz w:val="22"/>
                <w:szCs w:val="22"/>
                <w:color w:val="auto"/>
              </w:rPr>
            </w:pPr>
          </w:p>
        </w:tc>
        <w:tc>
          <w:tcPr>
            <w:tcW w:w="3960" w:type="dxa"/>
            <w:vAlign w:val="bottom"/>
            <w:tcBorders>
              <w:bottom w:val="single" w:sz="8" w:color="auto"/>
              <w:right w:val="single" w:sz="8" w:color="auto"/>
            </w:tcBorders>
          </w:tcPr>
          <w:p>
            <w:pPr>
              <w:spacing w:after="0"/>
              <w:rPr>
                <w:sz w:val="22"/>
                <w:szCs w:val="22"/>
                <w:color w:val="auto"/>
              </w:rPr>
            </w:pPr>
          </w:p>
        </w:tc>
        <w:tc>
          <w:tcPr>
            <w:tcW w:w="1660" w:type="dxa"/>
            <w:vAlign w:val="bottom"/>
            <w:tcBorders>
              <w:bottom w:val="single" w:sz="8" w:color="auto"/>
              <w:right w:val="single" w:sz="8" w:color="auto"/>
            </w:tcBorders>
          </w:tcPr>
          <w:p>
            <w:pPr>
              <w:spacing w:after="0"/>
              <w:rPr>
                <w:sz w:val="22"/>
                <w:szCs w:val="22"/>
                <w:color w:val="auto"/>
              </w:rPr>
            </w:pPr>
          </w:p>
        </w:tc>
        <w:tc>
          <w:tcPr>
            <w:tcW w:w="1660" w:type="dxa"/>
            <w:vAlign w:val="bottom"/>
            <w:tcBorders>
              <w:bottom w:val="single" w:sz="8" w:color="auto"/>
              <w:right w:val="single" w:sz="8" w:color="auto"/>
            </w:tcBorders>
          </w:tcPr>
          <w:p>
            <w:pPr>
              <w:spacing w:after="0"/>
              <w:rPr>
                <w:sz w:val="22"/>
                <w:szCs w:val="22"/>
                <w:color w:val="auto"/>
              </w:rPr>
            </w:pPr>
          </w:p>
        </w:tc>
        <w:tc>
          <w:tcPr>
            <w:tcW w:w="1700" w:type="dxa"/>
            <w:vAlign w:val="bottom"/>
            <w:tcBorders>
              <w:bottom w:val="single" w:sz="8" w:color="auto"/>
              <w:right w:val="single" w:sz="8" w:color="auto"/>
            </w:tcBorders>
          </w:tcPr>
          <w:p>
            <w:pPr>
              <w:spacing w:after="0"/>
              <w:rPr>
                <w:sz w:val="22"/>
                <w:szCs w:val="22"/>
                <w:color w:val="auto"/>
              </w:rPr>
            </w:pPr>
          </w:p>
        </w:tc>
        <w:tc>
          <w:tcPr>
            <w:tcW w:w="1120" w:type="dxa"/>
            <w:vAlign w:val="bottom"/>
          </w:tcPr>
          <w:p>
            <w:pPr>
              <w:spacing w:after="0"/>
              <w:rPr>
                <w:sz w:val="22"/>
                <w:szCs w:val="22"/>
                <w:color w:val="auto"/>
              </w:rPr>
            </w:pPr>
          </w:p>
        </w:tc>
      </w:tr>
      <w:tr>
        <w:trPr>
          <w:trHeight w:val="237"/>
        </w:trPr>
        <w:tc>
          <w:tcPr>
            <w:tcW w:w="1140" w:type="dxa"/>
            <w:vAlign w:val="bottom"/>
            <w:tcBorders>
              <w:right w:val="single" w:sz="8" w:color="auto"/>
            </w:tcBorders>
          </w:tcPr>
          <w:p>
            <w:pPr>
              <w:spacing w:after="0"/>
              <w:rPr>
                <w:sz w:val="20"/>
                <w:szCs w:val="20"/>
                <w:color w:val="auto"/>
              </w:rPr>
            </w:pPr>
          </w:p>
        </w:tc>
        <w:tc>
          <w:tcPr>
            <w:tcW w:w="3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Net (loss) income</w:t>
            </w:r>
          </w:p>
        </w:tc>
        <w:tc>
          <w:tcPr>
            <w:tcW w:w="16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$8,843</w:t>
            </w:r>
          </w:p>
        </w:tc>
        <w:tc>
          <w:tcPr>
            <w:tcW w:w="16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$10,470</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$1,627</w:t>
            </w:r>
          </w:p>
        </w:tc>
        <w:tc>
          <w:tcPr>
            <w:tcW w:w="1120" w:type="dxa"/>
            <w:vAlign w:val="bottom"/>
          </w:tcPr>
          <w:p>
            <w:pPr>
              <w:spacing w:after="0"/>
              <w:rPr>
                <w:sz w:val="20"/>
                <w:szCs w:val="20"/>
                <w:color w:val="auto"/>
              </w:rPr>
            </w:pPr>
          </w:p>
        </w:tc>
      </w:tr>
      <w:tr>
        <w:trPr>
          <w:trHeight w:val="27"/>
        </w:trPr>
        <w:tc>
          <w:tcPr>
            <w:tcW w:w="1140" w:type="dxa"/>
            <w:vAlign w:val="bottom"/>
            <w:tcBorders>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1140" w:type="dxa"/>
            <w:vAlign w:val="bottom"/>
            <w:tcBorders>
              <w:right w:val="single" w:sz="8" w:color="auto"/>
            </w:tcBorders>
          </w:tcPr>
          <w:p>
            <w:pPr>
              <w:spacing w:after="0"/>
              <w:rPr>
                <w:sz w:val="20"/>
                <w:szCs w:val="20"/>
                <w:color w:val="auto"/>
              </w:rPr>
            </w:pPr>
          </w:p>
        </w:tc>
        <w:tc>
          <w:tcPr>
            <w:tcW w:w="3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Adjusted net (loss) income</w:t>
            </w:r>
          </w:p>
        </w:tc>
        <w:tc>
          <w:tcPr>
            <w:tcW w:w="16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7,317</w:t>
            </w:r>
          </w:p>
        </w:tc>
        <w:tc>
          <w:tcPr>
            <w:tcW w:w="16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8,944</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1,627</w:t>
            </w:r>
          </w:p>
        </w:tc>
        <w:tc>
          <w:tcPr>
            <w:tcW w:w="1120" w:type="dxa"/>
            <w:vAlign w:val="bottom"/>
          </w:tcPr>
          <w:p>
            <w:pPr>
              <w:spacing w:after="0"/>
              <w:rPr>
                <w:sz w:val="20"/>
                <w:szCs w:val="20"/>
                <w:color w:val="auto"/>
              </w:rPr>
            </w:pPr>
          </w:p>
        </w:tc>
      </w:tr>
      <w:tr>
        <w:trPr>
          <w:trHeight w:val="27"/>
        </w:trPr>
        <w:tc>
          <w:tcPr>
            <w:tcW w:w="1140" w:type="dxa"/>
            <w:vAlign w:val="bottom"/>
            <w:tcBorders>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r>
      <w:tr>
        <w:trPr>
          <w:trHeight w:val="263"/>
        </w:trPr>
        <w:tc>
          <w:tcPr>
            <w:tcW w:w="1140" w:type="dxa"/>
            <w:vAlign w:val="bottom"/>
            <w:tcBorders>
              <w:right w:val="single" w:sz="8" w:color="auto"/>
            </w:tcBorders>
          </w:tcPr>
          <w:p>
            <w:pPr>
              <w:spacing w:after="0"/>
              <w:rPr>
                <w:sz w:val="22"/>
                <w:szCs w:val="22"/>
                <w:color w:val="auto"/>
              </w:rPr>
            </w:pPr>
          </w:p>
        </w:tc>
        <w:tc>
          <w:tcPr>
            <w:tcW w:w="3960" w:type="dxa"/>
            <w:vAlign w:val="bottom"/>
            <w:tcBorders>
              <w:bottom w:val="single" w:sz="8" w:color="auto"/>
              <w:right w:val="single" w:sz="8" w:color="auto"/>
            </w:tcBorders>
          </w:tcPr>
          <w:p>
            <w:pPr>
              <w:spacing w:after="0"/>
              <w:rPr>
                <w:sz w:val="22"/>
                <w:szCs w:val="22"/>
                <w:color w:val="auto"/>
              </w:rPr>
            </w:pPr>
          </w:p>
        </w:tc>
        <w:tc>
          <w:tcPr>
            <w:tcW w:w="1660" w:type="dxa"/>
            <w:vAlign w:val="bottom"/>
            <w:tcBorders>
              <w:bottom w:val="single" w:sz="8" w:color="auto"/>
              <w:right w:val="single" w:sz="8" w:color="auto"/>
            </w:tcBorders>
          </w:tcPr>
          <w:p>
            <w:pPr>
              <w:spacing w:after="0"/>
              <w:rPr>
                <w:sz w:val="22"/>
                <w:szCs w:val="22"/>
                <w:color w:val="auto"/>
              </w:rPr>
            </w:pPr>
          </w:p>
        </w:tc>
        <w:tc>
          <w:tcPr>
            <w:tcW w:w="1660" w:type="dxa"/>
            <w:vAlign w:val="bottom"/>
            <w:tcBorders>
              <w:bottom w:val="single" w:sz="8" w:color="auto"/>
              <w:right w:val="single" w:sz="8" w:color="auto"/>
            </w:tcBorders>
          </w:tcPr>
          <w:p>
            <w:pPr>
              <w:spacing w:after="0"/>
              <w:rPr>
                <w:sz w:val="22"/>
                <w:szCs w:val="22"/>
                <w:color w:val="auto"/>
              </w:rPr>
            </w:pPr>
          </w:p>
        </w:tc>
        <w:tc>
          <w:tcPr>
            <w:tcW w:w="1700" w:type="dxa"/>
            <w:vAlign w:val="bottom"/>
            <w:tcBorders>
              <w:bottom w:val="single" w:sz="8" w:color="auto"/>
              <w:right w:val="single" w:sz="8" w:color="auto"/>
            </w:tcBorders>
          </w:tcPr>
          <w:p>
            <w:pPr>
              <w:spacing w:after="0"/>
              <w:rPr>
                <w:sz w:val="22"/>
                <w:szCs w:val="22"/>
                <w:color w:val="auto"/>
              </w:rPr>
            </w:pPr>
          </w:p>
        </w:tc>
        <w:tc>
          <w:tcPr>
            <w:tcW w:w="1120" w:type="dxa"/>
            <w:vAlign w:val="bottom"/>
          </w:tcPr>
          <w:p>
            <w:pPr>
              <w:spacing w:after="0"/>
              <w:rPr>
                <w:sz w:val="22"/>
                <w:szCs w:val="22"/>
                <w:color w:val="auto"/>
              </w:rPr>
            </w:pPr>
          </w:p>
        </w:tc>
      </w:tr>
      <w:tr>
        <w:trPr>
          <w:trHeight w:val="237"/>
        </w:trPr>
        <w:tc>
          <w:tcPr>
            <w:tcW w:w="1140" w:type="dxa"/>
            <w:vAlign w:val="bottom"/>
            <w:tcBorders>
              <w:right w:val="single" w:sz="8" w:color="auto"/>
            </w:tcBorders>
          </w:tcPr>
          <w:p>
            <w:pPr>
              <w:spacing w:after="0"/>
              <w:rPr>
                <w:sz w:val="20"/>
                <w:szCs w:val="20"/>
                <w:color w:val="auto"/>
              </w:rPr>
            </w:pPr>
          </w:p>
        </w:tc>
        <w:tc>
          <w:tcPr>
            <w:tcW w:w="3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Net (loss) income per diluted share (EPS)</w:t>
            </w:r>
          </w:p>
        </w:tc>
        <w:tc>
          <w:tcPr>
            <w:tcW w:w="16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16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$0.67</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120" w:type="dxa"/>
            <w:vAlign w:val="bottom"/>
          </w:tcPr>
          <w:p>
            <w:pPr>
              <w:spacing w:after="0"/>
              <w:rPr>
                <w:sz w:val="20"/>
                <w:szCs w:val="20"/>
                <w:color w:val="auto"/>
              </w:rPr>
            </w:pPr>
          </w:p>
        </w:tc>
      </w:tr>
      <w:tr>
        <w:trPr>
          <w:trHeight w:val="27"/>
        </w:trPr>
        <w:tc>
          <w:tcPr>
            <w:tcW w:w="1140" w:type="dxa"/>
            <w:vAlign w:val="bottom"/>
            <w:tcBorders>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r>
      <w:tr>
        <w:trPr>
          <w:trHeight w:val="222"/>
        </w:trPr>
        <w:tc>
          <w:tcPr>
            <w:tcW w:w="1140" w:type="dxa"/>
            <w:vAlign w:val="bottom"/>
            <w:tcBorders>
              <w:right w:val="single" w:sz="8" w:color="auto"/>
            </w:tcBorders>
          </w:tcPr>
          <w:p>
            <w:pPr>
              <w:spacing w:after="0"/>
              <w:rPr>
                <w:sz w:val="19"/>
                <w:szCs w:val="19"/>
                <w:color w:val="auto"/>
              </w:rPr>
            </w:pPr>
          </w:p>
        </w:tc>
        <w:tc>
          <w:tcPr>
            <w:tcW w:w="3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Adjusted net (loss) income per diluted share</w:t>
            </w:r>
          </w:p>
        </w:tc>
        <w:tc>
          <w:tcPr>
            <w:tcW w:w="16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16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0.58</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120" w:type="dxa"/>
            <w:vAlign w:val="bottom"/>
          </w:tcPr>
          <w:p>
            <w:pPr>
              <w:spacing w:after="0"/>
              <w:rPr>
                <w:sz w:val="19"/>
                <w:szCs w:val="19"/>
                <w:color w:val="auto"/>
              </w:rPr>
            </w:pPr>
          </w:p>
        </w:tc>
      </w:tr>
      <w:tr>
        <w:trPr>
          <w:trHeight w:val="230"/>
        </w:trPr>
        <w:tc>
          <w:tcPr>
            <w:tcW w:w="1140" w:type="dxa"/>
            <w:vAlign w:val="bottom"/>
            <w:tcBorders>
              <w:right w:val="single" w:sz="8" w:color="auto"/>
            </w:tcBorders>
          </w:tcPr>
          <w:p>
            <w:pPr>
              <w:spacing w:after="0"/>
              <w:rPr>
                <w:sz w:val="20"/>
                <w:szCs w:val="20"/>
                <w:color w:val="auto"/>
              </w:rPr>
            </w:pPr>
          </w:p>
        </w:tc>
        <w:tc>
          <w:tcPr>
            <w:tcW w:w="3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(adjusted EPS)</w:t>
            </w:r>
          </w:p>
        </w:tc>
        <w:tc>
          <w:tcPr>
            <w:tcW w:w="166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1140" w:type="dxa"/>
            <w:vAlign w:val="bottom"/>
            <w:tcBorders>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r>
      <w:tr>
        <w:trPr>
          <w:trHeight w:val="263"/>
        </w:trPr>
        <w:tc>
          <w:tcPr>
            <w:tcW w:w="1140" w:type="dxa"/>
            <w:vAlign w:val="bottom"/>
            <w:tcBorders>
              <w:right w:val="single" w:sz="8" w:color="auto"/>
            </w:tcBorders>
          </w:tcPr>
          <w:p>
            <w:pPr>
              <w:spacing w:after="0"/>
              <w:rPr>
                <w:sz w:val="22"/>
                <w:szCs w:val="22"/>
                <w:color w:val="auto"/>
              </w:rPr>
            </w:pPr>
          </w:p>
        </w:tc>
        <w:tc>
          <w:tcPr>
            <w:tcW w:w="3960" w:type="dxa"/>
            <w:vAlign w:val="bottom"/>
            <w:tcBorders>
              <w:bottom w:val="single" w:sz="8" w:color="auto"/>
              <w:right w:val="single" w:sz="8" w:color="auto"/>
            </w:tcBorders>
          </w:tcPr>
          <w:p>
            <w:pPr>
              <w:spacing w:after="0"/>
              <w:rPr>
                <w:sz w:val="22"/>
                <w:szCs w:val="22"/>
                <w:color w:val="auto"/>
              </w:rPr>
            </w:pPr>
          </w:p>
        </w:tc>
        <w:tc>
          <w:tcPr>
            <w:tcW w:w="1660" w:type="dxa"/>
            <w:vAlign w:val="bottom"/>
            <w:tcBorders>
              <w:bottom w:val="single" w:sz="8" w:color="auto"/>
              <w:right w:val="single" w:sz="8" w:color="auto"/>
            </w:tcBorders>
          </w:tcPr>
          <w:p>
            <w:pPr>
              <w:spacing w:after="0"/>
              <w:rPr>
                <w:sz w:val="22"/>
                <w:szCs w:val="22"/>
                <w:color w:val="auto"/>
              </w:rPr>
            </w:pPr>
          </w:p>
        </w:tc>
        <w:tc>
          <w:tcPr>
            <w:tcW w:w="1660" w:type="dxa"/>
            <w:vAlign w:val="bottom"/>
            <w:tcBorders>
              <w:bottom w:val="single" w:sz="8" w:color="auto"/>
              <w:right w:val="single" w:sz="8" w:color="auto"/>
            </w:tcBorders>
          </w:tcPr>
          <w:p>
            <w:pPr>
              <w:spacing w:after="0"/>
              <w:rPr>
                <w:sz w:val="22"/>
                <w:szCs w:val="22"/>
                <w:color w:val="auto"/>
              </w:rPr>
            </w:pPr>
          </w:p>
        </w:tc>
        <w:tc>
          <w:tcPr>
            <w:tcW w:w="1700" w:type="dxa"/>
            <w:vAlign w:val="bottom"/>
            <w:tcBorders>
              <w:bottom w:val="single" w:sz="8" w:color="auto"/>
              <w:right w:val="single" w:sz="8" w:color="auto"/>
            </w:tcBorders>
          </w:tcPr>
          <w:p>
            <w:pPr>
              <w:spacing w:after="0"/>
              <w:rPr>
                <w:sz w:val="22"/>
                <w:szCs w:val="22"/>
                <w:color w:val="auto"/>
              </w:rPr>
            </w:pPr>
          </w:p>
        </w:tc>
        <w:tc>
          <w:tcPr>
            <w:tcW w:w="1120" w:type="dxa"/>
            <w:vAlign w:val="bottom"/>
          </w:tcPr>
          <w:p>
            <w:pPr>
              <w:spacing w:after="0"/>
              <w:rPr>
                <w:sz w:val="22"/>
                <w:szCs w:val="22"/>
                <w:color w:val="auto"/>
              </w:rPr>
            </w:pPr>
          </w:p>
        </w:tc>
      </w:tr>
      <w:tr>
        <w:trPr>
          <w:trHeight w:val="218"/>
        </w:trPr>
        <w:tc>
          <w:tcPr>
            <w:tcW w:w="1140" w:type="dxa"/>
            <w:vAlign w:val="bottom"/>
            <w:tcBorders>
              <w:right w:val="single" w:sz="8" w:color="auto"/>
            </w:tcBorders>
          </w:tcPr>
          <w:p>
            <w:pPr>
              <w:spacing w:after="0"/>
              <w:rPr>
                <w:sz w:val="18"/>
                <w:szCs w:val="18"/>
                <w:color w:val="auto"/>
              </w:rPr>
            </w:pPr>
          </w:p>
        </w:tc>
        <w:tc>
          <w:tcPr>
            <w:tcW w:w="396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w w:val="92"/>
              </w:rPr>
              <w:t>Reconciliation of GAAP to Non-GAAP Results for</w:t>
            </w:r>
          </w:p>
        </w:tc>
        <w:tc>
          <w:tcPr>
            <w:tcW w:w="166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Borders>
              <w:right w:val="single" w:sz="8" w:color="auto"/>
            </w:tcBorders>
          </w:tcPr>
          <w:p>
            <w:pPr>
              <w:spacing w:after="0"/>
              <w:rPr>
                <w:sz w:val="18"/>
                <w:szCs w:val="18"/>
                <w:color w:val="auto"/>
              </w:rPr>
            </w:pPr>
          </w:p>
        </w:tc>
        <w:tc>
          <w:tcPr>
            <w:tcW w:w="396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52 weeks ended</w:t>
            </w:r>
          </w:p>
        </w:tc>
        <w:tc>
          <w:tcPr>
            <w:tcW w:w="166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1140" w:type="dxa"/>
            <w:vAlign w:val="bottom"/>
            <w:tcBorders>
              <w:right w:val="single" w:sz="8" w:color="auto"/>
            </w:tcBorders>
          </w:tcPr>
          <w:p>
            <w:pPr>
              <w:spacing w:after="0"/>
              <w:rPr>
                <w:sz w:val="20"/>
                <w:szCs w:val="20"/>
                <w:color w:val="auto"/>
              </w:rPr>
            </w:pPr>
          </w:p>
        </w:tc>
        <w:tc>
          <w:tcPr>
            <w:tcW w:w="396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January 30, 2021</w:t>
            </w:r>
          </w:p>
        </w:tc>
        <w:tc>
          <w:tcPr>
            <w:tcW w:w="166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1140" w:type="dxa"/>
            <w:vAlign w:val="bottom"/>
            <w:tcBorders>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1140" w:type="dxa"/>
            <w:vAlign w:val="bottom"/>
            <w:tcBorders>
              <w:right w:val="single" w:sz="8" w:color="auto"/>
            </w:tcBorders>
          </w:tcPr>
          <w:p>
            <w:pPr>
              <w:spacing w:after="0"/>
              <w:rPr>
                <w:sz w:val="20"/>
                <w:szCs w:val="20"/>
                <w:color w:val="auto"/>
              </w:rPr>
            </w:pPr>
          </w:p>
        </w:tc>
        <w:tc>
          <w:tcPr>
            <w:tcW w:w="3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Income (loss) before income taxes (pre-tax)</w:t>
            </w:r>
          </w:p>
        </w:tc>
        <w:tc>
          <w:tcPr>
            <w:tcW w:w="16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($21,813)</w:t>
            </w:r>
          </w:p>
        </w:tc>
        <w:tc>
          <w:tcPr>
            <w:tcW w:w="16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($20,186)</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$1,627</w:t>
            </w:r>
          </w:p>
        </w:tc>
        <w:tc>
          <w:tcPr>
            <w:tcW w:w="1120" w:type="dxa"/>
            <w:vAlign w:val="bottom"/>
          </w:tcPr>
          <w:p>
            <w:pPr>
              <w:spacing w:after="0"/>
              <w:rPr>
                <w:sz w:val="20"/>
                <w:szCs w:val="20"/>
                <w:color w:val="auto"/>
              </w:rPr>
            </w:pPr>
          </w:p>
        </w:tc>
      </w:tr>
      <w:tr>
        <w:trPr>
          <w:trHeight w:val="27"/>
        </w:trPr>
        <w:tc>
          <w:tcPr>
            <w:tcW w:w="1140" w:type="dxa"/>
            <w:vAlign w:val="bottom"/>
            <w:tcBorders>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r>
      <w:tr>
        <w:trPr>
          <w:trHeight w:val="222"/>
        </w:trPr>
        <w:tc>
          <w:tcPr>
            <w:tcW w:w="1140" w:type="dxa"/>
            <w:vAlign w:val="bottom"/>
            <w:tcBorders>
              <w:right w:val="single" w:sz="8" w:color="auto"/>
            </w:tcBorders>
          </w:tcPr>
          <w:p>
            <w:pPr>
              <w:spacing w:after="0"/>
              <w:rPr>
                <w:sz w:val="19"/>
                <w:szCs w:val="19"/>
                <w:color w:val="auto"/>
              </w:rPr>
            </w:pPr>
          </w:p>
        </w:tc>
        <w:tc>
          <w:tcPr>
            <w:tcW w:w="3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Adjusted income (loss) before income taxes</w:t>
            </w:r>
          </w:p>
        </w:tc>
        <w:tc>
          <w:tcPr>
            <w:tcW w:w="16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(15,068)</w:t>
            </w:r>
          </w:p>
        </w:tc>
        <w:tc>
          <w:tcPr>
            <w:tcW w:w="16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(13,441)</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1,627</w:t>
            </w:r>
          </w:p>
        </w:tc>
        <w:tc>
          <w:tcPr>
            <w:tcW w:w="1120" w:type="dxa"/>
            <w:vAlign w:val="bottom"/>
          </w:tcPr>
          <w:p>
            <w:pPr>
              <w:spacing w:after="0"/>
              <w:rPr>
                <w:sz w:val="19"/>
                <w:szCs w:val="19"/>
                <w:color w:val="auto"/>
              </w:rPr>
            </w:pPr>
          </w:p>
        </w:tc>
      </w:tr>
      <w:tr>
        <w:trPr>
          <w:trHeight w:val="230"/>
        </w:trPr>
        <w:tc>
          <w:tcPr>
            <w:tcW w:w="1140" w:type="dxa"/>
            <w:vAlign w:val="bottom"/>
            <w:tcBorders>
              <w:right w:val="single" w:sz="8" w:color="auto"/>
            </w:tcBorders>
          </w:tcPr>
          <w:p>
            <w:pPr>
              <w:spacing w:after="0"/>
              <w:rPr>
                <w:sz w:val="20"/>
                <w:szCs w:val="20"/>
                <w:color w:val="auto"/>
              </w:rPr>
            </w:pPr>
          </w:p>
        </w:tc>
        <w:tc>
          <w:tcPr>
            <w:tcW w:w="3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(adjusted pre-tax)</w:t>
            </w:r>
          </w:p>
        </w:tc>
        <w:tc>
          <w:tcPr>
            <w:tcW w:w="166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1140" w:type="dxa"/>
            <w:vAlign w:val="bottom"/>
            <w:tcBorders>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r>
      <w:tr>
        <w:trPr>
          <w:trHeight w:val="263"/>
        </w:trPr>
        <w:tc>
          <w:tcPr>
            <w:tcW w:w="1140" w:type="dxa"/>
            <w:vAlign w:val="bottom"/>
            <w:tcBorders>
              <w:right w:val="single" w:sz="8" w:color="auto"/>
            </w:tcBorders>
          </w:tcPr>
          <w:p>
            <w:pPr>
              <w:spacing w:after="0"/>
              <w:rPr>
                <w:sz w:val="22"/>
                <w:szCs w:val="22"/>
                <w:color w:val="auto"/>
              </w:rPr>
            </w:pPr>
          </w:p>
        </w:tc>
        <w:tc>
          <w:tcPr>
            <w:tcW w:w="3960" w:type="dxa"/>
            <w:vAlign w:val="bottom"/>
            <w:tcBorders>
              <w:bottom w:val="single" w:sz="8" w:color="auto"/>
              <w:right w:val="single" w:sz="8" w:color="auto"/>
            </w:tcBorders>
          </w:tcPr>
          <w:p>
            <w:pPr>
              <w:spacing w:after="0"/>
              <w:rPr>
                <w:sz w:val="22"/>
                <w:szCs w:val="22"/>
                <w:color w:val="auto"/>
              </w:rPr>
            </w:pPr>
          </w:p>
        </w:tc>
        <w:tc>
          <w:tcPr>
            <w:tcW w:w="1660" w:type="dxa"/>
            <w:vAlign w:val="bottom"/>
            <w:tcBorders>
              <w:bottom w:val="single" w:sz="8" w:color="auto"/>
              <w:right w:val="single" w:sz="8" w:color="auto"/>
            </w:tcBorders>
          </w:tcPr>
          <w:p>
            <w:pPr>
              <w:spacing w:after="0"/>
              <w:rPr>
                <w:sz w:val="22"/>
                <w:szCs w:val="22"/>
                <w:color w:val="auto"/>
              </w:rPr>
            </w:pPr>
          </w:p>
        </w:tc>
        <w:tc>
          <w:tcPr>
            <w:tcW w:w="1660" w:type="dxa"/>
            <w:vAlign w:val="bottom"/>
            <w:tcBorders>
              <w:bottom w:val="single" w:sz="8" w:color="auto"/>
              <w:right w:val="single" w:sz="8" w:color="auto"/>
            </w:tcBorders>
          </w:tcPr>
          <w:p>
            <w:pPr>
              <w:spacing w:after="0"/>
              <w:rPr>
                <w:sz w:val="22"/>
                <w:szCs w:val="22"/>
                <w:color w:val="auto"/>
              </w:rPr>
            </w:pPr>
          </w:p>
        </w:tc>
        <w:tc>
          <w:tcPr>
            <w:tcW w:w="1700" w:type="dxa"/>
            <w:vAlign w:val="bottom"/>
            <w:tcBorders>
              <w:bottom w:val="single" w:sz="8" w:color="auto"/>
              <w:right w:val="single" w:sz="8" w:color="auto"/>
            </w:tcBorders>
          </w:tcPr>
          <w:p>
            <w:pPr>
              <w:spacing w:after="0"/>
              <w:rPr>
                <w:sz w:val="22"/>
                <w:szCs w:val="22"/>
                <w:color w:val="auto"/>
              </w:rPr>
            </w:pPr>
          </w:p>
        </w:tc>
        <w:tc>
          <w:tcPr>
            <w:tcW w:w="1120" w:type="dxa"/>
            <w:vAlign w:val="bottom"/>
          </w:tcPr>
          <w:p>
            <w:pPr>
              <w:spacing w:after="0"/>
              <w:rPr>
                <w:sz w:val="22"/>
                <w:szCs w:val="22"/>
                <w:color w:val="auto"/>
              </w:rPr>
            </w:pPr>
          </w:p>
        </w:tc>
      </w:tr>
      <w:tr>
        <w:trPr>
          <w:trHeight w:val="237"/>
        </w:trPr>
        <w:tc>
          <w:tcPr>
            <w:tcW w:w="1140" w:type="dxa"/>
            <w:vAlign w:val="bottom"/>
            <w:tcBorders>
              <w:right w:val="single" w:sz="8" w:color="auto"/>
            </w:tcBorders>
          </w:tcPr>
          <w:p>
            <w:pPr>
              <w:spacing w:after="0"/>
              <w:rPr>
                <w:sz w:val="20"/>
                <w:szCs w:val="20"/>
                <w:color w:val="auto"/>
              </w:rPr>
            </w:pPr>
          </w:p>
        </w:tc>
        <w:tc>
          <w:tcPr>
            <w:tcW w:w="3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Net (loss) income</w:t>
            </w:r>
          </w:p>
        </w:tc>
        <w:tc>
          <w:tcPr>
            <w:tcW w:w="16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($24,610)</w:t>
            </w:r>
          </w:p>
        </w:tc>
        <w:tc>
          <w:tcPr>
            <w:tcW w:w="16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($22,983)</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$1,627</w:t>
            </w:r>
          </w:p>
        </w:tc>
        <w:tc>
          <w:tcPr>
            <w:tcW w:w="1120" w:type="dxa"/>
            <w:vAlign w:val="bottom"/>
          </w:tcPr>
          <w:p>
            <w:pPr>
              <w:spacing w:after="0"/>
              <w:rPr>
                <w:sz w:val="20"/>
                <w:szCs w:val="20"/>
                <w:color w:val="auto"/>
              </w:rPr>
            </w:pPr>
          </w:p>
        </w:tc>
      </w:tr>
      <w:tr>
        <w:trPr>
          <w:trHeight w:val="27"/>
        </w:trPr>
        <w:tc>
          <w:tcPr>
            <w:tcW w:w="1140" w:type="dxa"/>
            <w:vAlign w:val="bottom"/>
            <w:tcBorders>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1140" w:type="dxa"/>
            <w:vAlign w:val="bottom"/>
            <w:tcBorders>
              <w:right w:val="single" w:sz="8" w:color="auto"/>
            </w:tcBorders>
          </w:tcPr>
          <w:p>
            <w:pPr>
              <w:spacing w:after="0"/>
              <w:rPr>
                <w:sz w:val="20"/>
                <w:szCs w:val="20"/>
                <w:color w:val="auto"/>
              </w:rPr>
            </w:pPr>
          </w:p>
        </w:tc>
        <w:tc>
          <w:tcPr>
            <w:tcW w:w="3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Adjusted net (loss) income</w:t>
            </w:r>
          </w:p>
        </w:tc>
        <w:tc>
          <w:tcPr>
            <w:tcW w:w="16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(15,366)</w:t>
            </w:r>
          </w:p>
        </w:tc>
        <w:tc>
          <w:tcPr>
            <w:tcW w:w="16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(13,739)</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1,627</w:t>
            </w:r>
          </w:p>
        </w:tc>
        <w:tc>
          <w:tcPr>
            <w:tcW w:w="1120" w:type="dxa"/>
            <w:vAlign w:val="bottom"/>
          </w:tcPr>
          <w:p>
            <w:pPr>
              <w:spacing w:after="0"/>
              <w:rPr>
                <w:sz w:val="20"/>
                <w:szCs w:val="20"/>
                <w:color w:val="auto"/>
              </w:rPr>
            </w:pPr>
          </w:p>
        </w:tc>
      </w:tr>
      <w:tr>
        <w:trPr>
          <w:trHeight w:val="27"/>
        </w:trPr>
        <w:tc>
          <w:tcPr>
            <w:tcW w:w="1140" w:type="dxa"/>
            <w:vAlign w:val="bottom"/>
            <w:tcBorders>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r>
      <w:tr>
        <w:trPr>
          <w:trHeight w:val="263"/>
        </w:trPr>
        <w:tc>
          <w:tcPr>
            <w:tcW w:w="1140" w:type="dxa"/>
            <w:vAlign w:val="bottom"/>
            <w:tcBorders>
              <w:right w:val="single" w:sz="8" w:color="auto"/>
            </w:tcBorders>
          </w:tcPr>
          <w:p>
            <w:pPr>
              <w:spacing w:after="0"/>
              <w:rPr>
                <w:sz w:val="22"/>
                <w:szCs w:val="22"/>
                <w:color w:val="auto"/>
              </w:rPr>
            </w:pPr>
          </w:p>
        </w:tc>
        <w:tc>
          <w:tcPr>
            <w:tcW w:w="3960" w:type="dxa"/>
            <w:vAlign w:val="bottom"/>
            <w:tcBorders>
              <w:bottom w:val="single" w:sz="8" w:color="auto"/>
              <w:right w:val="single" w:sz="8" w:color="auto"/>
            </w:tcBorders>
          </w:tcPr>
          <w:p>
            <w:pPr>
              <w:spacing w:after="0"/>
              <w:rPr>
                <w:sz w:val="22"/>
                <w:szCs w:val="22"/>
                <w:color w:val="auto"/>
              </w:rPr>
            </w:pPr>
          </w:p>
        </w:tc>
        <w:tc>
          <w:tcPr>
            <w:tcW w:w="1660" w:type="dxa"/>
            <w:vAlign w:val="bottom"/>
            <w:tcBorders>
              <w:bottom w:val="single" w:sz="8" w:color="auto"/>
              <w:right w:val="single" w:sz="8" w:color="auto"/>
            </w:tcBorders>
          </w:tcPr>
          <w:p>
            <w:pPr>
              <w:spacing w:after="0"/>
              <w:rPr>
                <w:sz w:val="22"/>
                <w:szCs w:val="22"/>
                <w:color w:val="auto"/>
              </w:rPr>
            </w:pPr>
          </w:p>
        </w:tc>
        <w:tc>
          <w:tcPr>
            <w:tcW w:w="1660" w:type="dxa"/>
            <w:vAlign w:val="bottom"/>
            <w:tcBorders>
              <w:bottom w:val="single" w:sz="8" w:color="auto"/>
              <w:right w:val="single" w:sz="8" w:color="auto"/>
            </w:tcBorders>
          </w:tcPr>
          <w:p>
            <w:pPr>
              <w:spacing w:after="0"/>
              <w:rPr>
                <w:sz w:val="22"/>
                <w:szCs w:val="22"/>
                <w:color w:val="auto"/>
              </w:rPr>
            </w:pPr>
          </w:p>
        </w:tc>
        <w:tc>
          <w:tcPr>
            <w:tcW w:w="1700" w:type="dxa"/>
            <w:vAlign w:val="bottom"/>
            <w:tcBorders>
              <w:bottom w:val="single" w:sz="8" w:color="auto"/>
              <w:right w:val="single" w:sz="8" w:color="auto"/>
            </w:tcBorders>
          </w:tcPr>
          <w:p>
            <w:pPr>
              <w:spacing w:after="0"/>
              <w:rPr>
                <w:sz w:val="22"/>
                <w:szCs w:val="22"/>
                <w:color w:val="auto"/>
              </w:rPr>
            </w:pPr>
          </w:p>
        </w:tc>
        <w:tc>
          <w:tcPr>
            <w:tcW w:w="1120" w:type="dxa"/>
            <w:vAlign w:val="bottom"/>
          </w:tcPr>
          <w:p>
            <w:pPr>
              <w:spacing w:after="0"/>
              <w:rPr>
                <w:sz w:val="22"/>
                <w:szCs w:val="22"/>
                <w:color w:val="auto"/>
              </w:rPr>
            </w:pPr>
          </w:p>
        </w:tc>
      </w:tr>
      <w:tr>
        <w:trPr>
          <w:trHeight w:val="237"/>
        </w:trPr>
        <w:tc>
          <w:tcPr>
            <w:tcW w:w="1140" w:type="dxa"/>
            <w:vAlign w:val="bottom"/>
            <w:tcBorders>
              <w:right w:val="single" w:sz="8" w:color="auto"/>
            </w:tcBorders>
          </w:tcPr>
          <w:p>
            <w:pPr>
              <w:spacing w:after="0"/>
              <w:rPr>
                <w:sz w:val="20"/>
                <w:szCs w:val="20"/>
                <w:color w:val="auto"/>
              </w:rPr>
            </w:pPr>
          </w:p>
        </w:tc>
        <w:tc>
          <w:tcPr>
            <w:tcW w:w="3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Net (loss) income per diluted share (EPS)</w:t>
            </w:r>
          </w:p>
        </w:tc>
        <w:tc>
          <w:tcPr>
            <w:tcW w:w="16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6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120" w:type="dxa"/>
            <w:vAlign w:val="bottom"/>
          </w:tcPr>
          <w:p>
            <w:pPr>
              <w:spacing w:after="0"/>
              <w:rPr>
                <w:sz w:val="20"/>
                <w:szCs w:val="20"/>
                <w:color w:val="auto"/>
              </w:rPr>
            </w:pPr>
          </w:p>
        </w:tc>
      </w:tr>
      <w:tr>
        <w:trPr>
          <w:trHeight w:val="27"/>
        </w:trPr>
        <w:tc>
          <w:tcPr>
            <w:tcW w:w="1140" w:type="dxa"/>
            <w:vAlign w:val="bottom"/>
            <w:tcBorders>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r>
      <w:tr>
        <w:trPr>
          <w:trHeight w:val="222"/>
        </w:trPr>
        <w:tc>
          <w:tcPr>
            <w:tcW w:w="1140" w:type="dxa"/>
            <w:vAlign w:val="bottom"/>
            <w:tcBorders>
              <w:right w:val="single" w:sz="8" w:color="auto"/>
            </w:tcBorders>
          </w:tcPr>
          <w:p>
            <w:pPr>
              <w:spacing w:after="0"/>
              <w:rPr>
                <w:sz w:val="19"/>
                <w:szCs w:val="19"/>
                <w:color w:val="auto"/>
              </w:rPr>
            </w:pPr>
          </w:p>
        </w:tc>
        <w:tc>
          <w:tcPr>
            <w:tcW w:w="3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Adjusted net (loss) income per diluted share</w:t>
            </w:r>
          </w:p>
        </w:tc>
        <w:tc>
          <w:tcPr>
            <w:tcW w:w="16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6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(0.92)</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120" w:type="dxa"/>
            <w:vAlign w:val="bottom"/>
          </w:tcPr>
          <w:p>
            <w:pPr>
              <w:spacing w:after="0"/>
              <w:rPr>
                <w:sz w:val="19"/>
                <w:szCs w:val="19"/>
                <w:color w:val="auto"/>
              </w:rPr>
            </w:pPr>
          </w:p>
        </w:tc>
      </w:tr>
      <w:tr>
        <w:trPr>
          <w:trHeight w:val="230"/>
        </w:trPr>
        <w:tc>
          <w:tcPr>
            <w:tcW w:w="1140" w:type="dxa"/>
            <w:vAlign w:val="bottom"/>
            <w:tcBorders>
              <w:right w:val="single" w:sz="8" w:color="auto"/>
            </w:tcBorders>
          </w:tcPr>
          <w:p>
            <w:pPr>
              <w:spacing w:after="0"/>
              <w:rPr>
                <w:sz w:val="20"/>
                <w:szCs w:val="20"/>
                <w:color w:val="auto"/>
              </w:rPr>
            </w:pPr>
          </w:p>
        </w:tc>
        <w:tc>
          <w:tcPr>
            <w:tcW w:w="3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(adjusted EPS)</w:t>
            </w:r>
          </w:p>
        </w:tc>
        <w:tc>
          <w:tcPr>
            <w:tcW w:w="166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1140" w:type="dxa"/>
            <w:vAlign w:val="bottom"/>
            <w:tcBorders>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r>
      <w:tr>
        <w:trPr>
          <w:trHeight w:val="426"/>
        </w:trPr>
        <w:tc>
          <w:tcPr>
            <w:tcW w:w="11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660" w:type="dxa"/>
            <w:vAlign w:val="bottom"/>
          </w:tcPr>
          <w:p>
            <w:pPr>
              <w:jc w:val="right"/>
              <w:ind w:right="1010"/>
              <w:spacing w:after="0"/>
              <w:rPr>
                <w:sz w:val="20"/>
                <w:szCs w:val="20"/>
                <w:color w:val="auto"/>
              </w:rPr>
            </w:pPr>
            <w:r>
              <w:rPr>
                <w:rFonts w:ascii="Arial" w:cs="Arial" w:eastAsia="Arial" w:hAnsi="Arial"/>
                <w:sz w:val="18"/>
                <w:szCs w:val="18"/>
                <w:color w:val="auto"/>
              </w:rPr>
              <w:t>4</w:t>
            </w:r>
          </w:p>
        </w:tc>
        <w:tc>
          <w:tcPr>
            <w:tcW w:w="1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396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5" w:right="339" w:bottom="1440" w:gutter="0" w:footer="0" w:header="0"/>
        </w:sectPr>
      </w:pPr>
    </w:p>
    <w:bookmarkStart w:id="4" w:name="page5"/>
    <w:bookmarkEnd w:id="4"/>
    <w:p>
      <w:pPr>
        <w:jc w:val="center"/>
        <w:ind w:right="1480"/>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ind w:right="1480"/>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ind w:right="1480"/>
        <w:spacing w:after="0"/>
        <w:rPr>
          <w:sz w:val="20"/>
          <w:szCs w:val="20"/>
          <w:color w:val="auto"/>
        </w:rPr>
      </w:pPr>
      <w:r>
        <w:rPr>
          <w:rFonts w:ascii="Arial" w:cs="Arial" w:eastAsia="Arial" w:hAnsi="Arial"/>
          <w:sz w:val="18"/>
          <w:szCs w:val="18"/>
          <w:color w:val="auto"/>
        </w:rPr>
        <w:t>(dollars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7"/>
              </w:rPr>
              <w:t>13 Weeks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13 Weeks</w:t>
            </w: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Ended</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Ended</w:t>
            </w: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2"/>
              </w:rPr>
              <w:t>January 30,</w:t>
            </w:r>
          </w:p>
        </w:tc>
        <w:tc>
          <w:tcPr>
            <w:tcW w:w="14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 of Total</w:t>
            </w:r>
          </w:p>
        </w:tc>
        <w:tc>
          <w:tcPr>
            <w:tcW w:w="12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February 1,</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 of Total</w:t>
            </w:r>
          </w:p>
        </w:tc>
        <w:tc>
          <w:tcPr>
            <w:tcW w:w="0" w:type="dxa"/>
            <w:vAlign w:val="bottom"/>
          </w:tcPr>
          <w:p>
            <w:pPr>
              <w:spacing w:after="0"/>
              <w:rPr>
                <w:sz w:val="1"/>
                <w:szCs w:val="1"/>
                <w:color w:val="auto"/>
              </w:rPr>
            </w:pPr>
          </w:p>
        </w:tc>
      </w:tr>
      <w:tr>
        <w:trPr>
          <w:trHeight w:val="234"/>
        </w:trPr>
        <w:tc>
          <w:tcPr>
            <w:tcW w:w="394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340"/>
              <w:spacing w:after="0" w:line="235" w:lineRule="exact"/>
              <w:rPr>
                <w:sz w:val="20"/>
                <w:szCs w:val="20"/>
                <w:color w:val="auto"/>
              </w:rPr>
            </w:pPr>
            <w:r>
              <w:rPr>
                <w:rFonts w:ascii="Arial" w:cs="Arial" w:eastAsia="Arial" w:hAnsi="Arial"/>
                <w:sz w:val="17"/>
                <w:szCs w:val="17"/>
                <w:b w:val="1"/>
                <w:bCs w:val="1"/>
                <w:color w:val="auto"/>
                <w:w w:val="98"/>
              </w:rPr>
              <w:t xml:space="preserve">Revenues </w:t>
            </w:r>
            <w:r>
              <w:rPr>
                <w:rFonts w:ascii="Arial" w:cs="Arial" w:eastAsia="Arial" w:hAnsi="Arial"/>
                <w:sz w:val="27"/>
                <w:szCs w:val="27"/>
                <w:b w:val="1"/>
                <w:bCs w:val="1"/>
                <w:color w:val="auto"/>
                <w:w w:val="98"/>
                <w:vertAlign w:val="superscript"/>
              </w:rPr>
              <w:t>(1)</w:t>
            </w:r>
          </w:p>
        </w:tc>
        <w:tc>
          <w:tcPr>
            <w:tcW w:w="120" w:type="dxa"/>
            <w:vAlign w:val="bottom"/>
          </w:tcPr>
          <w:p>
            <w:pPr>
              <w:spacing w:after="0"/>
              <w:rPr>
                <w:sz w:val="20"/>
                <w:szCs w:val="20"/>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180" w:type="dxa"/>
            <w:vAlign w:val="bottom"/>
          </w:tcPr>
          <w:p>
            <w:pPr>
              <w:spacing w:after="0"/>
              <w:rPr>
                <w:sz w:val="20"/>
                <w:szCs w:val="20"/>
                <w:color w:val="auto"/>
              </w:rPr>
            </w:pPr>
          </w:p>
        </w:tc>
        <w:tc>
          <w:tcPr>
            <w:tcW w:w="1300" w:type="dxa"/>
            <w:vAlign w:val="bottom"/>
            <w:gridSpan w:val="2"/>
          </w:tcPr>
          <w:p>
            <w:pPr>
              <w:jc w:val="right"/>
              <w:ind w:right="200"/>
              <w:spacing w:after="0" w:line="235" w:lineRule="exact"/>
              <w:rPr>
                <w:sz w:val="20"/>
                <w:szCs w:val="20"/>
                <w:color w:val="auto"/>
              </w:rPr>
            </w:pPr>
            <w:r>
              <w:rPr>
                <w:rFonts w:ascii="Arial" w:cs="Arial" w:eastAsia="Arial" w:hAnsi="Arial"/>
                <w:sz w:val="17"/>
                <w:szCs w:val="17"/>
                <w:b w:val="1"/>
                <w:bCs w:val="1"/>
                <w:color w:val="auto"/>
              </w:rPr>
              <w:t xml:space="preserve">Revenues </w:t>
            </w:r>
            <w:r>
              <w:rPr>
                <w:rFonts w:ascii="Arial" w:cs="Arial" w:eastAsia="Arial" w:hAnsi="Arial"/>
                <w:sz w:val="27"/>
                <w:szCs w:val="27"/>
                <w:b w:val="1"/>
                <w:bCs w:val="1"/>
                <w:color w:val="auto"/>
                <w:vertAlign w:val="superscript"/>
              </w:rPr>
              <w:t>(1)</w:t>
            </w:r>
          </w:p>
        </w:tc>
        <w:tc>
          <w:tcPr>
            <w:tcW w:w="0" w:type="dxa"/>
            <w:vAlign w:val="bottom"/>
          </w:tcPr>
          <w:p>
            <w:pPr>
              <w:spacing w:after="0"/>
              <w:rPr>
                <w:sz w:val="1"/>
                <w:szCs w:val="1"/>
                <w:color w:val="auto"/>
              </w:rPr>
            </w:pPr>
          </w:p>
        </w:tc>
      </w:tr>
      <w:tr>
        <w:trPr>
          <w:trHeight w:val="195"/>
        </w:trPr>
        <w:tc>
          <w:tcPr>
            <w:tcW w:w="39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340"/>
              <w:spacing w:after="0"/>
              <w:rPr>
                <w:sz w:val="20"/>
                <w:szCs w:val="20"/>
                <w:color w:val="auto"/>
              </w:rPr>
            </w:pPr>
            <w:r>
              <w:rPr>
                <w:rFonts w:ascii="Arial" w:cs="Arial" w:eastAsia="Arial" w:hAnsi="Arial"/>
                <w:sz w:val="18"/>
                <w:szCs w:val="18"/>
                <w:color w:val="auto"/>
              </w:rPr>
              <w:t>Net retail sales</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91,856</w:t>
            </w:r>
          </w:p>
        </w:tc>
        <w:tc>
          <w:tcPr>
            <w:tcW w:w="18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98.1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100,654</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16"/>
        </w:trPr>
        <w:tc>
          <w:tcPr>
            <w:tcW w:w="3940" w:type="dxa"/>
            <w:vAlign w:val="bottom"/>
          </w:tcPr>
          <w:p>
            <w:pPr>
              <w:ind w:left="340"/>
              <w:spacing w:after="0"/>
              <w:rPr>
                <w:sz w:val="20"/>
                <w:szCs w:val="20"/>
                <w:color w:val="auto"/>
              </w:rPr>
            </w:pPr>
            <w:r>
              <w:rPr>
                <w:rFonts w:ascii="Arial" w:cs="Arial" w:eastAsia="Arial" w:hAnsi="Arial"/>
                <w:sz w:val="18"/>
                <w:szCs w:val="18"/>
                <w:color w:val="auto"/>
              </w:rPr>
              <w:t>Commercial revenue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1,370</w:t>
            </w:r>
          </w:p>
        </w:tc>
        <w:tc>
          <w:tcPr>
            <w:tcW w:w="18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3,385</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3940" w:type="dxa"/>
            <w:vAlign w:val="bottom"/>
          </w:tcPr>
          <w:p>
            <w:pPr>
              <w:ind w:left="340"/>
              <w:spacing w:after="0"/>
              <w:rPr>
                <w:sz w:val="20"/>
                <w:szCs w:val="20"/>
                <w:color w:val="auto"/>
              </w:rPr>
            </w:pPr>
            <w:r>
              <w:rPr>
                <w:rFonts w:ascii="Arial" w:cs="Arial" w:eastAsia="Arial" w:hAnsi="Arial"/>
                <w:sz w:val="18"/>
                <w:szCs w:val="18"/>
                <w:color w:val="auto"/>
              </w:rPr>
              <w:t>International franchising</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434</w:t>
            </w:r>
          </w:p>
        </w:tc>
        <w:tc>
          <w:tcPr>
            <w:tcW w:w="18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544</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9"/>
        </w:trPr>
        <w:tc>
          <w:tcPr>
            <w:tcW w:w="3940" w:type="dxa"/>
            <w:vAlign w:val="bottom"/>
          </w:tcPr>
          <w:p>
            <w:pPr>
              <w:ind w:left="820"/>
              <w:spacing w:after="0"/>
              <w:rPr>
                <w:sz w:val="20"/>
                <w:szCs w:val="20"/>
                <w:color w:val="auto"/>
              </w:rPr>
            </w:pPr>
            <w:r>
              <w:rPr>
                <w:rFonts w:ascii="Arial" w:cs="Arial" w:eastAsia="Arial" w:hAnsi="Arial"/>
                <w:sz w:val="18"/>
                <w:szCs w:val="18"/>
                <w:color w:val="auto"/>
              </w:rPr>
              <w:t>Total revenues</w:t>
            </w: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93,660</w:t>
            </w:r>
          </w:p>
        </w:tc>
        <w:tc>
          <w:tcPr>
            <w:tcW w:w="18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104,583</w:t>
            </w:r>
          </w:p>
        </w:tc>
        <w:tc>
          <w:tcPr>
            <w:tcW w:w="18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940" w:type="dxa"/>
            <w:vAlign w:val="bottom"/>
          </w:tcPr>
          <w:p>
            <w:pPr>
              <w:spacing w:after="0" w:line="195" w:lineRule="exact"/>
              <w:rPr>
                <w:sz w:val="20"/>
                <w:szCs w:val="20"/>
                <w:color w:val="auto"/>
              </w:rPr>
            </w:pPr>
            <w:r>
              <w:rPr>
                <w:rFonts w:ascii="Arial" w:cs="Arial" w:eastAsia="Arial" w:hAnsi="Arial"/>
                <w:sz w:val="18"/>
                <w:szCs w:val="18"/>
                <w:color w:val="auto"/>
              </w:rPr>
              <w:t>Cost of merchandise sold:</w:t>
            </w: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340"/>
              <w:spacing w:after="0" w:line="216" w:lineRule="exact"/>
              <w:rPr>
                <w:sz w:val="20"/>
                <w:szCs w:val="20"/>
                <w:color w:val="auto"/>
              </w:rPr>
            </w:pPr>
            <w:r>
              <w:rPr>
                <w:rFonts w:ascii="Arial" w:cs="Arial" w:eastAsia="Arial" w:hAnsi="Arial"/>
                <w:sz w:val="16"/>
                <w:szCs w:val="16"/>
                <w:color w:val="auto"/>
              </w:rPr>
              <w:t xml:space="preserve">Cost of merchandise sold - retail </w:t>
            </w:r>
            <w:r>
              <w:rPr>
                <w:rFonts w:ascii="Arial" w:cs="Arial" w:eastAsia="Arial" w:hAnsi="Arial"/>
                <w:sz w:val="25"/>
                <w:szCs w:val="25"/>
                <w:color w:val="auto"/>
                <w:vertAlign w:val="superscript"/>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45,483</w:t>
            </w:r>
          </w:p>
        </w:tc>
        <w:tc>
          <w:tcPr>
            <w:tcW w:w="18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49,930</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16"/>
        </w:trPr>
        <w:tc>
          <w:tcPr>
            <w:tcW w:w="3940" w:type="dxa"/>
            <w:vAlign w:val="bottom"/>
          </w:tcPr>
          <w:p>
            <w:pPr>
              <w:ind w:left="340"/>
              <w:spacing w:after="0"/>
              <w:rPr>
                <w:sz w:val="20"/>
                <w:szCs w:val="20"/>
                <w:color w:val="auto"/>
              </w:rPr>
            </w:pPr>
            <w:r>
              <w:rPr>
                <w:rFonts w:ascii="Arial" w:cs="Arial" w:eastAsia="Arial" w:hAnsi="Arial"/>
                <w:sz w:val="18"/>
                <w:szCs w:val="18"/>
                <w:color w:val="auto"/>
              </w:rPr>
              <w:t>Store asset impairment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302</w:t>
            </w:r>
          </w:p>
        </w:tc>
        <w:tc>
          <w:tcPr>
            <w:tcW w:w="18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3940" w:type="dxa"/>
            <w:vAlign w:val="bottom"/>
          </w:tcPr>
          <w:p>
            <w:pPr>
              <w:ind w:left="340"/>
              <w:spacing w:after="0" w:line="216" w:lineRule="exact"/>
              <w:rPr>
                <w:sz w:val="20"/>
                <w:szCs w:val="20"/>
                <w:color w:val="auto"/>
              </w:rPr>
            </w:pPr>
            <w:r>
              <w:rPr>
                <w:rFonts w:ascii="Arial" w:cs="Arial" w:eastAsia="Arial" w:hAnsi="Arial"/>
                <w:sz w:val="16"/>
                <w:szCs w:val="16"/>
                <w:color w:val="auto"/>
              </w:rPr>
              <w:t xml:space="preserve">Cost of merchandise sold - commercial </w:t>
            </w:r>
            <w:r>
              <w:rPr>
                <w:rFonts w:ascii="Arial" w:cs="Arial" w:eastAsia="Arial" w:hAnsi="Arial"/>
                <w:sz w:val="25"/>
                <w:szCs w:val="25"/>
                <w:color w:val="auto"/>
                <w:vertAlign w:val="superscript"/>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528</w:t>
            </w:r>
          </w:p>
        </w:tc>
        <w:tc>
          <w:tcPr>
            <w:tcW w:w="18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1,545</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3940" w:type="dxa"/>
            <w:vAlign w:val="bottom"/>
          </w:tcPr>
          <w:p>
            <w:pPr>
              <w:ind w:left="340"/>
              <w:spacing w:after="0"/>
              <w:rPr>
                <w:sz w:val="20"/>
                <w:szCs w:val="20"/>
                <w:color w:val="auto"/>
              </w:rPr>
            </w:pPr>
            <w:r>
              <w:rPr>
                <w:rFonts w:ascii="Arial" w:cs="Arial" w:eastAsia="Arial" w:hAnsi="Arial"/>
                <w:sz w:val="18"/>
                <w:szCs w:val="18"/>
                <w:color w:val="auto"/>
              </w:rPr>
              <w:t>Cost of merchandise sold - international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340"/>
              <w:spacing w:after="0" w:line="216" w:lineRule="exact"/>
              <w:rPr>
                <w:sz w:val="20"/>
                <w:szCs w:val="20"/>
                <w:color w:val="auto"/>
              </w:rPr>
            </w:pPr>
            <w:r>
              <w:rPr>
                <w:rFonts w:ascii="Arial" w:cs="Arial" w:eastAsia="Arial" w:hAnsi="Arial"/>
                <w:sz w:val="16"/>
                <w:szCs w:val="16"/>
                <w:color w:val="auto"/>
              </w:rPr>
              <w:t xml:space="preserve">franchising </w:t>
            </w:r>
            <w:r>
              <w:rPr>
                <w:rFonts w:ascii="Arial" w:cs="Arial" w:eastAsia="Arial" w:hAnsi="Arial"/>
                <w:sz w:val="25"/>
                <w:szCs w:val="25"/>
                <w:color w:val="auto"/>
                <w:vertAlign w:val="superscript"/>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299</w:t>
            </w:r>
          </w:p>
        </w:tc>
        <w:tc>
          <w:tcPr>
            <w:tcW w:w="18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68.9</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419</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30"/>
        </w:trPr>
        <w:tc>
          <w:tcPr>
            <w:tcW w:w="3940" w:type="dxa"/>
            <w:vAlign w:val="bottom"/>
          </w:tcPr>
          <w:p>
            <w:pPr>
              <w:ind w:left="820"/>
              <w:spacing w:after="0"/>
              <w:rPr>
                <w:sz w:val="20"/>
                <w:szCs w:val="20"/>
                <w:color w:val="auto"/>
              </w:rPr>
            </w:pPr>
            <w:r>
              <w:rPr>
                <w:rFonts w:ascii="Arial" w:cs="Arial" w:eastAsia="Arial" w:hAnsi="Arial"/>
                <w:sz w:val="18"/>
                <w:szCs w:val="18"/>
                <w:color w:val="auto"/>
              </w:rPr>
              <w:t>Total cost of merchandise sold</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46,612</w:t>
            </w:r>
          </w:p>
        </w:tc>
        <w:tc>
          <w:tcPr>
            <w:tcW w:w="18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51,894</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10"/>
        </w:trPr>
        <w:tc>
          <w:tcPr>
            <w:tcW w:w="3940" w:type="dxa"/>
            <w:vAlign w:val="bottom"/>
          </w:tcPr>
          <w:p>
            <w:pPr>
              <w:spacing w:after="0"/>
              <w:rPr>
                <w:sz w:val="20"/>
                <w:szCs w:val="20"/>
                <w:color w:val="auto"/>
              </w:rPr>
            </w:pPr>
            <w:r>
              <w:rPr>
                <w:rFonts w:ascii="Arial" w:cs="Arial" w:eastAsia="Arial" w:hAnsi="Arial"/>
                <w:sz w:val="18"/>
                <w:szCs w:val="18"/>
                <w:color w:val="auto"/>
              </w:rPr>
              <w:t>Consolidated gross profit</w:t>
            </w: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47,048</w:t>
            </w:r>
          </w:p>
        </w:tc>
        <w:tc>
          <w:tcPr>
            <w:tcW w:w="18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52,689</w:t>
            </w:r>
          </w:p>
        </w:tc>
        <w:tc>
          <w:tcPr>
            <w:tcW w:w="18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3940" w:type="dxa"/>
            <w:vAlign w:val="bottom"/>
          </w:tcPr>
          <w:p>
            <w:pPr>
              <w:ind w:left="340"/>
              <w:spacing w:after="0"/>
              <w:rPr>
                <w:sz w:val="20"/>
                <w:szCs w:val="20"/>
                <w:color w:val="auto"/>
              </w:rPr>
            </w:pPr>
            <w:r>
              <w:rPr>
                <w:rFonts w:ascii="Arial" w:cs="Arial" w:eastAsia="Arial" w:hAnsi="Arial"/>
                <w:sz w:val="18"/>
                <w:szCs w:val="18"/>
                <w:color w:val="auto"/>
              </w:rPr>
              <w:t>Selling, general and administrative expense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36,253</w:t>
            </w:r>
          </w:p>
        </w:tc>
        <w:tc>
          <w:tcPr>
            <w:tcW w:w="180" w:type="dxa"/>
            <w:vAlign w:val="bottom"/>
          </w:tcPr>
          <w:p>
            <w:pPr>
              <w:spacing w:after="0"/>
              <w:rPr>
                <w:sz w:val="24"/>
                <w:szCs w:val="2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24"/>
                <w:szCs w:val="2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45,107</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30"/>
        </w:trPr>
        <w:tc>
          <w:tcPr>
            <w:tcW w:w="3940" w:type="dxa"/>
            <w:vAlign w:val="bottom"/>
          </w:tcPr>
          <w:p>
            <w:pPr>
              <w:ind w:left="340"/>
              <w:spacing w:after="0"/>
              <w:rPr>
                <w:sz w:val="20"/>
                <w:szCs w:val="20"/>
                <w:color w:val="auto"/>
              </w:rPr>
            </w:pPr>
            <w:r>
              <w:rPr>
                <w:rFonts w:ascii="Arial" w:cs="Arial" w:eastAsia="Arial" w:hAnsi="Arial"/>
                <w:sz w:val="18"/>
                <w:szCs w:val="18"/>
                <w:color w:val="auto"/>
              </w:rPr>
              <w:t>Interest (income) expense, net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195"/>
        </w:trPr>
        <w:tc>
          <w:tcPr>
            <w:tcW w:w="3940" w:type="dxa"/>
            <w:vAlign w:val="bottom"/>
          </w:tcPr>
          <w:p>
            <w:pPr>
              <w:ind w:left="820"/>
              <w:spacing w:after="0" w:line="195" w:lineRule="exact"/>
              <w:rPr>
                <w:sz w:val="20"/>
                <w:szCs w:val="20"/>
                <w:color w:val="auto"/>
              </w:rPr>
            </w:pPr>
            <w:r>
              <w:rPr>
                <w:rFonts w:ascii="Arial" w:cs="Arial" w:eastAsia="Arial" w:hAnsi="Arial"/>
                <w:sz w:val="18"/>
                <w:szCs w:val="18"/>
                <w:color w:val="auto"/>
              </w:rPr>
              <w:t>(Loss) income before income taxes</w:t>
            </w: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20"/>
              <w:spacing w:after="0" w:line="195" w:lineRule="exact"/>
              <w:rPr>
                <w:sz w:val="20"/>
                <w:szCs w:val="20"/>
                <w:color w:val="auto"/>
              </w:rPr>
            </w:pPr>
            <w:r>
              <w:rPr>
                <w:rFonts w:ascii="Arial" w:cs="Arial" w:eastAsia="Arial" w:hAnsi="Arial"/>
                <w:sz w:val="18"/>
                <w:szCs w:val="18"/>
                <w:color w:val="auto"/>
              </w:rPr>
              <w:t>10,791</w:t>
            </w:r>
          </w:p>
        </w:tc>
        <w:tc>
          <w:tcPr>
            <w:tcW w:w="180" w:type="dxa"/>
            <w:vAlign w:val="bottom"/>
          </w:tcPr>
          <w:p>
            <w:pPr>
              <w:spacing w:after="0"/>
              <w:rPr>
                <w:sz w:val="16"/>
                <w:szCs w:val="16"/>
                <w:color w:val="auto"/>
              </w:rPr>
            </w:pPr>
          </w:p>
        </w:tc>
        <w:tc>
          <w:tcPr>
            <w:tcW w:w="12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11.5</w:t>
            </w: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7,588</w:t>
            </w:r>
          </w:p>
        </w:tc>
        <w:tc>
          <w:tcPr>
            <w:tcW w:w="180" w:type="dxa"/>
            <w:vAlign w:val="bottom"/>
          </w:tcPr>
          <w:p>
            <w:pPr>
              <w:spacing w:after="0"/>
              <w:rPr>
                <w:sz w:val="16"/>
                <w:szCs w:val="16"/>
                <w:color w:val="auto"/>
              </w:rPr>
            </w:pPr>
          </w:p>
        </w:tc>
        <w:tc>
          <w:tcPr>
            <w:tcW w:w="1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Income tax expense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1,426</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40" w:type="dxa"/>
            <w:vAlign w:val="bottom"/>
          </w:tcPr>
          <w:p>
            <w:pPr>
              <w:ind w:left="820"/>
              <w:spacing w:after="0"/>
              <w:rPr>
                <w:sz w:val="20"/>
                <w:szCs w:val="20"/>
                <w:color w:val="auto"/>
              </w:rPr>
            </w:pPr>
            <w:r>
              <w:rPr>
                <w:rFonts w:ascii="Arial" w:cs="Arial" w:eastAsia="Arial" w:hAnsi="Arial"/>
                <w:sz w:val="18"/>
                <w:szCs w:val="18"/>
                <w:color w:val="auto"/>
              </w:rPr>
              <w:t>Net (loss) income</w:t>
            </w:r>
          </w:p>
        </w:tc>
        <w:tc>
          <w:tcPr>
            <w:tcW w:w="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10,470</w:t>
            </w:r>
          </w:p>
        </w:tc>
        <w:tc>
          <w:tcPr>
            <w:tcW w:w="18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11.2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6,162</w:t>
            </w:r>
          </w:p>
        </w:tc>
        <w:tc>
          <w:tcPr>
            <w:tcW w:w="180" w:type="dxa"/>
            <w:vAlign w:val="bottom"/>
            <w:vMerge w:val="continue"/>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Arial" w:cs="Arial" w:eastAsia="Arial" w:hAnsi="Arial"/>
                <w:sz w:val="18"/>
                <w:szCs w:val="18"/>
                <w:color w:val="auto"/>
              </w:rPr>
              <w:t>(Loss) Income per common share:</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40" w:type="dxa"/>
            <w:vAlign w:val="bottom"/>
            <w:vMerge w:val="continue"/>
          </w:tcPr>
          <w:p>
            <w:pPr>
              <w:spacing w:after="0"/>
              <w:rPr>
                <w:sz w:val="24"/>
                <w:szCs w:val="24"/>
                <w:color w:val="auto"/>
              </w:rPr>
            </w:pPr>
          </w:p>
        </w:tc>
        <w:tc>
          <w:tcPr>
            <w:tcW w:w="120" w:type="dxa"/>
            <w:vAlign w:val="bottom"/>
            <w:gridSpan w:val="2"/>
            <w:vMerge w:val="restart"/>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0.70</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0.42</w:t>
            </w: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340"/>
              <w:spacing w:after="0"/>
              <w:rPr>
                <w:sz w:val="20"/>
                <w:szCs w:val="20"/>
                <w:color w:val="auto"/>
              </w:rPr>
            </w:pPr>
            <w:r>
              <w:rPr>
                <w:rFonts w:ascii="Arial" w:cs="Arial" w:eastAsia="Arial" w:hAnsi="Arial"/>
                <w:sz w:val="18"/>
                <w:szCs w:val="18"/>
                <w:color w:val="auto"/>
              </w:rPr>
              <w:t>Basic</w:t>
            </w:r>
          </w:p>
        </w:tc>
        <w:tc>
          <w:tcPr>
            <w:tcW w:w="120" w:type="dxa"/>
            <w:vAlign w:val="bottom"/>
            <w:gridSpan w:val="2"/>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40" w:type="dxa"/>
            <w:vAlign w:val="bottom"/>
          </w:tcPr>
          <w:p>
            <w:pPr>
              <w:ind w:left="340"/>
              <w:spacing w:after="0" w:line="196" w:lineRule="exact"/>
              <w:rPr>
                <w:sz w:val="20"/>
                <w:szCs w:val="20"/>
                <w:color w:val="auto"/>
              </w:rPr>
            </w:pPr>
            <w:r>
              <w:rPr>
                <w:rFonts w:ascii="Arial" w:cs="Arial" w:eastAsia="Arial" w:hAnsi="Arial"/>
                <w:sz w:val="18"/>
                <w:szCs w:val="18"/>
                <w:color w:val="auto"/>
              </w:rPr>
              <w:t>Diluted</w:t>
            </w:r>
          </w:p>
        </w:tc>
        <w:tc>
          <w:tcPr>
            <w:tcW w:w="2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0.67</w:t>
            </w:r>
          </w:p>
        </w:tc>
        <w:tc>
          <w:tcPr>
            <w:tcW w:w="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0.42</w:t>
            </w:r>
          </w:p>
        </w:tc>
        <w:tc>
          <w:tcPr>
            <w:tcW w:w="18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Arial" w:cs="Arial" w:eastAsia="Arial" w:hAnsi="Arial"/>
                <w:sz w:val="18"/>
                <w:szCs w:val="18"/>
                <w:color w:val="auto"/>
              </w:rPr>
              <w:t>Shares used in computing common per share</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9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amounts: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340"/>
              <w:spacing w:after="0"/>
              <w:rPr>
                <w:sz w:val="20"/>
                <w:szCs w:val="20"/>
                <w:color w:val="auto"/>
              </w:rPr>
            </w:pPr>
            <w:r>
              <w:rPr>
                <w:rFonts w:ascii="Arial" w:cs="Arial" w:eastAsia="Arial" w:hAnsi="Arial"/>
                <w:sz w:val="18"/>
                <w:szCs w:val="18"/>
                <w:color w:val="auto"/>
              </w:rPr>
              <w:t>Basic</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14,999,786</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14,752,560</w:t>
            </w: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340"/>
              <w:spacing w:after="0"/>
              <w:rPr>
                <w:sz w:val="20"/>
                <w:szCs w:val="20"/>
                <w:color w:val="auto"/>
              </w:rPr>
            </w:pPr>
            <w:r>
              <w:rPr>
                <w:rFonts w:ascii="Arial" w:cs="Arial" w:eastAsia="Arial" w:hAnsi="Arial"/>
                <w:sz w:val="18"/>
                <w:szCs w:val="18"/>
                <w:color w:val="auto"/>
              </w:rPr>
              <w:t>Diluted</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15,524,340</w:t>
            </w: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14,808,984</w:t>
            </w: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line="259"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Selected statement of operations data expressed as a percentage of total revenues, except cost of merchandise sold - retail, cost of merchandise sold - commercial and cost of merchandise sold - international franchising that are expressed as a percentage of net retail sales, commercial revenue and international franchising, respectively. Percentages will not total due to cost of merchandise sold being expressed as a percentage of net retail sales, commercial revenue or international franchising and immaterial rounding.</w:t>
      </w:r>
    </w:p>
    <w:p>
      <w:pPr>
        <w:spacing w:after="0" w:line="1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580" w:right="539" w:bottom="1440" w:gutter="0" w:footer="0" w:header="0"/>
        </w:sectPr>
      </w:pPr>
    </w:p>
    <w:bookmarkStart w:id="5" w:name="page6"/>
    <w:bookmarkEnd w:id="5"/>
    <w:p>
      <w:pPr>
        <w:jc w:val="center"/>
        <w:ind w:right="1480"/>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ind w:right="1480"/>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ind w:right="1480"/>
        <w:spacing w:after="0"/>
        <w:rPr>
          <w:sz w:val="20"/>
          <w:szCs w:val="20"/>
          <w:color w:val="auto"/>
        </w:rPr>
      </w:pPr>
      <w:r>
        <w:rPr>
          <w:rFonts w:ascii="Arial" w:cs="Arial" w:eastAsia="Arial" w:hAnsi="Arial"/>
          <w:sz w:val="18"/>
          <w:szCs w:val="18"/>
          <w:color w:val="auto"/>
        </w:rPr>
        <w:t>(dollars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7"/>
              </w:rPr>
              <w:t>52 Weeks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52 Weeks</w:t>
            </w: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0"/>
              </w:rPr>
              <w:t>Ended</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Ended</w:t>
            </w: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0"/>
              </w:rPr>
              <w:t>January 30,</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 of Total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February 1,</w:t>
            </w:r>
          </w:p>
        </w:tc>
        <w:tc>
          <w:tcPr>
            <w:tcW w:w="1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 of Total</w:t>
            </w:r>
          </w:p>
        </w:tc>
        <w:tc>
          <w:tcPr>
            <w:tcW w:w="0" w:type="dxa"/>
            <w:vAlign w:val="bottom"/>
          </w:tcPr>
          <w:p>
            <w:pPr>
              <w:spacing w:after="0"/>
              <w:rPr>
                <w:sz w:val="1"/>
                <w:szCs w:val="1"/>
                <w:color w:val="auto"/>
              </w:rPr>
            </w:pPr>
          </w:p>
        </w:tc>
      </w:tr>
      <w:tr>
        <w:trPr>
          <w:trHeight w:val="234"/>
        </w:trPr>
        <w:tc>
          <w:tcPr>
            <w:tcW w:w="412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260"/>
              <w:spacing w:after="0" w:line="235" w:lineRule="exact"/>
              <w:rPr>
                <w:sz w:val="20"/>
                <w:szCs w:val="20"/>
                <w:color w:val="auto"/>
              </w:rPr>
            </w:pPr>
            <w:r>
              <w:rPr>
                <w:rFonts w:ascii="Arial" w:cs="Arial" w:eastAsia="Arial" w:hAnsi="Arial"/>
                <w:sz w:val="17"/>
                <w:szCs w:val="17"/>
                <w:b w:val="1"/>
                <w:bCs w:val="1"/>
                <w:color w:val="auto"/>
              </w:rPr>
              <w:t xml:space="preserve">Revenues </w:t>
            </w:r>
            <w:r>
              <w:rPr>
                <w:rFonts w:ascii="Arial" w:cs="Arial" w:eastAsia="Arial" w:hAnsi="Arial"/>
                <w:sz w:val="27"/>
                <w:szCs w:val="27"/>
                <w:b w:val="1"/>
                <w:bCs w:val="1"/>
                <w:color w:val="auto"/>
                <w:vertAlign w:val="superscript"/>
              </w:rPr>
              <w:t>(1)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180" w:type="dxa"/>
            <w:vAlign w:val="bottom"/>
          </w:tcPr>
          <w:p>
            <w:pPr>
              <w:spacing w:after="0"/>
              <w:rPr>
                <w:sz w:val="20"/>
                <w:szCs w:val="20"/>
                <w:color w:val="auto"/>
              </w:rPr>
            </w:pPr>
          </w:p>
        </w:tc>
        <w:tc>
          <w:tcPr>
            <w:tcW w:w="1260" w:type="dxa"/>
            <w:vAlign w:val="bottom"/>
            <w:gridSpan w:val="2"/>
          </w:tcPr>
          <w:p>
            <w:pPr>
              <w:jc w:val="center"/>
              <w:ind w:right="20"/>
              <w:spacing w:after="0" w:line="235" w:lineRule="exact"/>
              <w:rPr>
                <w:sz w:val="20"/>
                <w:szCs w:val="20"/>
                <w:color w:val="auto"/>
              </w:rPr>
            </w:pPr>
            <w:r>
              <w:rPr>
                <w:rFonts w:ascii="Arial" w:cs="Arial" w:eastAsia="Arial" w:hAnsi="Arial"/>
                <w:sz w:val="17"/>
                <w:szCs w:val="17"/>
                <w:b w:val="1"/>
                <w:bCs w:val="1"/>
                <w:color w:val="auto"/>
                <w:w w:val="89"/>
              </w:rPr>
              <w:t xml:space="preserve">Revenues </w:t>
            </w:r>
            <w:r>
              <w:rPr>
                <w:rFonts w:ascii="Arial" w:cs="Arial" w:eastAsia="Arial" w:hAnsi="Arial"/>
                <w:sz w:val="27"/>
                <w:szCs w:val="27"/>
                <w:b w:val="1"/>
                <w:bCs w:val="1"/>
                <w:color w:val="auto"/>
                <w:w w:val="89"/>
                <w:vertAlign w:val="superscript"/>
              </w:rPr>
              <w:t>(1)</w:t>
            </w:r>
          </w:p>
        </w:tc>
        <w:tc>
          <w:tcPr>
            <w:tcW w:w="0" w:type="dxa"/>
            <w:vAlign w:val="bottom"/>
          </w:tcPr>
          <w:p>
            <w:pPr>
              <w:spacing w:after="0"/>
              <w:rPr>
                <w:sz w:val="1"/>
                <w:szCs w:val="1"/>
                <w:color w:val="auto"/>
              </w:rPr>
            </w:pPr>
          </w:p>
        </w:tc>
      </w:tr>
      <w:tr>
        <w:trPr>
          <w:trHeight w:val="195"/>
        </w:trPr>
        <w:tc>
          <w:tcPr>
            <w:tcW w:w="41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340"/>
              <w:spacing w:after="0"/>
              <w:rPr>
                <w:sz w:val="20"/>
                <w:szCs w:val="20"/>
                <w:color w:val="auto"/>
              </w:rPr>
            </w:pPr>
            <w:r>
              <w:rPr>
                <w:rFonts w:ascii="Arial" w:cs="Arial" w:eastAsia="Arial" w:hAnsi="Arial"/>
                <w:sz w:val="18"/>
                <w:szCs w:val="18"/>
                <w:color w:val="auto"/>
              </w:rPr>
              <w:t>Net retail sales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249,210</w:t>
            </w:r>
          </w:p>
        </w:tc>
        <w:tc>
          <w:tcPr>
            <w:tcW w:w="1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97.6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323,491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16"/>
        </w:trPr>
        <w:tc>
          <w:tcPr>
            <w:tcW w:w="4120" w:type="dxa"/>
            <w:vAlign w:val="bottom"/>
          </w:tcPr>
          <w:p>
            <w:pPr>
              <w:ind w:left="340"/>
              <w:spacing w:after="0"/>
              <w:rPr>
                <w:sz w:val="20"/>
                <w:szCs w:val="20"/>
                <w:color w:val="auto"/>
              </w:rPr>
            </w:pPr>
            <w:r>
              <w:rPr>
                <w:rFonts w:ascii="Arial" w:cs="Arial" w:eastAsia="Arial" w:hAnsi="Arial"/>
                <w:sz w:val="18"/>
                <w:szCs w:val="18"/>
                <w:color w:val="auto"/>
              </w:rPr>
              <w:t>Commercial revenue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4,426</w:t>
            </w:r>
          </w:p>
        </w:tc>
        <w:tc>
          <w:tcPr>
            <w:tcW w:w="1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11,892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4120" w:type="dxa"/>
            <w:vAlign w:val="bottom"/>
          </w:tcPr>
          <w:p>
            <w:pPr>
              <w:ind w:left="340"/>
              <w:spacing w:after="0"/>
              <w:rPr>
                <w:sz w:val="20"/>
                <w:szCs w:val="20"/>
                <w:color w:val="auto"/>
              </w:rPr>
            </w:pPr>
            <w:r>
              <w:rPr>
                <w:rFonts w:ascii="Arial" w:cs="Arial" w:eastAsia="Arial" w:hAnsi="Arial"/>
                <w:sz w:val="18"/>
                <w:szCs w:val="18"/>
                <w:color w:val="auto"/>
              </w:rPr>
              <w:t>International franchising</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1,674</w:t>
            </w:r>
          </w:p>
        </w:tc>
        <w:tc>
          <w:tcPr>
            <w:tcW w:w="18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3,160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9"/>
        </w:trPr>
        <w:tc>
          <w:tcPr>
            <w:tcW w:w="4120" w:type="dxa"/>
            <w:vAlign w:val="bottom"/>
          </w:tcPr>
          <w:p>
            <w:pPr>
              <w:ind w:left="820"/>
              <w:spacing w:after="0"/>
              <w:rPr>
                <w:sz w:val="20"/>
                <w:szCs w:val="20"/>
                <w:color w:val="auto"/>
              </w:rPr>
            </w:pPr>
            <w:r>
              <w:rPr>
                <w:rFonts w:ascii="Arial" w:cs="Arial" w:eastAsia="Arial" w:hAnsi="Arial"/>
                <w:sz w:val="18"/>
                <w:szCs w:val="18"/>
                <w:color w:val="auto"/>
              </w:rPr>
              <w:t>Total revenues</w:t>
            </w: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255,310</w:t>
            </w:r>
          </w:p>
        </w:tc>
        <w:tc>
          <w:tcPr>
            <w:tcW w:w="18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338,543</w:t>
            </w:r>
          </w:p>
        </w:tc>
        <w:tc>
          <w:tcPr>
            <w:tcW w:w="18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120" w:type="dxa"/>
            <w:vAlign w:val="bottom"/>
          </w:tcPr>
          <w:p>
            <w:pPr>
              <w:spacing w:after="0" w:line="195" w:lineRule="exact"/>
              <w:rPr>
                <w:sz w:val="20"/>
                <w:szCs w:val="20"/>
                <w:color w:val="auto"/>
              </w:rPr>
            </w:pPr>
            <w:r>
              <w:rPr>
                <w:rFonts w:ascii="Arial" w:cs="Arial" w:eastAsia="Arial" w:hAnsi="Arial"/>
                <w:sz w:val="18"/>
                <w:szCs w:val="18"/>
                <w:color w:val="auto"/>
              </w:rPr>
              <w:t>Costs and expenses:</w:t>
            </w: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340"/>
              <w:spacing w:after="0" w:line="216" w:lineRule="exact"/>
              <w:rPr>
                <w:sz w:val="20"/>
                <w:szCs w:val="20"/>
                <w:color w:val="auto"/>
              </w:rPr>
            </w:pPr>
            <w:r>
              <w:rPr>
                <w:rFonts w:ascii="Arial" w:cs="Arial" w:eastAsia="Arial" w:hAnsi="Arial"/>
                <w:sz w:val="16"/>
                <w:szCs w:val="16"/>
                <w:color w:val="auto"/>
              </w:rPr>
              <w:t xml:space="preserve">Cost of merchandise sold - retail </w:t>
            </w:r>
            <w:r>
              <w:rPr>
                <w:rFonts w:ascii="Arial" w:cs="Arial" w:eastAsia="Arial" w:hAnsi="Arial"/>
                <w:sz w:val="25"/>
                <w:szCs w:val="25"/>
                <w:color w:val="auto"/>
                <w:vertAlign w:val="superscript"/>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147,783</w:t>
            </w:r>
          </w:p>
        </w:tc>
        <w:tc>
          <w:tcPr>
            <w:tcW w:w="1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59.3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176,652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6"/>
        </w:trPr>
        <w:tc>
          <w:tcPr>
            <w:tcW w:w="4120" w:type="dxa"/>
            <w:vAlign w:val="bottom"/>
          </w:tcPr>
          <w:p>
            <w:pPr>
              <w:ind w:left="340"/>
              <w:spacing w:after="0" w:line="216" w:lineRule="exact"/>
              <w:rPr>
                <w:sz w:val="20"/>
                <w:szCs w:val="20"/>
                <w:color w:val="auto"/>
              </w:rPr>
            </w:pPr>
            <w:r>
              <w:rPr>
                <w:rFonts w:ascii="Arial" w:cs="Arial" w:eastAsia="Arial" w:hAnsi="Arial"/>
                <w:sz w:val="16"/>
                <w:szCs w:val="16"/>
                <w:color w:val="auto"/>
              </w:rPr>
              <w:t xml:space="preserve">Store asset impairment </w:t>
            </w:r>
            <w:r>
              <w:rPr>
                <w:rFonts w:ascii="Arial" w:cs="Arial" w:eastAsia="Arial" w:hAnsi="Arial"/>
                <w:sz w:val="25"/>
                <w:szCs w:val="25"/>
                <w:color w:val="auto"/>
                <w:vertAlign w:val="superscript"/>
              </w:rPr>
              <w:t>(2)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7,346</w:t>
            </w:r>
          </w:p>
        </w:tc>
        <w:tc>
          <w:tcPr>
            <w:tcW w:w="1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tcPr>
          <w:p>
            <w:pPr>
              <w:ind w:left="340"/>
              <w:spacing w:after="0" w:line="216" w:lineRule="exact"/>
              <w:rPr>
                <w:sz w:val="20"/>
                <w:szCs w:val="20"/>
                <w:color w:val="auto"/>
              </w:rPr>
            </w:pPr>
            <w:r>
              <w:rPr>
                <w:rFonts w:ascii="Arial" w:cs="Arial" w:eastAsia="Arial" w:hAnsi="Arial"/>
                <w:sz w:val="16"/>
                <w:szCs w:val="16"/>
                <w:color w:val="auto"/>
              </w:rPr>
              <w:t xml:space="preserve">Cost of merchandise sold - commercial </w:t>
            </w:r>
            <w:r>
              <w:rPr>
                <w:rFonts w:ascii="Arial" w:cs="Arial" w:eastAsia="Arial" w:hAnsi="Arial"/>
                <w:sz w:val="25"/>
                <w:szCs w:val="25"/>
                <w:color w:val="auto"/>
                <w:vertAlign w:val="superscript"/>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1,837</w:t>
            </w:r>
          </w:p>
        </w:tc>
        <w:tc>
          <w:tcPr>
            <w:tcW w:w="1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41.5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5,432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4120" w:type="dxa"/>
            <w:vAlign w:val="bottom"/>
          </w:tcPr>
          <w:p>
            <w:pPr>
              <w:ind w:left="340"/>
              <w:spacing w:after="0"/>
              <w:rPr>
                <w:sz w:val="20"/>
                <w:szCs w:val="20"/>
                <w:color w:val="auto"/>
              </w:rPr>
            </w:pPr>
            <w:r>
              <w:rPr>
                <w:rFonts w:ascii="Arial" w:cs="Arial" w:eastAsia="Arial" w:hAnsi="Arial"/>
                <w:sz w:val="18"/>
                <w:szCs w:val="18"/>
                <w:color w:val="auto"/>
              </w:rPr>
              <w:t>Cost of merchandise sold - international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935</w:t>
            </w:r>
          </w:p>
        </w:tc>
        <w:tc>
          <w:tcPr>
            <w:tcW w:w="180" w:type="dxa"/>
            <w:vAlign w:val="bottom"/>
          </w:tcPr>
          <w:p>
            <w:pPr>
              <w:spacing w:after="0"/>
              <w:rPr>
                <w:sz w:val="18"/>
                <w:szCs w:val="18"/>
                <w:color w:val="auto"/>
              </w:rPr>
            </w:pPr>
          </w:p>
        </w:tc>
        <w:tc>
          <w:tcPr>
            <w:tcW w:w="13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55.9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2,836</w:t>
            </w:r>
          </w:p>
        </w:tc>
        <w:tc>
          <w:tcPr>
            <w:tcW w:w="12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17"/>
        </w:trPr>
        <w:tc>
          <w:tcPr>
            <w:tcW w:w="4120" w:type="dxa"/>
            <w:vAlign w:val="bottom"/>
          </w:tcPr>
          <w:p>
            <w:pPr>
              <w:ind w:left="340"/>
              <w:spacing w:after="0" w:line="217" w:lineRule="exact"/>
              <w:rPr>
                <w:sz w:val="20"/>
                <w:szCs w:val="20"/>
                <w:color w:val="auto"/>
              </w:rPr>
            </w:pPr>
            <w:r>
              <w:rPr>
                <w:rFonts w:ascii="Arial" w:cs="Arial" w:eastAsia="Arial" w:hAnsi="Arial"/>
                <w:sz w:val="16"/>
                <w:szCs w:val="16"/>
                <w:color w:val="auto"/>
              </w:rPr>
              <w:t xml:space="preserve">franchising </w:t>
            </w:r>
            <w:r>
              <w:rPr>
                <w:rFonts w:ascii="Arial" w:cs="Arial" w:eastAsia="Arial" w:hAnsi="Arial"/>
                <w:sz w:val="25"/>
                <w:szCs w:val="25"/>
                <w:color w:val="auto"/>
                <w:vertAlign w:val="superscript"/>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tcPr>
          <w:p>
            <w:pPr>
              <w:ind w:left="820"/>
              <w:spacing w:after="0"/>
              <w:rPr>
                <w:sz w:val="20"/>
                <w:szCs w:val="20"/>
                <w:color w:val="auto"/>
              </w:rPr>
            </w:pPr>
            <w:r>
              <w:rPr>
                <w:rFonts w:ascii="Arial" w:cs="Arial" w:eastAsia="Arial" w:hAnsi="Arial"/>
                <w:sz w:val="18"/>
                <w:szCs w:val="18"/>
                <w:color w:val="auto"/>
              </w:rPr>
              <w:t>Total cost of merchandise sold</w:t>
            </w: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157,901</w:t>
            </w:r>
          </w:p>
        </w:tc>
        <w:tc>
          <w:tcPr>
            <w:tcW w:w="18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184,920</w:t>
            </w:r>
          </w:p>
        </w:tc>
        <w:tc>
          <w:tcPr>
            <w:tcW w:w="18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120" w:type="dxa"/>
            <w:vAlign w:val="bottom"/>
          </w:tcPr>
          <w:p>
            <w:pPr>
              <w:spacing w:after="0"/>
              <w:rPr>
                <w:sz w:val="20"/>
                <w:szCs w:val="20"/>
                <w:color w:val="auto"/>
              </w:rPr>
            </w:pPr>
            <w:r>
              <w:rPr>
                <w:rFonts w:ascii="Arial" w:cs="Arial" w:eastAsia="Arial" w:hAnsi="Arial"/>
                <w:sz w:val="18"/>
                <w:szCs w:val="18"/>
                <w:color w:val="auto"/>
              </w:rPr>
              <w:t>Consolidated gross profit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97,409</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153,623</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4120" w:type="dxa"/>
            <w:vAlign w:val="bottom"/>
          </w:tcPr>
          <w:p>
            <w:pPr>
              <w:ind w:left="340"/>
              <w:spacing w:after="0"/>
              <w:rPr>
                <w:sz w:val="20"/>
                <w:szCs w:val="20"/>
                <w:color w:val="auto"/>
              </w:rPr>
            </w:pPr>
            <w:r>
              <w:rPr>
                <w:rFonts w:ascii="Arial" w:cs="Arial" w:eastAsia="Arial" w:hAnsi="Arial"/>
                <w:sz w:val="18"/>
                <w:szCs w:val="18"/>
                <w:color w:val="auto"/>
              </w:rPr>
              <w:t>Selling, general and administrative expense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117,585</w:t>
            </w:r>
          </w:p>
        </w:tc>
        <w:tc>
          <w:tcPr>
            <w:tcW w:w="180" w:type="dxa"/>
            <w:vAlign w:val="bottom"/>
          </w:tcPr>
          <w:p>
            <w:pPr>
              <w:spacing w:after="0"/>
              <w:rPr>
                <w:sz w:val="24"/>
                <w:szCs w:val="24"/>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46.1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152,047</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30"/>
        </w:trPr>
        <w:tc>
          <w:tcPr>
            <w:tcW w:w="4120" w:type="dxa"/>
            <w:vAlign w:val="bottom"/>
          </w:tcPr>
          <w:p>
            <w:pPr>
              <w:ind w:left="340"/>
              <w:spacing w:after="0"/>
              <w:rPr>
                <w:sz w:val="20"/>
                <w:szCs w:val="20"/>
                <w:color w:val="auto"/>
              </w:rPr>
            </w:pPr>
            <w:r>
              <w:rPr>
                <w:rFonts w:ascii="Arial" w:cs="Arial" w:eastAsia="Arial" w:hAnsi="Arial"/>
                <w:sz w:val="18"/>
                <w:szCs w:val="18"/>
                <w:color w:val="auto"/>
              </w:rPr>
              <w:t>Interest expense, net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4120" w:type="dxa"/>
            <w:vAlign w:val="bottom"/>
            <w:vMerge w:val="restart"/>
          </w:tcPr>
          <w:p>
            <w:pPr>
              <w:ind w:left="820"/>
              <w:spacing w:after="0"/>
              <w:rPr>
                <w:sz w:val="20"/>
                <w:szCs w:val="20"/>
                <w:color w:val="auto"/>
              </w:rPr>
            </w:pPr>
            <w:r>
              <w:rPr>
                <w:rFonts w:ascii="Arial" w:cs="Arial" w:eastAsia="Arial" w:hAnsi="Arial"/>
                <w:sz w:val="18"/>
                <w:szCs w:val="18"/>
                <w:color w:val="auto"/>
              </w:rPr>
              <w:t>Income (loss) before income taxes</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1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(20,186)</w:t>
            </w:r>
          </w:p>
        </w:tc>
        <w:tc>
          <w:tcPr>
            <w:tcW w:w="180" w:type="dxa"/>
            <w:vAlign w:val="bottom"/>
            <w:vMerge w:val="continue"/>
          </w:tcPr>
          <w:p>
            <w:pPr>
              <w:spacing w:after="0"/>
              <w:rPr>
                <w:sz w:val="16"/>
                <w:szCs w:val="16"/>
                <w:color w:val="auto"/>
              </w:rPr>
            </w:pPr>
          </w:p>
        </w:tc>
        <w:tc>
          <w:tcPr>
            <w:tcW w:w="1360" w:type="dxa"/>
            <w:vAlign w:val="bottom"/>
            <w:gridSpan w:val="2"/>
          </w:tcPr>
          <w:p>
            <w:pPr>
              <w:jc w:val="right"/>
              <w:ind w:right="60"/>
              <w:spacing w:after="0" w:line="195" w:lineRule="exact"/>
              <w:rPr>
                <w:sz w:val="20"/>
                <w:szCs w:val="20"/>
                <w:color w:val="auto"/>
              </w:rPr>
            </w:pPr>
            <w:r>
              <w:rPr>
                <w:rFonts w:ascii="Arial" w:cs="Arial" w:eastAsia="Arial" w:hAnsi="Arial"/>
                <w:sz w:val="18"/>
                <w:szCs w:val="18"/>
                <w:color w:val="auto"/>
              </w:rPr>
              <w:t>(7.9)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line="195" w:lineRule="exact"/>
              <w:rPr>
                <w:sz w:val="20"/>
                <w:szCs w:val="20"/>
                <w:color w:val="auto"/>
              </w:rPr>
            </w:pPr>
            <w:r>
              <w:rPr>
                <w:rFonts w:ascii="Arial" w:cs="Arial" w:eastAsia="Arial" w:hAnsi="Arial"/>
                <w:sz w:val="18"/>
                <w:szCs w:val="18"/>
                <w:color w:val="auto"/>
              </w:rPr>
              <w:t>1,561</w:t>
            </w:r>
          </w:p>
        </w:tc>
        <w:tc>
          <w:tcPr>
            <w:tcW w:w="180" w:type="dxa"/>
            <w:vAlign w:val="bottom"/>
            <w:vMerge w:val="continue"/>
          </w:tcPr>
          <w:p>
            <w:pPr>
              <w:spacing w:after="0"/>
              <w:rPr>
                <w:sz w:val="16"/>
                <w:szCs w:val="16"/>
                <w:color w:val="auto"/>
              </w:rPr>
            </w:pPr>
          </w:p>
        </w:tc>
        <w:tc>
          <w:tcPr>
            <w:tcW w:w="1240" w:type="dxa"/>
            <w:vAlign w:val="bottom"/>
          </w:tcPr>
          <w:p>
            <w:pPr>
              <w:jc w:val="right"/>
              <w:spacing w:after="0" w:line="195" w:lineRule="exact"/>
              <w:rPr>
                <w:sz w:val="20"/>
                <w:szCs w:val="20"/>
                <w:color w:val="auto"/>
              </w:rPr>
            </w:pPr>
            <w:r>
              <w:rPr>
                <w:rFonts w:ascii="Arial" w:cs="Arial" w:eastAsia="Arial" w:hAnsi="Arial"/>
                <w:sz w:val="18"/>
                <w:szCs w:val="18"/>
                <w:color w:val="auto"/>
              </w:rPr>
              <w:t>0.5</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2,797</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1,300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20" w:type="dxa"/>
            <w:vAlign w:val="bottom"/>
          </w:tcPr>
          <w:p>
            <w:pPr>
              <w:ind w:left="820"/>
              <w:spacing w:after="0"/>
              <w:rPr>
                <w:sz w:val="20"/>
                <w:szCs w:val="20"/>
                <w:color w:val="auto"/>
              </w:rPr>
            </w:pPr>
            <w:r>
              <w:rPr>
                <w:rFonts w:ascii="Arial" w:cs="Arial" w:eastAsia="Arial" w:hAnsi="Arial"/>
                <w:sz w:val="18"/>
                <w:szCs w:val="18"/>
                <w:color w:val="auto"/>
              </w:rPr>
              <w:t>Net income (loss)</w:t>
            </w:r>
          </w:p>
        </w:tc>
        <w:tc>
          <w:tcPr>
            <w:tcW w:w="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(22,983)</w:t>
            </w:r>
          </w:p>
        </w:tc>
        <w:tc>
          <w:tcPr>
            <w:tcW w:w="180" w:type="dxa"/>
            <w:vAlign w:val="bottom"/>
            <w:vMerge w:val="continue"/>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261</w:t>
            </w:r>
          </w:p>
        </w:tc>
        <w:tc>
          <w:tcPr>
            <w:tcW w:w="180" w:type="dxa"/>
            <w:vAlign w:val="bottom"/>
            <w:vMerge w:val="continue"/>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color w:val="auto"/>
              </w:rPr>
              <w:t>Income (loss) per common share:</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20" w:type="dxa"/>
            <w:vAlign w:val="bottom"/>
            <w:vMerge w:val="continue"/>
          </w:tcPr>
          <w:p>
            <w:pPr>
              <w:spacing w:after="0"/>
              <w:rPr>
                <w:sz w:val="24"/>
                <w:szCs w:val="24"/>
                <w:color w:val="auto"/>
              </w:rPr>
            </w:pPr>
          </w:p>
        </w:tc>
        <w:tc>
          <w:tcPr>
            <w:tcW w:w="120" w:type="dxa"/>
            <w:vAlign w:val="bottom"/>
            <w:gridSpan w:val="2"/>
            <w:vMerge w:val="restart"/>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rPr>
              <w:t>(1.54)</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0.02</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340"/>
              <w:spacing w:after="0"/>
              <w:rPr>
                <w:sz w:val="20"/>
                <w:szCs w:val="20"/>
                <w:color w:val="auto"/>
              </w:rPr>
            </w:pPr>
            <w:r>
              <w:rPr>
                <w:rFonts w:ascii="Arial" w:cs="Arial" w:eastAsia="Arial" w:hAnsi="Arial"/>
                <w:sz w:val="18"/>
                <w:szCs w:val="18"/>
                <w:color w:val="auto"/>
              </w:rPr>
              <w:t>Basic</w:t>
            </w:r>
          </w:p>
        </w:tc>
        <w:tc>
          <w:tcPr>
            <w:tcW w:w="120" w:type="dxa"/>
            <w:vAlign w:val="bottom"/>
            <w:gridSpan w:val="2"/>
            <w:vMerge w:val="continue"/>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vMerge w:val="restart"/>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20" w:type="dxa"/>
            <w:vAlign w:val="bottom"/>
          </w:tcPr>
          <w:p>
            <w:pPr>
              <w:ind w:left="340"/>
              <w:spacing w:after="0" w:line="196" w:lineRule="exact"/>
              <w:rPr>
                <w:sz w:val="20"/>
                <w:szCs w:val="20"/>
                <w:color w:val="auto"/>
              </w:rPr>
            </w:pPr>
            <w:r>
              <w:rPr>
                <w:rFonts w:ascii="Arial" w:cs="Arial" w:eastAsia="Arial" w:hAnsi="Arial"/>
                <w:sz w:val="18"/>
                <w:szCs w:val="18"/>
                <w:color w:val="auto"/>
              </w:rPr>
              <w:t>Diluted</w:t>
            </w:r>
          </w:p>
        </w:tc>
        <w:tc>
          <w:tcPr>
            <w:tcW w:w="2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(1.54)</w:t>
            </w:r>
          </w:p>
        </w:tc>
        <w:tc>
          <w:tcPr>
            <w:tcW w:w="200" w:type="dxa"/>
            <w:vAlign w:val="bottom"/>
            <w:gridSpan w:val="2"/>
            <w:vMerge w:val="continue"/>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0.02</w:t>
            </w:r>
          </w:p>
        </w:tc>
        <w:tc>
          <w:tcPr>
            <w:tcW w:w="18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color w:val="auto"/>
                <w:w w:val="92"/>
              </w:rPr>
              <w:t>Shares used in computing common per share amounts:</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1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340"/>
              <w:spacing w:after="0"/>
              <w:rPr>
                <w:sz w:val="20"/>
                <w:szCs w:val="20"/>
                <w:color w:val="auto"/>
              </w:rPr>
            </w:pPr>
            <w:r>
              <w:rPr>
                <w:rFonts w:ascii="Arial" w:cs="Arial" w:eastAsia="Arial" w:hAnsi="Arial"/>
                <w:sz w:val="18"/>
                <w:szCs w:val="18"/>
                <w:color w:val="auto"/>
              </w:rPr>
              <w:t>Basic</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14,923,304</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14,711,334</w:t>
            </w: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340"/>
              <w:spacing w:after="0"/>
              <w:rPr>
                <w:sz w:val="20"/>
                <w:szCs w:val="20"/>
                <w:color w:val="auto"/>
              </w:rPr>
            </w:pPr>
            <w:r>
              <w:rPr>
                <w:rFonts w:ascii="Arial" w:cs="Arial" w:eastAsia="Arial" w:hAnsi="Arial"/>
                <w:sz w:val="18"/>
                <w:szCs w:val="18"/>
                <w:color w:val="auto"/>
              </w:rPr>
              <w:t>Diluted</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14,923,304</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14,759,810</w:t>
            </w: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line="259" w:lineRule="auto"/>
        <w:tabs>
          <w:tab w:leader="none" w:pos="340" w:val="left"/>
        </w:tabs>
        <w:numPr>
          <w:ilvl w:val="0"/>
          <w:numId w:val="4"/>
        </w:numPr>
        <w:rPr>
          <w:rFonts w:ascii="Arial" w:cs="Arial" w:eastAsia="Arial" w:hAnsi="Arial"/>
          <w:sz w:val="18"/>
          <w:szCs w:val="18"/>
          <w:color w:val="333333"/>
        </w:rPr>
      </w:pPr>
      <w:r>
        <w:rPr>
          <w:rFonts w:ascii="Arial" w:cs="Arial" w:eastAsia="Arial" w:hAnsi="Arial"/>
          <w:sz w:val="18"/>
          <w:szCs w:val="18"/>
          <w:color w:val="333333"/>
        </w:rPr>
        <w:t>Selected statement of operations data expressed as a percentage of total revenues, except cost of merchandise sold - retail, cost of merchandise sold - commercial and cost of merchandise sold - international franchising that are expressed as a percentage of net retail sales, commercial revenue and international franchising, respectively. Percentages will not total due to cost of merchandise sold being expressed as a percentage of net retail sales, commercial revenue or international franchising and immaterial rounding.</w:t>
      </w:r>
    </w:p>
    <w:p>
      <w:pPr>
        <w:spacing w:after="0" w:line="186" w:lineRule="exact"/>
        <w:rPr>
          <w:rFonts w:ascii="Arial" w:cs="Arial" w:eastAsia="Arial" w:hAnsi="Arial"/>
          <w:sz w:val="18"/>
          <w:szCs w:val="18"/>
          <w:color w:val="333333"/>
        </w:rPr>
      </w:pPr>
    </w:p>
    <w:p>
      <w:pPr>
        <w:ind w:left="340" w:right="12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Due to the charges primarily in the 52 weeks ended January 30, 2021, a separate line item was disclosed and expressed as a percentage of net retail sales.</w:t>
      </w:r>
    </w:p>
    <w:p>
      <w:pPr>
        <w:spacing w:after="0" w:line="17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580" w:right="539" w:bottom="1440" w:gutter="0" w:footer="0" w:header="0"/>
        </w:sectPr>
      </w:pPr>
    </w:p>
    <w:bookmarkStart w:id="6" w:name="page7"/>
    <w:bookmarkEnd w:id="6"/>
    <w:p>
      <w:pPr>
        <w:jc w:val="center"/>
        <w:ind w:right="1139"/>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(dollars 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3"/>
          </w:tcPr>
          <w:p>
            <w:pPr>
              <w:ind w:left="120"/>
              <w:spacing w:after="0"/>
              <w:rPr>
                <w:sz w:val="20"/>
                <w:szCs w:val="20"/>
                <w:color w:val="auto"/>
              </w:rPr>
            </w:pPr>
            <w:r>
              <w:rPr>
                <w:rFonts w:ascii="Arial" w:cs="Arial" w:eastAsia="Arial" w:hAnsi="Arial"/>
                <w:sz w:val="18"/>
                <w:szCs w:val="18"/>
                <w:b w:val="1"/>
                <w:bCs w:val="1"/>
                <w:color w:val="auto"/>
              </w:rPr>
              <w:t>January 30,</w:t>
            </w:r>
          </w:p>
        </w:tc>
        <w:tc>
          <w:tcPr>
            <w:tcW w:w="2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February 1,</w:t>
            </w: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p>
        </w:tc>
        <w:tc>
          <w:tcPr>
            <w:tcW w:w="1960" w:type="dxa"/>
            <w:vAlign w:val="bottom"/>
            <w:vMerge w:val="restart"/>
          </w:tcPr>
          <w:p>
            <w:pPr>
              <w:jc w:val="center"/>
              <w:ind w:right="390"/>
              <w:spacing w:after="0"/>
              <w:rPr>
                <w:sz w:val="20"/>
                <w:szCs w:val="20"/>
                <w:color w:val="auto"/>
              </w:rPr>
            </w:pPr>
            <w:r>
              <w:rPr>
                <w:rFonts w:ascii="Arial" w:cs="Arial" w:eastAsia="Arial" w:hAnsi="Arial"/>
                <w:sz w:val="18"/>
                <w:szCs w:val="18"/>
                <w:b w:val="1"/>
                <w:bCs w:val="1"/>
                <w:color w:val="auto"/>
                <w:w w:val="94"/>
              </w:rPr>
              <w:t>ASSETS</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720" w:type="dxa"/>
            <w:vAlign w:val="bottom"/>
            <w:vMerge w:val="restart"/>
          </w:tcPr>
          <w:p>
            <w:pPr>
              <w:spacing w:after="0"/>
              <w:rPr>
                <w:sz w:val="20"/>
                <w:szCs w:val="20"/>
                <w:color w:val="auto"/>
              </w:rPr>
            </w:pPr>
            <w:r>
              <w:rPr>
                <w:rFonts w:ascii="Arial" w:cs="Arial" w:eastAsia="Arial" w:hAnsi="Arial"/>
                <w:sz w:val="18"/>
                <w:szCs w:val="18"/>
                <w:color w:val="auto"/>
              </w:rPr>
              <w:t>Current assets:</w:t>
            </w:r>
          </w:p>
        </w:tc>
        <w:tc>
          <w:tcPr>
            <w:tcW w:w="19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20" w:type="dxa"/>
            <w:vAlign w:val="bottom"/>
            <w:vMerge w:val="continue"/>
          </w:tcPr>
          <w:p>
            <w:pPr>
              <w:spacing w:after="0"/>
              <w:rPr>
                <w:sz w:val="17"/>
                <w:szCs w:val="17"/>
                <w:color w:val="auto"/>
              </w:rPr>
            </w:pPr>
          </w:p>
        </w:tc>
        <w:tc>
          <w:tcPr>
            <w:tcW w:w="1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21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34,840</w:t>
            </w:r>
          </w:p>
        </w:tc>
        <w:tc>
          <w:tcPr>
            <w:tcW w:w="14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26,726</w:t>
            </w:r>
          </w:p>
        </w:tc>
        <w:tc>
          <w:tcPr>
            <w:tcW w:w="0" w:type="dxa"/>
            <w:vAlign w:val="bottom"/>
          </w:tcPr>
          <w:p>
            <w:pPr>
              <w:spacing w:after="0"/>
              <w:rPr>
                <w:sz w:val="1"/>
                <w:szCs w:val="1"/>
                <w:color w:val="auto"/>
              </w:rPr>
            </w:pPr>
          </w:p>
        </w:tc>
      </w:tr>
      <w:tr>
        <w:trPr>
          <w:trHeight w:val="216"/>
        </w:trPr>
        <w:tc>
          <w:tcPr>
            <w:tcW w:w="3720" w:type="dxa"/>
            <w:vAlign w:val="bottom"/>
          </w:tcPr>
          <w:p>
            <w:pPr>
              <w:ind w:left="340"/>
              <w:spacing w:after="0"/>
              <w:rPr>
                <w:sz w:val="20"/>
                <w:szCs w:val="20"/>
                <w:color w:val="auto"/>
              </w:rPr>
            </w:pPr>
            <w:r>
              <w:rPr>
                <w:rFonts w:ascii="Arial" w:cs="Arial" w:eastAsia="Arial" w:hAnsi="Arial"/>
                <w:sz w:val="18"/>
                <w:szCs w:val="18"/>
                <w:color w:val="auto"/>
              </w:rPr>
              <w:t>Inventories, net</w:t>
            </w: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46,947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53,381</w:t>
            </w:r>
          </w:p>
        </w:tc>
        <w:tc>
          <w:tcPr>
            <w:tcW w:w="0" w:type="dxa"/>
            <w:vAlign w:val="bottom"/>
          </w:tcPr>
          <w:p>
            <w:pPr>
              <w:spacing w:after="0"/>
              <w:rPr>
                <w:sz w:val="1"/>
                <w:szCs w:val="1"/>
                <w:color w:val="auto"/>
              </w:rPr>
            </w:pPr>
          </w:p>
        </w:tc>
      </w:tr>
      <w:tr>
        <w:trPr>
          <w:trHeight w:val="216"/>
        </w:trPr>
        <w:tc>
          <w:tcPr>
            <w:tcW w:w="372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8,295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11,526</w:t>
            </w:r>
          </w:p>
        </w:tc>
        <w:tc>
          <w:tcPr>
            <w:tcW w:w="0" w:type="dxa"/>
            <w:vAlign w:val="bottom"/>
          </w:tcPr>
          <w:p>
            <w:pPr>
              <w:spacing w:after="0"/>
              <w:rPr>
                <w:sz w:val="1"/>
                <w:szCs w:val="1"/>
                <w:color w:val="auto"/>
              </w:rPr>
            </w:pPr>
          </w:p>
        </w:tc>
      </w:tr>
      <w:tr>
        <w:trPr>
          <w:trHeight w:val="230"/>
        </w:trPr>
        <w:tc>
          <w:tcPr>
            <w:tcW w:w="3720" w:type="dxa"/>
            <w:vAlign w:val="bottom"/>
          </w:tcPr>
          <w:p>
            <w:pPr>
              <w:ind w:left="340"/>
              <w:spacing w:after="0"/>
              <w:rPr>
                <w:sz w:val="20"/>
                <w:szCs w:val="20"/>
                <w:color w:val="auto"/>
              </w:rPr>
            </w:pPr>
            <w:r>
              <w:rPr>
                <w:rFonts w:ascii="Arial" w:cs="Arial" w:eastAsia="Arial" w:hAnsi="Arial"/>
                <w:sz w:val="18"/>
                <w:szCs w:val="18"/>
                <w:color w:val="auto"/>
                <w:w w:val="97"/>
              </w:rPr>
              <w:t>Prepaid expenses and other current assets</w:t>
            </w:r>
          </w:p>
        </w:tc>
        <w:tc>
          <w:tcPr>
            <w:tcW w:w="1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10,111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7,117</w:t>
            </w:r>
          </w:p>
        </w:tc>
        <w:tc>
          <w:tcPr>
            <w:tcW w:w="0" w:type="dxa"/>
            <w:vAlign w:val="bottom"/>
          </w:tcPr>
          <w:p>
            <w:pPr>
              <w:spacing w:after="0"/>
              <w:rPr>
                <w:sz w:val="1"/>
                <w:szCs w:val="1"/>
                <w:color w:val="auto"/>
              </w:rPr>
            </w:pPr>
          </w:p>
        </w:tc>
      </w:tr>
      <w:tr>
        <w:trPr>
          <w:trHeight w:val="224"/>
        </w:trPr>
        <w:tc>
          <w:tcPr>
            <w:tcW w:w="3720" w:type="dxa"/>
            <w:vAlign w:val="bottom"/>
          </w:tcPr>
          <w:p>
            <w:pPr>
              <w:ind w:left="820"/>
              <w:spacing w:after="0"/>
              <w:rPr>
                <w:sz w:val="20"/>
                <w:szCs w:val="20"/>
                <w:color w:val="auto"/>
              </w:rPr>
            </w:pPr>
            <w:r>
              <w:rPr>
                <w:rFonts w:ascii="Arial" w:cs="Arial" w:eastAsia="Arial" w:hAnsi="Arial"/>
                <w:sz w:val="18"/>
                <w:szCs w:val="18"/>
                <w:color w:val="auto"/>
              </w:rPr>
              <w:t>Total current assets</w:t>
            </w:r>
          </w:p>
        </w:tc>
        <w:tc>
          <w:tcPr>
            <w:tcW w:w="19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100,193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98,750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3720" w:type="dxa"/>
            <w:vAlign w:val="bottom"/>
          </w:tcPr>
          <w:p>
            <w:pPr>
              <w:spacing w:after="0"/>
              <w:rPr>
                <w:sz w:val="20"/>
                <w:szCs w:val="20"/>
                <w:color w:val="auto"/>
              </w:rPr>
            </w:pPr>
            <w:r>
              <w:rPr>
                <w:rFonts w:ascii="Arial" w:cs="Arial" w:eastAsia="Arial" w:hAnsi="Arial"/>
                <w:sz w:val="18"/>
                <w:szCs w:val="18"/>
                <w:color w:val="auto"/>
              </w:rPr>
              <w:t>Operating lease right-of-use asset</w:t>
            </w:r>
          </w:p>
        </w:tc>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104,825</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126,144</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52,973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65,855</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Deferred tax assets</w:t>
            </w: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3,411</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Other assets, net</w:t>
            </w:r>
          </w:p>
        </w:tc>
        <w:tc>
          <w:tcPr>
            <w:tcW w:w="1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3,381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3,102</w:t>
            </w:r>
          </w:p>
        </w:tc>
        <w:tc>
          <w:tcPr>
            <w:tcW w:w="0" w:type="dxa"/>
            <w:vAlign w:val="bottom"/>
          </w:tcPr>
          <w:p>
            <w:pPr>
              <w:spacing w:after="0"/>
              <w:rPr>
                <w:sz w:val="1"/>
                <w:szCs w:val="1"/>
                <w:color w:val="auto"/>
              </w:rPr>
            </w:pPr>
          </w:p>
        </w:tc>
      </w:tr>
      <w:tr>
        <w:trPr>
          <w:trHeight w:val="209"/>
        </w:trPr>
        <w:tc>
          <w:tcPr>
            <w:tcW w:w="3720" w:type="dxa"/>
            <w:vAlign w:val="bottom"/>
          </w:tcPr>
          <w:p>
            <w:pPr>
              <w:ind w:left="820"/>
              <w:spacing w:after="0"/>
              <w:rPr>
                <w:sz w:val="20"/>
                <w:szCs w:val="20"/>
                <w:color w:val="auto"/>
              </w:rPr>
            </w:pPr>
            <w:r>
              <w:rPr>
                <w:rFonts w:ascii="Arial" w:cs="Arial" w:eastAsia="Arial" w:hAnsi="Arial"/>
                <w:sz w:val="18"/>
                <w:szCs w:val="18"/>
                <w:color w:val="auto"/>
              </w:rPr>
              <w:t>Total Assets</w:t>
            </w:r>
          </w:p>
        </w:tc>
        <w:tc>
          <w:tcPr>
            <w:tcW w:w="19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261,372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297,262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gridSpan w:val="2"/>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7380" w:type="dxa"/>
            <w:vAlign w:val="bottom"/>
            <w:gridSpan w:val="6"/>
          </w:tcPr>
          <w:p>
            <w:pPr>
              <w:jc w:val="center"/>
              <w:ind w:left="143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Current liabilities:</w:t>
            </w: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21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17,901</w:t>
            </w:r>
          </w:p>
        </w:tc>
        <w:tc>
          <w:tcPr>
            <w:tcW w:w="14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15,680</w:t>
            </w:r>
          </w:p>
        </w:tc>
        <w:tc>
          <w:tcPr>
            <w:tcW w:w="0" w:type="dxa"/>
            <w:vAlign w:val="bottom"/>
          </w:tcPr>
          <w:p>
            <w:pPr>
              <w:spacing w:after="0"/>
              <w:rPr>
                <w:sz w:val="1"/>
                <w:szCs w:val="1"/>
                <w:color w:val="auto"/>
              </w:rPr>
            </w:pPr>
          </w:p>
        </w:tc>
      </w:tr>
      <w:tr>
        <w:trPr>
          <w:trHeight w:val="216"/>
        </w:trPr>
        <w:tc>
          <w:tcPr>
            <w:tcW w:w="372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17,551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16,536</w:t>
            </w:r>
          </w:p>
        </w:tc>
        <w:tc>
          <w:tcPr>
            <w:tcW w:w="0" w:type="dxa"/>
            <w:vAlign w:val="bottom"/>
          </w:tcPr>
          <w:p>
            <w:pPr>
              <w:spacing w:after="0"/>
              <w:rPr>
                <w:sz w:val="1"/>
                <w:szCs w:val="1"/>
                <w:color w:val="auto"/>
              </w:rPr>
            </w:pPr>
          </w:p>
        </w:tc>
      </w:tr>
      <w:tr>
        <w:trPr>
          <w:trHeight w:val="216"/>
        </w:trPr>
        <w:tc>
          <w:tcPr>
            <w:tcW w:w="3720" w:type="dxa"/>
            <w:vAlign w:val="bottom"/>
          </w:tcPr>
          <w:p>
            <w:pPr>
              <w:ind w:left="340"/>
              <w:spacing w:after="0"/>
              <w:rPr>
                <w:sz w:val="20"/>
                <w:szCs w:val="20"/>
                <w:color w:val="auto"/>
              </w:rPr>
            </w:pPr>
            <w:r>
              <w:rPr>
                <w:rFonts w:ascii="Arial" w:cs="Arial" w:eastAsia="Arial" w:hAnsi="Arial"/>
                <w:sz w:val="18"/>
                <w:szCs w:val="18"/>
                <w:color w:val="auto"/>
              </w:rPr>
              <w:t>Operating lease liability short term</w:t>
            </w: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32,402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30,912</w:t>
            </w:r>
          </w:p>
        </w:tc>
        <w:tc>
          <w:tcPr>
            <w:tcW w:w="0" w:type="dxa"/>
            <w:vAlign w:val="bottom"/>
          </w:tcPr>
          <w:p>
            <w:pPr>
              <w:spacing w:after="0"/>
              <w:rPr>
                <w:sz w:val="1"/>
                <w:szCs w:val="1"/>
                <w:color w:val="auto"/>
              </w:rPr>
            </w:pPr>
          </w:p>
        </w:tc>
      </w:tr>
      <w:tr>
        <w:trPr>
          <w:trHeight w:val="216"/>
        </w:trPr>
        <w:tc>
          <w:tcPr>
            <w:tcW w:w="3720" w:type="dxa"/>
            <w:vAlign w:val="bottom"/>
          </w:tcPr>
          <w:p>
            <w:pPr>
              <w:ind w:left="340"/>
              <w:spacing w:after="0"/>
              <w:rPr>
                <w:sz w:val="20"/>
                <w:szCs w:val="20"/>
                <w:color w:val="auto"/>
              </w:rPr>
            </w:pPr>
            <w:r>
              <w:rPr>
                <w:rFonts w:ascii="Arial" w:cs="Arial" w:eastAsia="Arial" w:hAnsi="Arial"/>
                <w:sz w:val="18"/>
                <w:szCs w:val="18"/>
                <w:color w:val="auto"/>
              </w:rPr>
              <w:t>Gift cards and customer deposits</w:t>
            </w: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19,029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20,231</w:t>
            </w:r>
          </w:p>
        </w:tc>
        <w:tc>
          <w:tcPr>
            <w:tcW w:w="0" w:type="dxa"/>
            <w:vAlign w:val="bottom"/>
          </w:tcPr>
          <w:p>
            <w:pPr>
              <w:spacing w:after="0"/>
              <w:rPr>
                <w:sz w:val="1"/>
                <w:szCs w:val="1"/>
                <w:color w:val="auto"/>
              </w:rPr>
            </w:pPr>
          </w:p>
        </w:tc>
      </w:tr>
      <w:tr>
        <w:trPr>
          <w:trHeight w:val="230"/>
        </w:trPr>
        <w:tc>
          <w:tcPr>
            <w:tcW w:w="3720" w:type="dxa"/>
            <w:vAlign w:val="bottom"/>
          </w:tcPr>
          <w:p>
            <w:pPr>
              <w:ind w:left="340"/>
              <w:spacing w:after="0"/>
              <w:rPr>
                <w:sz w:val="20"/>
                <w:szCs w:val="20"/>
                <w:color w:val="auto"/>
              </w:rPr>
            </w:pPr>
            <w:r>
              <w:rPr>
                <w:rFonts w:ascii="Arial" w:cs="Arial" w:eastAsia="Arial" w:hAnsi="Arial"/>
                <w:sz w:val="18"/>
                <w:szCs w:val="18"/>
                <w:color w:val="auto"/>
              </w:rPr>
              <w:t>Deferred revenue and other</w:t>
            </w:r>
          </w:p>
        </w:tc>
        <w:tc>
          <w:tcPr>
            <w:tcW w:w="1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2,445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2,605</w:t>
            </w:r>
          </w:p>
        </w:tc>
        <w:tc>
          <w:tcPr>
            <w:tcW w:w="0" w:type="dxa"/>
            <w:vAlign w:val="bottom"/>
          </w:tcPr>
          <w:p>
            <w:pPr>
              <w:spacing w:after="0"/>
              <w:rPr>
                <w:sz w:val="1"/>
                <w:szCs w:val="1"/>
                <w:color w:val="auto"/>
              </w:rPr>
            </w:pPr>
          </w:p>
        </w:tc>
      </w:tr>
      <w:tr>
        <w:trPr>
          <w:trHeight w:val="210"/>
        </w:trPr>
        <w:tc>
          <w:tcPr>
            <w:tcW w:w="3720" w:type="dxa"/>
            <w:vAlign w:val="bottom"/>
          </w:tcPr>
          <w:p>
            <w:pPr>
              <w:ind w:left="820"/>
              <w:spacing w:after="0"/>
              <w:rPr>
                <w:sz w:val="20"/>
                <w:szCs w:val="20"/>
                <w:color w:val="auto"/>
              </w:rPr>
            </w:pPr>
            <w:r>
              <w:rPr>
                <w:rFonts w:ascii="Arial" w:cs="Arial" w:eastAsia="Arial" w:hAnsi="Arial"/>
                <w:sz w:val="18"/>
                <w:szCs w:val="18"/>
                <w:color w:val="auto"/>
              </w:rPr>
              <w:t>Total current liabilities</w:t>
            </w:r>
          </w:p>
        </w:tc>
        <w:tc>
          <w:tcPr>
            <w:tcW w:w="19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89,328</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85,964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580" w:right="1440"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liability long term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Deferred franchise revenue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liabilities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Stockholders' equity:</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Common stock, par value $0.01 per share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paid-in capital</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Accumulated other comprehensive loss</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Retained earnings</w:t>
      </w:r>
    </w:p>
    <w:p>
      <w:pPr>
        <w:spacing w:after="0" w:line="23" w:lineRule="exact"/>
        <w:rPr>
          <w:sz w:val="20"/>
          <w:szCs w:val="20"/>
          <w:color w:val="auto"/>
        </w:rPr>
      </w:pPr>
    </w:p>
    <w:p>
      <w:pPr>
        <w:ind w:right="1860" w:firstLine="810"/>
        <w:spacing w:after="0" w:line="393" w:lineRule="auto"/>
        <w:rPr>
          <w:sz w:val="20"/>
          <w:szCs w:val="20"/>
          <w:color w:val="auto"/>
        </w:rPr>
      </w:pPr>
      <w:r>
        <w:rPr>
          <w:rFonts w:ascii="Arial" w:cs="Arial" w:eastAsia="Arial" w:hAnsi="Arial"/>
          <w:sz w:val="16"/>
          <w:szCs w:val="16"/>
          <w:color w:val="auto"/>
        </w:rPr>
        <w:t>Total stockholders' equity Total Liabilities and Stockholders' Equity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101,462</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119,625</w:t>
            </w:r>
          </w:p>
        </w:tc>
      </w:tr>
      <w:tr>
        <w:trPr>
          <w:trHeight w:val="216"/>
        </w:trPr>
        <w:tc>
          <w:tcPr>
            <w:tcW w:w="5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920</w:t>
            </w:r>
          </w:p>
        </w:tc>
        <w:tc>
          <w:tcPr>
            <w:tcW w:w="5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1,325</w:t>
            </w:r>
          </w:p>
        </w:tc>
      </w:tr>
      <w:tr>
        <w:trPr>
          <w:trHeight w:val="230"/>
        </w:trPr>
        <w:tc>
          <w:tcPr>
            <w:tcW w:w="5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2,354</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1,717</w:t>
            </w:r>
          </w:p>
        </w:tc>
      </w:tr>
      <w:tr>
        <w:trPr>
          <w:trHeight w:val="634"/>
        </w:trPr>
        <w:tc>
          <w:tcPr>
            <w:tcW w:w="52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159</w:t>
            </w:r>
          </w:p>
        </w:tc>
        <w:tc>
          <w:tcPr>
            <w:tcW w:w="52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152</w:t>
            </w:r>
          </w:p>
        </w:tc>
      </w:tr>
      <w:tr>
        <w:trPr>
          <w:trHeight w:val="216"/>
        </w:trPr>
        <w:tc>
          <w:tcPr>
            <w:tcW w:w="5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72,822</w:t>
            </w:r>
          </w:p>
        </w:tc>
        <w:tc>
          <w:tcPr>
            <w:tcW w:w="5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70,633</w:t>
            </w:r>
          </w:p>
        </w:tc>
      </w:tr>
      <w:tr>
        <w:trPr>
          <w:trHeight w:val="216"/>
        </w:trPr>
        <w:tc>
          <w:tcPr>
            <w:tcW w:w="5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(12,615)</w:t>
            </w:r>
          </w:p>
        </w:tc>
        <w:tc>
          <w:tcPr>
            <w:tcW w:w="5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(12,079)</w:t>
            </w:r>
          </w:p>
        </w:tc>
      </w:tr>
      <w:tr>
        <w:trPr>
          <w:trHeight w:val="230"/>
        </w:trPr>
        <w:tc>
          <w:tcPr>
            <w:tcW w:w="5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6,942</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29,925</w:t>
            </w:r>
          </w:p>
        </w:tc>
      </w:tr>
      <w:tr>
        <w:trPr>
          <w:trHeight w:val="210"/>
        </w:trPr>
        <w:tc>
          <w:tcPr>
            <w:tcW w:w="5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67,308</w:t>
            </w:r>
          </w:p>
        </w:tc>
        <w:tc>
          <w:tcPr>
            <w:tcW w:w="160" w:type="dxa"/>
            <w:vAlign w:val="bottom"/>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88,631</w:t>
            </w:r>
          </w:p>
        </w:tc>
        <w:tc>
          <w:tcPr>
            <w:tcW w:w="60" w:type="dxa"/>
            <w:vAlign w:val="bottom"/>
          </w:tcPr>
          <w:p>
            <w:pPr>
              <w:spacing w:after="0"/>
              <w:rPr>
                <w:sz w:val="18"/>
                <w:szCs w:val="18"/>
                <w:color w:val="auto"/>
              </w:rPr>
            </w:pPr>
          </w:p>
        </w:tc>
      </w:tr>
      <w:tr>
        <w:trPr>
          <w:trHeight w:val="210"/>
        </w:trPr>
        <w:tc>
          <w:tcPr>
            <w:tcW w:w="52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261,372</w:t>
            </w:r>
          </w:p>
        </w:tc>
        <w:tc>
          <w:tcPr>
            <w:tcW w:w="160" w:type="dxa"/>
            <w:vAlign w:val="bottom"/>
          </w:tcPr>
          <w:p>
            <w:pPr>
              <w:spacing w:after="0"/>
              <w:rPr>
                <w:sz w:val="18"/>
                <w:szCs w:val="18"/>
                <w:color w:val="auto"/>
              </w:rPr>
            </w:pPr>
          </w:p>
        </w:tc>
        <w:tc>
          <w:tcPr>
            <w:tcW w:w="52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297,262</w:t>
            </w:r>
          </w:p>
        </w:tc>
        <w:tc>
          <w:tcPr>
            <w:tcW w:w="60" w:type="dxa"/>
            <w:vAlign w:val="bottom"/>
          </w:tcPr>
          <w:p>
            <w:pPr>
              <w:spacing w:after="0"/>
              <w:rPr>
                <w:sz w:val="18"/>
                <w:szCs w:val="18"/>
                <w:color w:val="auto"/>
              </w:rPr>
            </w:pP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860" w:space="720"/>
            <w:col w:w="4559"/>
          </w:cols>
          <w:pgMar w:left="320" w:top="580" w:right="1440" w:bottom="1440" w:gutter="0" w:footer="0" w:header="0"/>
          <w:type w:val="continuous"/>
        </w:sectPr>
      </w:pPr>
    </w:p>
    <w:bookmarkStart w:id="7" w:name="page8"/>
    <w:bookmarkEnd w:id="7"/>
    <w:p>
      <w:pPr>
        <w:jc w:val="center"/>
        <w:ind w:right="1440"/>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ind w:right="1440"/>
        <w:spacing w:after="0"/>
        <w:rPr>
          <w:sz w:val="20"/>
          <w:szCs w:val="20"/>
          <w:color w:val="auto"/>
        </w:rPr>
      </w:pPr>
      <w:r>
        <w:rPr>
          <w:rFonts w:ascii="Arial" w:cs="Arial" w:eastAsia="Arial" w:hAnsi="Arial"/>
          <w:sz w:val="18"/>
          <w:szCs w:val="18"/>
          <w:b w:val="1"/>
          <w:bCs w:val="1"/>
          <w:color w:val="auto"/>
        </w:rPr>
        <w:t>Unaudited Selected Financial and Store Data</w:t>
      </w:r>
    </w:p>
    <w:p>
      <w:pPr>
        <w:spacing w:after="0" w:line="9"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13 Weeks</w:t>
            </w:r>
          </w:p>
        </w:tc>
        <w:tc>
          <w:tcPr>
            <w:tcW w:w="12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13 Weeks</w:t>
            </w:r>
          </w:p>
        </w:tc>
        <w:tc>
          <w:tcPr>
            <w:tcW w:w="10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52 Weeks</w:t>
            </w:r>
          </w:p>
        </w:tc>
        <w:tc>
          <w:tcPr>
            <w:tcW w:w="12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52 Weeks</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January 30,</w:t>
            </w:r>
          </w:p>
        </w:tc>
        <w:tc>
          <w:tcPr>
            <w:tcW w:w="12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February 1,</w:t>
            </w:r>
          </w:p>
        </w:tc>
        <w:tc>
          <w:tcPr>
            <w:tcW w:w="10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January 30,</w:t>
            </w:r>
          </w:p>
        </w:tc>
        <w:tc>
          <w:tcPr>
            <w:tcW w:w="12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February 1,</w:t>
            </w: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700" w:type="dxa"/>
            <w:vAlign w:val="bottom"/>
          </w:tcPr>
          <w:p>
            <w:pPr>
              <w:spacing w:after="0"/>
              <w:rPr>
                <w:sz w:val="20"/>
                <w:szCs w:val="20"/>
                <w:color w:val="auto"/>
              </w:rPr>
            </w:pPr>
            <w:r>
              <w:rPr>
                <w:rFonts w:ascii="Arial" w:cs="Arial" w:eastAsia="Arial" w:hAnsi="Arial"/>
                <w:sz w:val="18"/>
                <w:szCs w:val="18"/>
                <w:b w:val="1"/>
                <w:bCs w:val="1"/>
                <w:color w:val="auto"/>
              </w:rPr>
              <w:t>Other financial data:</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700" w:type="dxa"/>
            <w:vAlign w:val="bottom"/>
          </w:tcPr>
          <w:p>
            <w:pPr>
              <w:ind w:left="340"/>
              <w:spacing w:after="0"/>
              <w:rPr>
                <w:sz w:val="20"/>
                <w:szCs w:val="20"/>
                <w:color w:val="auto"/>
              </w:rPr>
            </w:pPr>
            <w:r>
              <w:rPr>
                <w:rFonts w:ascii="Arial" w:cs="Arial" w:eastAsia="Arial" w:hAnsi="Arial"/>
                <w:sz w:val="18"/>
                <w:szCs w:val="18"/>
                <w:color w:val="auto"/>
              </w:rPr>
              <w:t xml:space="preserve">Retail gross margin ($) </w:t>
            </w:r>
            <w:r>
              <w:rPr>
                <w:rFonts w:ascii="Arial" w:cs="Arial" w:eastAsia="Arial" w:hAnsi="Arial"/>
                <w:sz w:val="29"/>
                <w:szCs w:val="29"/>
                <w:color w:val="auto"/>
                <w:vertAlign w:val="superscript"/>
              </w:rPr>
              <w:t>(1)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46,373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50,724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101,427</w:t>
            </w:r>
          </w:p>
        </w:tc>
        <w:tc>
          <w:tcPr>
            <w:tcW w:w="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146,839</w:t>
            </w:r>
          </w:p>
        </w:tc>
        <w:tc>
          <w:tcPr>
            <w:tcW w:w="0" w:type="dxa"/>
            <w:vAlign w:val="bottom"/>
          </w:tcPr>
          <w:p>
            <w:pPr>
              <w:spacing w:after="0"/>
              <w:rPr>
                <w:sz w:val="1"/>
                <w:szCs w:val="1"/>
                <w:color w:val="auto"/>
              </w:rPr>
            </w:pPr>
          </w:p>
        </w:tc>
      </w:tr>
      <w:tr>
        <w:trPr>
          <w:trHeight w:val="216"/>
        </w:trPr>
        <w:tc>
          <w:tcPr>
            <w:tcW w:w="3700" w:type="dxa"/>
            <w:vAlign w:val="bottom"/>
          </w:tcPr>
          <w:p>
            <w:pPr>
              <w:ind w:left="340"/>
              <w:spacing w:after="0" w:line="216" w:lineRule="exact"/>
              <w:rPr>
                <w:sz w:val="20"/>
                <w:szCs w:val="20"/>
                <w:color w:val="auto"/>
              </w:rPr>
            </w:pPr>
            <w:r>
              <w:rPr>
                <w:rFonts w:ascii="Arial" w:cs="Arial" w:eastAsia="Arial" w:hAnsi="Arial"/>
                <w:sz w:val="16"/>
                <w:szCs w:val="16"/>
                <w:color w:val="auto"/>
              </w:rPr>
              <w:t xml:space="preserve">Retail gross margin (%) </w:t>
            </w:r>
            <w:r>
              <w:rPr>
                <w:rFonts w:ascii="Arial" w:cs="Arial" w:eastAsia="Arial" w:hAnsi="Arial"/>
                <w:sz w:val="25"/>
                <w:szCs w:val="25"/>
                <w:color w:val="auto"/>
                <w:vertAlign w:val="superscript"/>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3700" w:type="dxa"/>
            <w:vAlign w:val="bottom"/>
          </w:tcPr>
          <w:p>
            <w:pPr>
              <w:ind w:left="340"/>
              <w:spacing w:after="0" w:line="216" w:lineRule="exact"/>
              <w:rPr>
                <w:sz w:val="20"/>
                <w:szCs w:val="20"/>
                <w:color w:val="auto"/>
              </w:rPr>
            </w:pPr>
            <w:r>
              <w:rPr>
                <w:rFonts w:ascii="Arial" w:cs="Arial" w:eastAsia="Arial" w:hAnsi="Arial"/>
                <w:sz w:val="16"/>
                <w:szCs w:val="16"/>
                <w:color w:val="auto"/>
              </w:rPr>
              <w:t xml:space="preserve">Capital expenditures </w:t>
            </w:r>
            <w:r>
              <w:rPr>
                <w:rFonts w:ascii="Arial" w:cs="Arial" w:eastAsia="Arial" w:hAnsi="Arial"/>
                <w:sz w:val="25"/>
                <w:szCs w:val="25"/>
                <w:color w:val="auto"/>
                <w:vertAlign w:val="superscript"/>
              </w:rPr>
              <w:t>(2)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1,017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2,285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5,046</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12,384</w:t>
            </w:r>
          </w:p>
        </w:tc>
        <w:tc>
          <w:tcPr>
            <w:tcW w:w="0" w:type="dxa"/>
            <w:vAlign w:val="bottom"/>
          </w:tcPr>
          <w:p>
            <w:pPr>
              <w:spacing w:after="0"/>
              <w:rPr>
                <w:sz w:val="1"/>
                <w:szCs w:val="1"/>
                <w:color w:val="auto"/>
              </w:rPr>
            </w:pPr>
          </w:p>
        </w:tc>
      </w:tr>
      <w:tr>
        <w:trPr>
          <w:trHeight w:val="230"/>
        </w:trPr>
        <w:tc>
          <w:tcPr>
            <w:tcW w:w="37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3,332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3,346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13,237</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13,705</w:t>
            </w:r>
          </w:p>
        </w:tc>
        <w:tc>
          <w:tcPr>
            <w:tcW w:w="0" w:type="dxa"/>
            <w:vAlign w:val="bottom"/>
          </w:tcPr>
          <w:p>
            <w:pPr>
              <w:spacing w:after="0"/>
              <w:rPr>
                <w:sz w:val="1"/>
                <w:szCs w:val="1"/>
                <w:color w:val="auto"/>
              </w:rPr>
            </w:pPr>
          </w:p>
        </w:tc>
      </w:tr>
      <w:tr>
        <w:trPr>
          <w:trHeight w:val="418"/>
        </w:trPr>
        <w:tc>
          <w:tcPr>
            <w:tcW w:w="3700" w:type="dxa"/>
            <w:vAlign w:val="bottom"/>
          </w:tcPr>
          <w:p>
            <w:pPr>
              <w:spacing w:after="0"/>
              <w:rPr>
                <w:sz w:val="20"/>
                <w:szCs w:val="20"/>
                <w:color w:val="auto"/>
              </w:rPr>
            </w:pPr>
            <w:r>
              <w:rPr>
                <w:rFonts w:ascii="Arial" w:cs="Arial" w:eastAsia="Arial" w:hAnsi="Arial"/>
                <w:sz w:val="18"/>
                <w:szCs w:val="18"/>
                <w:b w:val="1"/>
                <w:bCs w:val="1"/>
                <w:color w:val="auto"/>
              </w:rPr>
              <w:t xml:space="preserve">Store data </w:t>
            </w:r>
            <w:r>
              <w:rPr>
                <w:rFonts w:ascii="Arial" w:cs="Arial" w:eastAsia="Arial" w:hAnsi="Arial"/>
                <w:sz w:val="29"/>
                <w:szCs w:val="29"/>
                <w:b w:val="1"/>
                <w:bCs w:val="1"/>
                <w:color w:val="auto"/>
                <w:vertAlign w:val="superscript"/>
              </w:rPr>
              <w:t>(3)</w:t>
            </w:r>
            <w:r>
              <w:rPr>
                <w:rFonts w:ascii="Arial" w:cs="Arial" w:eastAsia="Arial" w:hAnsi="Arial"/>
                <w:sz w:val="18"/>
                <w:szCs w:val="18"/>
                <w:b w:val="1"/>
                <w:bCs w:val="1"/>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340"/>
              <w:spacing w:after="0"/>
              <w:rPr>
                <w:sz w:val="20"/>
                <w:szCs w:val="20"/>
                <w:color w:val="auto"/>
              </w:rPr>
            </w:pPr>
            <w:r>
              <w:rPr>
                <w:rFonts w:ascii="Arial" w:cs="Arial" w:eastAsia="Arial" w:hAnsi="Arial"/>
                <w:sz w:val="18"/>
                <w:szCs w:val="18"/>
                <w:color w:val="auto"/>
              </w:rPr>
              <w:t>Number of corporately-managed retail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340"/>
              <w:spacing w:after="0"/>
              <w:rPr>
                <w:sz w:val="20"/>
                <w:szCs w:val="20"/>
                <w:color w:val="auto"/>
              </w:rPr>
            </w:pPr>
            <w:r>
              <w:rPr>
                <w:rFonts w:ascii="Arial" w:cs="Arial" w:eastAsia="Arial" w:hAnsi="Arial"/>
                <w:sz w:val="18"/>
                <w:szCs w:val="18"/>
                <w:color w:val="auto"/>
              </w:rPr>
              <w:t>locations at end of period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660"/>
              <w:spacing w:after="0"/>
              <w:rPr>
                <w:sz w:val="20"/>
                <w:szCs w:val="20"/>
                <w:color w:val="auto"/>
              </w:rPr>
            </w:pPr>
            <w:r>
              <w:rPr>
                <w:rFonts w:ascii="Arial" w:cs="Arial" w:eastAsia="Arial" w:hAnsi="Arial"/>
                <w:sz w:val="18"/>
                <w:szCs w:val="18"/>
                <w:color w:val="auto"/>
              </w:rPr>
              <w:t>North America</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3700" w:type="dxa"/>
            <w:vAlign w:val="bottom"/>
          </w:tcPr>
          <w:p>
            <w:pPr>
              <w:ind w:left="660"/>
              <w:spacing w:after="0"/>
              <w:rPr>
                <w:sz w:val="20"/>
                <w:szCs w:val="20"/>
                <w:color w:val="auto"/>
              </w:rPr>
            </w:pPr>
            <w:r>
              <w:rPr>
                <w:rFonts w:ascii="Arial" w:cs="Arial" w:eastAsia="Arial" w:hAnsi="Arial"/>
                <w:sz w:val="18"/>
                <w:szCs w:val="18"/>
                <w:color w:val="auto"/>
              </w:rPr>
              <w:t>Europe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3700" w:type="dxa"/>
            <w:vAlign w:val="bottom"/>
          </w:tcPr>
          <w:p>
            <w:pPr>
              <w:ind w:left="660"/>
              <w:spacing w:after="0"/>
              <w:rPr>
                <w:sz w:val="20"/>
                <w:szCs w:val="20"/>
                <w:color w:val="auto"/>
              </w:rPr>
            </w:pPr>
            <w:r>
              <w:rPr>
                <w:rFonts w:ascii="Arial" w:cs="Arial" w:eastAsia="Arial" w:hAnsi="Arial"/>
                <w:sz w:val="18"/>
                <w:szCs w:val="18"/>
                <w:color w:val="auto"/>
              </w:rPr>
              <w:t>Asia</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700" w:type="dxa"/>
            <w:vAlign w:val="bottom"/>
          </w:tcPr>
          <w:p>
            <w:pPr>
              <w:ind w:left="820"/>
              <w:spacing w:after="0" w:line="195" w:lineRule="exact"/>
              <w:rPr>
                <w:sz w:val="20"/>
                <w:szCs w:val="20"/>
                <w:color w:val="auto"/>
              </w:rPr>
            </w:pPr>
            <w:r>
              <w:rPr>
                <w:rFonts w:ascii="Arial" w:cs="Arial" w:eastAsia="Arial" w:hAnsi="Arial"/>
                <w:sz w:val="18"/>
                <w:szCs w:val="18"/>
                <w:color w:val="auto"/>
              </w:rPr>
              <w:t>Total corporately-managed retail</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354</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372</w:t>
            </w:r>
          </w:p>
        </w:tc>
        <w:tc>
          <w:tcPr>
            <w:tcW w:w="14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700" w:type="dxa"/>
            <w:vAlign w:val="bottom"/>
          </w:tcPr>
          <w:p>
            <w:pPr>
              <w:ind w:left="820"/>
              <w:spacing w:after="0" w:line="190" w:lineRule="exact"/>
              <w:rPr>
                <w:sz w:val="20"/>
                <w:szCs w:val="20"/>
                <w:color w:val="auto"/>
              </w:rPr>
            </w:pPr>
            <w:r>
              <w:rPr>
                <w:rFonts w:ascii="Arial" w:cs="Arial" w:eastAsia="Arial" w:hAnsi="Arial"/>
                <w:sz w:val="18"/>
                <w:szCs w:val="18"/>
                <w:color w:val="auto"/>
              </w:rPr>
              <w:t>locations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700" w:type="dxa"/>
            <w:vAlign w:val="bottom"/>
          </w:tcPr>
          <w:p>
            <w:pPr>
              <w:ind w:left="340"/>
              <w:spacing w:after="0"/>
              <w:rPr>
                <w:sz w:val="20"/>
                <w:szCs w:val="20"/>
                <w:color w:val="auto"/>
              </w:rPr>
            </w:pPr>
            <w:r>
              <w:rPr>
                <w:rFonts w:ascii="Arial" w:cs="Arial" w:eastAsia="Arial" w:hAnsi="Arial"/>
                <w:sz w:val="18"/>
                <w:szCs w:val="18"/>
                <w:color w:val="auto"/>
                <w:w w:val="93"/>
              </w:rPr>
              <w:t>Number of franchised stores at end of period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418"/>
        </w:trPr>
        <w:tc>
          <w:tcPr>
            <w:tcW w:w="3700" w:type="dxa"/>
            <w:vAlign w:val="bottom"/>
          </w:tcPr>
          <w:p>
            <w:pPr>
              <w:ind w:left="340"/>
              <w:spacing w:after="0"/>
              <w:rPr>
                <w:sz w:val="20"/>
                <w:szCs w:val="20"/>
                <w:color w:val="auto"/>
              </w:rPr>
            </w:pPr>
            <w:r>
              <w:rPr>
                <w:rFonts w:ascii="Arial" w:cs="Arial" w:eastAsia="Arial" w:hAnsi="Arial"/>
                <w:sz w:val="18"/>
                <w:szCs w:val="18"/>
                <w:color w:val="auto"/>
                <w:w w:val="91"/>
              </w:rPr>
              <w:t>Corporately-managed store square footage at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340"/>
              <w:spacing w:after="0" w:line="216" w:lineRule="exact"/>
              <w:rPr>
                <w:sz w:val="20"/>
                <w:szCs w:val="20"/>
                <w:color w:val="auto"/>
              </w:rPr>
            </w:pPr>
            <w:r>
              <w:rPr>
                <w:rFonts w:ascii="Arial" w:cs="Arial" w:eastAsia="Arial" w:hAnsi="Arial"/>
                <w:sz w:val="16"/>
                <w:szCs w:val="16"/>
                <w:color w:val="auto"/>
              </w:rPr>
              <w:t xml:space="preserve">end of period </w:t>
            </w:r>
            <w:r>
              <w:rPr>
                <w:rFonts w:ascii="Arial" w:cs="Arial" w:eastAsia="Arial" w:hAnsi="Arial"/>
                <w:sz w:val="25"/>
                <w:szCs w:val="25"/>
                <w:color w:val="auto"/>
                <w:vertAlign w:val="superscript"/>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660"/>
              <w:spacing w:after="0"/>
              <w:rPr>
                <w:sz w:val="20"/>
                <w:szCs w:val="20"/>
                <w:color w:val="auto"/>
              </w:rPr>
            </w:pPr>
            <w:r>
              <w:rPr>
                <w:rFonts w:ascii="Arial" w:cs="Arial" w:eastAsia="Arial" w:hAnsi="Arial"/>
                <w:sz w:val="18"/>
                <w:szCs w:val="18"/>
                <w:color w:val="auto"/>
              </w:rPr>
              <w:t>North America</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712,287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719,078</w:t>
            </w:r>
          </w:p>
        </w:tc>
        <w:tc>
          <w:tcPr>
            <w:tcW w:w="0" w:type="dxa"/>
            <w:vAlign w:val="bottom"/>
          </w:tcPr>
          <w:p>
            <w:pPr>
              <w:spacing w:after="0"/>
              <w:rPr>
                <w:sz w:val="1"/>
                <w:szCs w:val="1"/>
                <w:color w:val="auto"/>
              </w:rPr>
            </w:pPr>
          </w:p>
        </w:tc>
      </w:tr>
      <w:tr>
        <w:trPr>
          <w:trHeight w:val="216"/>
        </w:trPr>
        <w:tc>
          <w:tcPr>
            <w:tcW w:w="3700" w:type="dxa"/>
            <w:vAlign w:val="bottom"/>
          </w:tcPr>
          <w:p>
            <w:pPr>
              <w:ind w:left="660"/>
              <w:spacing w:after="0"/>
              <w:rPr>
                <w:sz w:val="20"/>
                <w:szCs w:val="20"/>
                <w:color w:val="auto"/>
              </w:rPr>
            </w:pPr>
            <w:r>
              <w:rPr>
                <w:rFonts w:ascii="Arial" w:cs="Arial" w:eastAsia="Arial" w:hAnsi="Arial"/>
                <w:sz w:val="18"/>
                <w:szCs w:val="18"/>
                <w:color w:val="auto"/>
              </w:rPr>
              <w:t>Europe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71,609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78,786</w:t>
            </w:r>
          </w:p>
        </w:tc>
        <w:tc>
          <w:tcPr>
            <w:tcW w:w="0" w:type="dxa"/>
            <w:vAlign w:val="bottom"/>
          </w:tcPr>
          <w:p>
            <w:pPr>
              <w:spacing w:after="0"/>
              <w:rPr>
                <w:sz w:val="1"/>
                <w:szCs w:val="1"/>
                <w:color w:val="auto"/>
              </w:rPr>
            </w:pPr>
          </w:p>
        </w:tc>
      </w:tr>
      <w:tr>
        <w:trPr>
          <w:trHeight w:val="230"/>
        </w:trPr>
        <w:tc>
          <w:tcPr>
            <w:tcW w:w="3700" w:type="dxa"/>
            <w:vAlign w:val="bottom"/>
          </w:tcPr>
          <w:p>
            <w:pPr>
              <w:ind w:left="660"/>
              <w:spacing w:after="0"/>
              <w:rPr>
                <w:sz w:val="20"/>
                <w:szCs w:val="20"/>
                <w:color w:val="auto"/>
              </w:rPr>
            </w:pPr>
            <w:r>
              <w:rPr>
                <w:rFonts w:ascii="Arial" w:cs="Arial" w:eastAsia="Arial" w:hAnsi="Arial"/>
                <w:sz w:val="18"/>
                <w:szCs w:val="18"/>
                <w:color w:val="auto"/>
              </w:rPr>
              <w:t>Asia</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1,750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10"/>
        </w:trPr>
        <w:tc>
          <w:tcPr>
            <w:tcW w:w="3700" w:type="dxa"/>
            <w:vAlign w:val="bottom"/>
          </w:tcPr>
          <w:p>
            <w:pPr>
              <w:ind w:left="820"/>
              <w:spacing w:after="0"/>
              <w:rPr>
                <w:sz w:val="20"/>
                <w:szCs w:val="20"/>
                <w:color w:val="auto"/>
              </w:rPr>
            </w:pPr>
            <w:r>
              <w:rPr>
                <w:rFonts w:ascii="Arial" w:cs="Arial" w:eastAsia="Arial" w:hAnsi="Arial"/>
                <w:sz w:val="18"/>
                <w:szCs w:val="18"/>
                <w:color w:val="auto"/>
              </w:rPr>
              <w:t>Total square footage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785,646</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799,614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20" w:hanging="332"/>
        <w:spacing w:after="0" w:line="258"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Retail gross margin represents net retail sales less cost of merchandise sold - retail. Retail gross margin percentage represents retail gross margin divided by net retail sales. Store impairment is excluded from retail gross margin.</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 expenditures represents cash paid for property, equipment, other assets and other intangible assets.</w:t>
      </w:r>
    </w:p>
    <w:p>
      <w:pPr>
        <w:spacing w:after="0" w:line="9" w:lineRule="exact"/>
        <w:rPr>
          <w:rFonts w:ascii="Arial" w:cs="Arial" w:eastAsia="Arial" w:hAnsi="Arial"/>
          <w:sz w:val="18"/>
          <w:szCs w:val="18"/>
          <w:color w:val="auto"/>
        </w:rPr>
      </w:pPr>
    </w:p>
    <w:p>
      <w:pPr>
        <w:ind w:left="340" w:hanging="332"/>
        <w:spacing w:after="0" w:line="265"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Excludes e-commerce. North American stores are located in the United States, Canada and Puerto Rico. In Europe, stores are located in the United Kingdom, Ireland and Denmark. In Asia, the store is located in China. Seasonal locations not included in store count.</w:t>
      </w:r>
    </w:p>
    <w:p>
      <w:pPr>
        <w:ind w:left="340" w:right="40" w:hanging="332"/>
        <w:spacing w:after="0" w:line="26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Square footage for stores located in North America is leased square footage. Square footage for stores located in Europe is estimated selling square footage. Seasonal locations not included in the store count.</w:t>
      </w:r>
    </w:p>
    <w:p>
      <w:pPr>
        <w:spacing w:after="0" w:line="18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580" w:right="5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 Non-GAAP Financial Measures</w:t>
      </w:r>
    </w:p>
    <w:p>
      <w:pPr>
        <w:spacing w:after="0" w:line="225" w:lineRule="exact"/>
        <w:rPr>
          <w:sz w:val="20"/>
          <w:szCs w:val="20"/>
          <w:color w:val="auto"/>
        </w:rPr>
      </w:pPr>
    </w:p>
    <w:p>
      <w:pPr>
        <w:jc w:val="center"/>
        <w:ind w:right="1660"/>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ind w:right="1660"/>
        <w:spacing w:after="0"/>
        <w:rPr>
          <w:sz w:val="20"/>
          <w:szCs w:val="20"/>
          <w:color w:val="auto"/>
        </w:rPr>
      </w:pPr>
      <w:r>
        <w:rPr>
          <w:rFonts w:ascii="Arial" w:cs="Arial" w:eastAsia="Arial" w:hAnsi="Arial"/>
          <w:sz w:val="18"/>
          <w:szCs w:val="18"/>
          <w:b w:val="1"/>
          <w:bCs w:val="1"/>
          <w:color w:val="auto"/>
        </w:rPr>
        <w:t>Reconciliation of GAAP to Non-GAAP Results</w:t>
      </w:r>
    </w:p>
    <w:p>
      <w:pPr>
        <w:spacing w:after="0" w:line="9" w:lineRule="exact"/>
        <w:rPr>
          <w:sz w:val="20"/>
          <w:szCs w:val="20"/>
          <w:color w:val="auto"/>
        </w:rPr>
      </w:pPr>
    </w:p>
    <w:p>
      <w:pPr>
        <w:jc w:val="center"/>
        <w:ind w:right="1660"/>
        <w:spacing w:after="0"/>
        <w:rPr>
          <w:sz w:val="20"/>
          <w:szCs w:val="20"/>
          <w:color w:val="auto"/>
        </w:rPr>
      </w:pPr>
      <w:r>
        <w:rPr>
          <w:rFonts w:ascii="Arial" w:cs="Arial" w:eastAsia="Arial" w:hAnsi="Arial"/>
          <w:sz w:val="18"/>
          <w:szCs w:val="18"/>
          <w:color w:val="auto"/>
        </w:rPr>
        <w:t>(dollars 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13 Weeks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13 Weeks</w:t>
            </w:r>
          </w:p>
        </w:tc>
        <w:tc>
          <w:tcPr>
            <w:tcW w:w="1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52 Weeks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52 Weeks</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Ended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Ended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January 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February 1,</w:t>
            </w: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January 30,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February 1,</w:t>
            </w:r>
          </w:p>
        </w:tc>
        <w:tc>
          <w:tcPr>
            <w:tcW w:w="0" w:type="dxa"/>
            <w:vAlign w:val="bottom"/>
          </w:tcPr>
          <w:p>
            <w:pPr>
              <w:spacing w:after="0"/>
              <w:rPr>
                <w:sz w:val="1"/>
                <w:szCs w:val="1"/>
                <w:color w:val="auto"/>
              </w:rPr>
            </w:pPr>
          </w:p>
        </w:tc>
      </w:tr>
      <w:tr>
        <w:trPr>
          <w:trHeight w:val="234"/>
        </w:trPr>
        <w:tc>
          <w:tcPr>
            <w:tcW w:w="3980" w:type="dxa"/>
            <w:vAlign w:val="bottom"/>
            <w:vMerge w:val="restart"/>
          </w:tcPr>
          <w:p>
            <w:pPr>
              <w:spacing w:after="0"/>
              <w:rPr>
                <w:sz w:val="20"/>
                <w:szCs w:val="20"/>
                <w:color w:val="auto"/>
              </w:rPr>
            </w:pPr>
            <w:r>
              <w:rPr>
                <w:rFonts w:ascii="Arial" w:cs="Arial" w:eastAsia="Arial" w:hAnsi="Arial"/>
                <w:sz w:val="18"/>
                <w:szCs w:val="18"/>
                <w:color w:val="auto"/>
              </w:rPr>
              <w:t>Income (loss) before income taxes (pre-tax)</w:t>
            </w: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980" w:type="dxa"/>
            <w:vAlign w:val="bottom"/>
            <w:vMerge w:val="continue"/>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line="195" w:lineRule="exact"/>
              <w:rPr>
                <w:sz w:val="20"/>
                <w:szCs w:val="20"/>
                <w:color w:val="auto"/>
              </w:rPr>
            </w:pPr>
            <w:r>
              <w:rPr>
                <w:rFonts w:ascii="Arial" w:cs="Arial" w:eastAsia="Arial" w:hAnsi="Arial"/>
                <w:sz w:val="18"/>
                <w:szCs w:val="18"/>
                <w:color w:val="auto"/>
              </w:rPr>
              <w:t>10,791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line="195" w:lineRule="exact"/>
              <w:rPr>
                <w:sz w:val="20"/>
                <w:szCs w:val="20"/>
                <w:color w:val="auto"/>
              </w:rPr>
            </w:pPr>
            <w:r>
              <w:rPr>
                <w:rFonts w:ascii="Arial" w:cs="Arial" w:eastAsia="Arial" w:hAnsi="Arial"/>
                <w:sz w:val="18"/>
                <w:szCs w:val="18"/>
                <w:color w:val="auto"/>
              </w:rPr>
              <w:t>7,588</w:t>
            </w:r>
          </w:p>
        </w:tc>
        <w:tc>
          <w:tcPr>
            <w:tcW w:w="2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line="195" w:lineRule="exact"/>
              <w:rPr>
                <w:sz w:val="20"/>
                <w:szCs w:val="20"/>
                <w:color w:val="auto"/>
              </w:rPr>
            </w:pPr>
            <w:r>
              <w:rPr>
                <w:rFonts w:ascii="Arial" w:cs="Arial" w:eastAsia="Arial" w:hAnsi="Arial"/>
                <w:sz w:val="18"/>
                <w:szCs w:val="18"/>
                <w:color w:val="auto"/>
              </w:rPr>
              <w:t>(20,186)</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195" w:lineRule="exact"/>
              <w:rPr>
                <w:sz w:val="20"/>
                <w:szCs w:val="20"/>
                <w:color w:val="auto"/>
              </w:rPr>
            </w:pPr>
            <w:r>
              <w:rPr>
                <w:rFonts w:ascii="Arial" w:cs="Arial" w:eastAsia="Arial" w:hAnsi="Arial"/>
                <w:sz w:val="18"/>
                <w:szCs w:val="18"/>
                <w:color w:val="auto"/>
              </w:rPr>
              <w:t>1,561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80"/>
              <w:spacing w:after="0"/>
              <w:rPr>
                <w:sz w:val="20"/>
                <w:szCs w:val="20"/>
                <w:color w:val="auto"/>
              </w:rPr>
            </w:pPr>
            <w:r>
              <w:rPr>
                <w:rFonts w:ascii="Arial" w:cs="Arial" w:eastAsia="Arial" w:hAnsi="Arial"/>
                <w:sz w:val="18"/>
                <w:szCs w:val="18"/>
                <w:color w:val="auto"/>
              </w:rPr>
              <w:t>Income (loss) before income tax adjustments: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340"/>
              <w:spacing w:after="0" w:line="216" w:lineRule="exact"/>
              <w:rPr>
                <w:sz w:val="20"/>
                <w:szCs w:val="20"/>
                <w:color w:val="auto"/>
              </w:rPr>
            </w:pPr>
            <w:r>
              <w:rPr>
                <w:rFonts w:ascii="Arial" w:cs="Arial" w:eastAsia="Arial" w:hAnsi="Arial"/>
                <w:sz w:val="16"/>
                <w:szCs w:val="16"/>
                <w:color w:val="auto"/>
              </w:rPr>
              <w:t xml:space="preserve">United Kingdom Lockdown Business Grants </w:t>
            </w:r>
            <w:r>
              <w:rPr>
                <w:rFonts w:ascii="Arial" w:cs="Arial" w:eastAsia="Arial" w:hAnsi="Arial"/>
                <w:sz w:val="25"/>
                <w:szCs w:val="25"/>
                <w:color w:val="auto"/>
                <w:vertAlign w:val="superscript"/>
              </w:rPr>
              <w:t>(1)</w:t>
            </w:r>
          </w:p>
        </w:tc>
        <w:tc>
          <w:tcPr>
            <w:tcW w:w="120" w:type="dxa"/>
            <w:vAlign w:val="bottom"/>
          </w:tcPr>
          <w:p>
            <w:pPr>
              <w:spacing w:after="0"/>
              <w:rPr>
                <w:sz w:val="18"/>
                <w:szCs w:val="18"/>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(756)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(756)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tcPr>
          <w:p>
            <w:pPr>
              <w:ind w:left="340"/>
              <w:spacing w:after="0" w:line="216" w:lineRule="exact"/>
              <w:rPr>
                <w:sz w:val="20"/>
                <w:szCs w:val="20"/>
                <w:color w:val="auto"/>
              </w:rPr>
            </w:pPr>
            <w:r>
              <w:rPr>
                <w:rFonts w:ascii="Arial" w:cs="Arial" w:eastAsia="Arial" w:hAnsi="Arial"/>
                <w:sz w:val="16"/>
                <w:szCs w:val="16"/>
                <w:color w:val="auto"/>
              </w:rPr>
              <w:t xml:space="preserve">COVID-19 activity </w:t>
            </w:r>
            <w:r>
              <w:rPr>
                <w:rFonts w:ascii="Arial" w:cs="Arial" w:eastAsia="Arial" w:hAnsi="Arial"/>
                <w:sz w:val="25"/>
                <w:szCs w:val="25"/>
                <w:color w:val="auto"/>
                <w:vertAlign w:val="superscript"/>
              </w:rPr>
              <w:t>(2)</w:t>
            </w: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142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tcPr>
          <w:p>
            <w:pPr>
              <w:ind w:left="340"/>
              <w:spacing w:after="0"/>
              <w:rPr>
                <w:sz w:val="20"/>
                <w:szCs w:val="20"/>
                <w:color w:val="auto"/>
              </w:rPr>
            </w:pPr>
            <w:r>
              <w:rPr>
                <w:rFonts w:ascii="Arial" w:cs="Arial" w:eastAsia="Arial" w:hAnsi="Arial"/>
                <w:sz w:val="18"/>
                <w:szCs w:val="18"/>
                <w:color w:val="auto"/>
              </w:rPr>
              <w:t>Ohio Bureau of Workers' Compensation</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340"/>
              <w:spacing w:after="0" w:line="216" w:lineRule="exact"/>
              <w:rPr>
                <w:sz w:val="20"/>
                <w:szCs w:val="20"/>
                <w:color w:val="auto"/>
              </w:rPr>
            </w:pPr>
            <w:r>
              <w:rPr>
                <w:rFonts w:ascii="Arial" w:cs="Arial" w:eastAsia="Arial" w:hAnsi="Arial"/>
                <w:sz w:val="16"/>
                <w:szCs w:val="16"/>
                <w:color w:val="auto"/>
              </w:rPr>
              <w:t xml:space="preserve">dividend </w:t>
            </w:r>
            <w:r>
              <w:rPr>
                <w:rFonts w:ascii="Arial" w:cs="Arial" w:eastAsia="Arial" w:hAnsi="Arial"/>
                <w:sz w:val="25"/>
                <w:szCs w:val="25"/>
                <w:color w:val="auto"/>
                <w:vertAlign w:val="superscript"/>
              </w:rPr>
              <w:t>(3)</w:t>
            </w:r>
          </w:p>
        </w:tc>
        <w:tc>
          <w:tcPr>
            <w:tcW w:w="120" w:type="dxa"/>
            <w:vAlign w:val="bottom"/>
          </w:tcPr>
          <w:p>
            <w:pPr>
              <w:spacing w:after="0"/>
              <w:rPr>
                <w:sz w:val="18"/>
                <w:szCs w:val="18"/>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(332)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(332)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3980" w:type="dxa"/>
            <w:vAlign w:val="bottom"/>
          </w:tcPr>
          <w:p>
            <w:pPr>
              <w:ind w:left="340"/>
              <w:spacing w:after="0" w:line="220" w:lineRule="exact"/>
              <w:rPr>
                <w:sz w:val="20"/>
                <w:szCs w:val="20"/>
                <w:color w:val="auto"/>
              </w:rPr>
            </w:pPr>
            <w:r>
              <w:rPr>
                <w:rFonts w:ascii="Arial" w:cs="Arial" w:eastAsia="Arial" w:hAnsi="Arial"/>
                <w:sz w:val="16"/>
                <w:szCs w:val="16"/>
                <w:color w:val="auto"/>
              </w:rPr>
              <w:t xml:space="preserve">Impairment, bad debt, and lease modification </w:t>
            </w:r>
            <w:r>
              <w:rPr>
                <w:rFonts w:ascii="Arial" w:cs="Arial" w:eastAsia="Arial" w:hAnsi="Arial"/>
                <w:sz w:val="25"/>
                <w:szCs w:val="25"/>
                <w:color w:val="auto"/>
                <w:vertAlign w:val="superscript"/>
              </w:rPr>
              <w:t>(4)</w:t>
            </w:r>
          </w:p>
        </w:tc>
        <w:tc>
          <w:tcPr>
            <w:tcW w:w="120" w:type="dxa"/>
            <w:vAlign w:val="bottom"/>
          </w:tcPr>
          <w:p>
            <w:pPr>
              <w:spacing w:after="0"/>
              <w:rPr>
                <w:sz w:val="19"/>
                <w:szCs w:val="19"/>
                <w:color w:val="auto"/>
              </w:rPr>
            </w:pPr>
          </w:p>
        </w:tc>
        <w:tc>
          <w:tcPr>
            <w:tcW w:w="11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19"/>
                <w:szCs w:val="19"/>
                <w:color w:val="auto"/>
              </w:rPr>
            </w:pPr>
          </w:p>
        </w:tc>
        <w:tc>
          <w:tcPr>
            <w:tcW w:w="12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7,956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172"/>
        </w:trPr>
        <w:tc>
          <w:tcPr>
            <w:tcW w:w="3980" w:type="dxa"/>
            <w:vAlign w:val="bottom"/>
          </w:tcPr>
          <w:p>
            <w:pPr>
              <w:ind w:left="340"/>
              <w:spacing w:after="0"/>
              <w:rPr>
                <w:sz w:val="20"/>
                <w:szCs w:val="20"/>
                <w:color w:val="auto"/>
              </w:rPr>
            </w:pPr>
            <w:r>
              <w:rPr>
                <w:rFonts w:ascii="Arial" w:cs="Arial" w:eastAsia="Arial" w:hAnsi="Arial"/>
                <w:sz w:val="15"/>
                <w:szCs w:val="15"/>
                <w:color w:val="auto"/>
              </w:rPr>
              <w:t>(5)</w:t>
            </w: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340"/>
              <w:spacing w:after="0" w:line="216" w:lineRule="exact"/>
              <w:rPr>
                <w:sz w:val="20"/>
                <w:szCs w:val="20"/>
                <w:color w:val="auto"/>
              </w:rPr>
            </w:pPr>
            <w:r>
              <w:rPr>
                <w:rFonts w:ascii="Arial" w:cs="Arial" w:eastAsia="Arial" w:hAnsi="Arial"/>
                <w:sz w:val="16"/>
                <w:szCs w:val="16"/>
                <w:color w:val="auto"/>
              </w:rPr>
              <w:t xml:space="preserve">Foreign exchange (gains) losses </w:t>
            </w:r>
            <w:r>
              <w:rPr>
                <w:rFonts w:ascii="Arial" w:cs="Arial" w:eastAsia="Arial" w:hAnsi="Arial"/>
                <w:sz w:val="25"/>
                <w:szCs w:val="25"/>
                <w:color w:val="auto"/>
                <w:vertAlign w:val="superscript"/>
              </w:rPr>
              <w:t>(6)</w:t>
            </w:r>
          </w:p>
        </w:tc>
        <w:tc>
          <w:tcPr>
            <w:tcW w:w="120" w:type="dxa"/>
            <w:vAlign w:val="bottom"/>
          </w:tcPr>
          <w:p>
            <w:pPr>
              <w:spacing w:after="0"/>
              <w:rPr>
                <w:sz w:val="18"/>
                <w:szCs w:val="18"/>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(798)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(601)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3980" w:type="dxa"/>
            <w:vAlign w:val="bottom"/>
          </w:tcPr>
          <w:p>
            <w:pPr>
              <w:ind w:left="340"/>
              <w:spacing w:after="0" w:line="230"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6"/>
                <w:szCs w:val="26"/>
                <w:color w:val="auto"/>
                <w:vertAlign w:val="superscript"/>
              </w:rPr>
              <w:t>(7)</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336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Arial" w:cs="Arial" w:eastAsia="Arial" w:hAnsi="Arial"/>
                <w:sz w:val="18"/>
                <w:szCs w:val="18"/>
                <w:color w:val="auto"/>
                <w:w w:val="92"/>
              </w:rPr>
              <w:t>Adjusted income (loss) before income taxes (adjusted</w:t>
            </w: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9,265</w:t>
            </w:r>
          </w:p>
        </w:tc>
        <w:tc>
          <w:tcPr>
            <w:tcW w:w="2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7,285</w:t>
            </w:r>
          </w:p>
        </w:tc>
        <w:tc>
          <w:tcPr>
            <w:tcW w:w="120" w:type="dxa"/>
            <w:vAlign w:val="bottom"/>
          </w:tcPr>
          <w:p>
            <w:pPr>
              <w:spacing w:after="0"/>
              <w:rPr>
                <w:sz w:val="16"/>
                <w:szCs w:val="16"/>
                <w:color w:val="auto"/>
              </w:rPr>
            </w:pPr>
          </w:p>
        </w:tc>
        <w:tc>
          <w:tcPr>
            <w:tcW w:w="12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(13,441)</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17"/>
        </w:trPr>
        <w:tc>
          <w:tcPr>
            <w:tcW w:w="3980" w:type="dxa"/>
            <w:vAlign w:val="bottom"/>
          </w:tcPr>
          <w:p>
            <w:pPr>
              <w:spacing w:after="0"/>
              <w:rPr>
                <w:sz w:val="20"/>
                <w:szCs w:val="20"/>
                <w:color w:val="auto"/>
              </w:rPr>
            </w:pPr>
            <w:r>
              <w:rPr>
                <w:rFonts w:ascii="Arial" w:cs="Arial" w:eastAsia="Arial" w:hAnsi="Arial"/>
                <w:sz w:val="18"/>
                <w:szCs w:val="18"/>
                <w:color w:val="auto"/>
              </w:rPr>
              <w:t>pre-tax)</w:t>
            </w:r>
          </w:p>
        </w:tc>
        <w:tc>
          <w:tcPr>
            <w:tcW w:w="1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7"/>
        </w:trPr>
        <w:tc>
          <w:tcPr>
            <w:tcW w:w="39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20" w:type="dxa"/>
            <w:vAlign w:val="bottom"/>
          </w:tcPr>
          <w:p>
            <w:pPr>
              <w:spacing w:after="0"/>
              <w:rPr>
                <w:sz w:val="24"/>
                <w:szCs w:val="24"/>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(1,426)</w:t>
            </w:r>
          </w:p>
        </w:tc>
        <w:tc>
          <w:tcPr>
            <w:tcW w:w="120" w:type="dxa"/>
            <w:vAlign w:val="bottom"/>
          </w:tcPr>
          <w:p>
            <w:pPr>
              <w:spacing w:after="0"/>
              <w:rPr>
                <w:sz w:val="24"/>
                <w:szCs w:val="2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(2,797)</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16"/>
        </w:trPr>
        <w:tc>
          <w:tcPr>
            <w:tcW w:w="3980" w:type="dxa"/>
            <w:vAlign w:val="bottom"/>
          </w:tcPr>
          <w:p>
            <w:pPr>
              <w:ind w:left="180"/>
              <w:spacing w:after="0"/>
              <w:rPr>
                <w:sz w:val="20"/>
                <w:szCs w:val="20"/>
                <w:color w:val="auto"/>
              </w:rPr>
            </w:pPr>
            <w:r>
              <w:rPr>
                <w:rFonts w:ascii="Arial" w:cs="Arial" w:eastAsia="Arial" w:hAnsi="Arial"/>
                <w:sz w:val="18"/>
                <w:szCs w:val="18"/>
                <w:color w:val="auto"/>
              </w:rPr>
              <w:t>Tax adjustments: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340"/>
              <w:spacing w:after="0" w:line="216" w:lineRule="exact"/>
              <w:rPr>
                <w:sz w:val="20"/>
                <w:szCs w:val="20"/>
                <w:color w:val="auto"/>
              </w:rPr>
            </w:pPr>
            <w:r>
              <w:rPr>
                <w:rFonts w:ascii="Arial" w:cs="Arial" w:eastAsia="Arial" w:hAnsi="Arial"/>
                <w:sz w:val="16"/>
                <w:szCs w:val="16"/>
                <w:color w:val="auto"/>
              </w:rPr>
              <w:t xml:space="preserve">Income tax impact: adjustments </w:t>
            </w:r>
            <w:r>
              <w:rPr>
                <w:rFonts w:ascii="Arial" w:cs="Arial" w:eastAsia="Arial" w:hAnsi="Arial"/>
                <w:sz w:val="25"/>
                <w:szCs w:val="25"/>
                <w:color w:val="auto"/>
                <w:vertAlign w:val="superscript"/>
              </w:rPr>
              <w:t>(8)(9)</w:t>
            </w: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3980" w:type="dxa"/>
            <w:vAlign w:val="bottom"/>
          </w:tcPr>
          <w:p>
            <w:pPr>
              <w:ind w:left="340"/>
              <w:spacing w:after="0" w:line="216" w:lineRule="exact"/>
              <w:rPr>
                <w:sz w:val="20"/>
                <w:szCs w:val="20"/>
                <w:color w:val="auto"/>
              </w:rPr>
            </w:pPr>
            <w:r>
              <w:rPr>
                <w:rFonts w:ascii="Arial" w:cs="Arial" w:eastAsia="Arial" w:hAnsi="Arial"/>
                <w:sz w:val="16"/>
                <w:szCs w:val="16"/>
                <w:color w:val="auto"/>
              </w:rPr>
              <w:t xml:space="preserve">Income tax impact: CARES Act </w:t>
            </w:r>
            <w:r>
              <w:rPr>
                <w:rFonts w:ascii="Arial" w:cs="Arial" w:eastAsia="Arial" w:hAnsi="Arial"/>
                <w:sz w:val="25"/>
                <w:szCs w:val="25"/>
                <w:color w:val="auto"/>
                <w:vertAlign w:val="superscript"/>
              </w:rPr>
              <w:t>(10)</w:t>
            </w: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(773)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80" w:type="dxa"/>
            <w:vAlign w:val="bottom"/>
          </w:tcPr>
          <w:p>
            <w:pPr>
              <w:ind w:left="340"/>
              <w:spacing w:after="0" w:line="230" w:lineRule="exact"/>
              <w:rPr>
                <w:sz w:val="20"/>
                <w:szCs w:val="20"/>
                <w:color w:val="auto"/>
              </w:rPr>
            </w:pPr>
            <w:r>
              <w:rPr>
                <w:rFonts w:ascii="Arial" w:cs="Arial" w:eastAsia="Arial" w:hAnsi="Arial"/>
                <w:sz w:val="16"/>
                <w:szCs w:val="16"/>
                <w:color w:val="auto"/>
              </w:rPr>
              <w:t xml:space="preserve">Valuation allowance </w:t>
            </w:r>
            <w:r>
              <w:rPr>
                <w:rFonts w:ascii="Arial" w:cs="Arial" w:eastAsia="Arial" w:hAnsi="Arial"/>
                <w:sz w:val="26"/>
                <w:szCs w:val="26"/>
                <w:color w:val="auto"/>
                <w:vertAlign w:val="superscript"/>
              </w:rPr>
              <w:t>(11)</w:t>
            </w:r>
          </w:p>
        </w:tc>
        <w:tc>
          <w:tcPr>
            <w:tcW w:w="12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3,272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09"/>
        </w:trPr>
        <w:tc>
          <w:tcPr>
            <w:tcW w:w="3980" w:type="dxa"/>
            <w:vAlign w:val="bottom"/>
          </w:tcPr>
          <w:p>
            <w:pPr>
              <w:spacing w:after="0"/>
              <w:rPr>
                <w:sz w:val="20"/>
                <w:szCs w:val="20"/>
                <w:color w:val="auto"/>
              </w:rPr>
            </w:pPr>
            <w:r>
              <w:rPr>
                <w:rFonts w:ascii="Arial" w:cs="Arial" w:eastAsia="Arial" w:hAnsi="Arial"/>
                <w:sz w:val="18"/>
                <w:szCs w:val="18"/>
                <w:color w:val="auto"/>
              </w:rPr>
              <w:t>Adjusted income tax (expense) benefit</w:t>
            </w: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(1,362)</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3980" w:type="dxa"/>
            <w:vAlign w:val="bottom"/>
          </w:tcPr>
          <w:p>
            <w:pPr>
              <w:spacing w:after="0"/>
              <w:rPr>
                <w:sz w:val="20"/>
                <w:szCs w:val="20"/>
                <w:color w:val="auto"/>
              </w:rPr>
            </w:pPr>
            <w:r>
              <w:rPr>
                <w:rFonts w:ascii="Arial" w:cs="Arial" w:eastAsia="Arial" w:hAnsi="Arial"/>
                <w:sz w:val="18"/>
                <w:szCs w:val="18"/>
                <w:color w:val="auto"/>
              </w:rPr>
              <w:t>Net (loss) income</w:t>
            </w:r>
          </w:p>
        </w:tc>
        <w:tc>
          <w:tcPr>
            <w:tcW w:w="120" w:type="dxa"/>
            <w:vAlign w:val="bottom"/>
          </w:tcPr>
          <w:p>
            <w:pPr>
              <w:spacing w:after="0"/>
              <w:rPr>
                <w:sz w:val="24"/>
                <w:szCs w:val="24"/>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10,470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6,162</w:t>
            </w:r>
          </w:p>
        </w:tc>
        <w:tc>
          <w:tcPr>
            <w:tcW w:w="120" w:type="dxa"/>
            <w:vAlign w:val="bottom"/>
          </w:tcPr>
          <w:p>
            <w:pPr>
              <w:spacing w:after="0"/>
              <w:rPr>
                <w:sz w:val="24"/>
                <w:szCs w:val="2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(22,983)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30"/>
        </w:trPr>
        <w:tc>
          <w:tcPr>
            <w:tcW w:w="3980" w:type="dxa"/>
            <w:vAlign w:val="bottom"/>
          </w:tcPr>
          <w:p>
            <w:pPr>
              <w:ind w:left="180"/>
              <w:spacing w:after="0"/>
              <w:rPr>
                <w:sz w:val="20"/>
                <w:szCs w:val="20"/>
                <w:color w:val="auto"/>
              </w:rPr>
            </w:pPr>
            <w:r>
              <w:rPr>
                <w:rFonts w:ascii="Arial" w:cs="Arial" w:eastAsia="Arial" w:hAnsi="Arial"/>
                <w:sz w:val="18"/>
                <w:szCs w:val="18"/>
                <w:color w:val="auto"/>
              </w:rPr>
              <w:t>Adjustments</w:t>
            </w:r>
          </w:p>
        </w:tc>
        <w:tc>
          <w:tcPr>
            <w:tcW w:w="120" w:type="dxa"/>
            <w:vAlign w:val="bottom"/>
          </w:tcPr>
          <w:p>
            <w:pPr>
              <w:spacing w:after="0"/>
              <w:rPr>
                <w:sz w:val="20"/>
                <w:szCs w:val="20"/>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(1,526)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9,244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3980" w:type="dxa"/>
            <w:vAlign w:val="bottom"/>
          </w:tcPr>
          <w:p>
            <w:pPr>
              <w:spacing w:after="0"/>
              <w:rPr>
                <w:sz w:val="20"/>
                <w:szCs w:val="20"/>
                <w:color w:val="auto"/>
              </w:rPr>
            </w:pPr>
            <w:r>
              <w:rPr>
                <w:rFonts w:ascii="Arial" w:cs="Arial" w:eastAsia="Arial" w:hAnsi="Arial"/>
                <w:sz w:val="18"/>
                <w:szCs w:val="18"/>
                <w:color w:val="auto"/>
              </w:rPr>
              <w:t>Adjusted net (loss)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8,944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5,923</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(13,739)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980" w:type="dxa"/>
            <w:vAlign w:val="bottom"/>
          </w:tcPr>
          <w:p>
            <w:pPr>
              <w:spacing w:after="0"/>
              <w:rPr>
                <w:sz w:val="20"/>
                <w:szCs w:val="20"/>
                <w:color w:val="auto"/>
              </w:rPr>
            </w:pPr>
            <w:r>
              <w:rPr>
                <w:rFonts w:ascii="Arial" w:cs="Arial" w:eastAsia="Arial" w:hAnsi="Arial"/>
                <w:sz w:val="18"/>
                <w:szCs w:val="18"/>
                <w:color w:val="auto"/>
              </w:rPr>
              <w:t>Net (loss) income per diluted share (EPS)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0.42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(1.54)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418"/>
        </w:trPr>
        <w:tc>
          <w:tcPr>
            <w:tcW w:w="3980" w:type="dxa"/>
            <w:vAlign w:val="bottom"/>
          </w:tcPr>
          <w:p>
            <w:pPr>
              <w:spacing w:after="0"/>
              <w:rPr>
                <w:sz w:val="20"/>
                <w:szCs w:val="20"/>
                <w:color w:val="auto"/>
              </w:rPr>
            </w:pPr>
            <w:r>
              <w:rPr>
                <w:rFonts w:ascii="Arial" w:cs="Arial" w:eastAsia="Arial" w:hAnsi="Arial"/>
                <w:sz w:val="18"/>
                <w:szCs w:val="18"/>
                <w:color w:val="auto"/>
              </w:rPr>
              <w:t>Adjusted net (loss) income per diluted share</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(adjusted EPS)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0.40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(0.92)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418"/>
        </w:trPr>
        <w:tc>
          <w:tcPr>
            <w:tcW w:w="5320" w:type="dxa"/>
            <w:vAlign w:val="bottom"/>
            <w:gridSpan w:val="5"/>
          </w:tcPr>
          <w:p>
            <w:pPr>
              <w:ind w:left="280"/>
              <w:spacing w:after="0"/>
              <w:rPr>
                <w:sz w:val="20"/>
                <w:szCs w:val="20"/>
                <w:color w:val="auto"/>
              </w:rPr>
            </w:pPr>
            <w:r>
              <w:rPr>
                <w:rFonts w:ascii="Arial" w:cs="Arial" w:eastAsia="Arial" w:hAnsi="Arial"/>
                <w:sz w:val="18"/>
                <w:szCs w:val="18"/>
                <w:b w:val="1"/>
                <w:bCs w:val="1"/>
                <w:color w:val="auto"/>
              </w:rPr>
              <w:t>Fiscal 2023 forecast reconciliation of Non-GAAP figure</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1680"/>
              <w:spacing w:after="0"/>
              <w:rPr>
                <w:sz w:val="20"/>
                <w:szCs w:val="20"/>
                <w:color w:val="auto"/>
              </w:rPr>
            </w:pPr>
            <w:r>
              <w:rPr>
                <w:rFonts w:ascii="Arial" w:cs="Arial" w:eastAsia="Arial" w:hAnsi="Arial"/>
                <w:sz w:val="18"/>
                <w:szCs w:val="18"/>
                <w:color w:val="auto"/>
              </w:rPr>
              <w:t>(dollars in millions)</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980" w:type="dxa"/>
            <w:vAlign w:val="bottom"/>
          </w:tcPr>
          <w:p>
            <w:pPr>
              <w:spacing w:after="0"/>
              <w:rPr>
                <w:sz w:val="20"/>
                <w:szCs w:val="20"/>
                <w:color w:val="auto"/>
              </w:rPr>
            </w:pPr>
            <w:r>
              <w:rPr>
                <w:rFonts w:ascii="Arial" w:cs="Arial" w:eastAsia="Arial" w:hAnsi="Arial"/>
                <w:sz w:val="18"/>
                <w:szCs w:val="18"/>
                <w:color w:val="auto"/>
              </w:rPr>
              <w:t>Income before before income taxes (pre-tax)</w:t>
            </w:r>
          </w:p>
        </w:tc>
        <w:tc>
          <w:tcPr>
            <w:tcW w:w="120" w:type="dxa"/>
            <w:vAlign w:val="bottom"/>
          </w:tcPr>
          <w:p>
            <w:pPr>
              <w:spacing w:after="0"/>
              <w:rPr>
                <w:sz w:val="24"/>
                <w:szCs w:val="24"/>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$7 - $17</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340"/>
              <w:spacing w:after="0"/>
              <w:rPr>
                <w:sz w:val="20"/>
                <w:szCs w:val="20"/>
                <w:color w:val="auto"/>
              </w:rPr>
            </w:pPr>
            <w:r>
              <w:rPr>
                <w:rFonts w:ascii="Arial" w:cs="Arial" w:eastAsia="Arial" w:hAnsi="Arial"/>
                <w:sz w:val="18"/>
                <w:szCs w:val="18"/>
                <w:color w:val="auto"/>
              </w:rPr>
              <w:t>Interest</w:t>
            </w: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980" w:type="dxa"/>
            <w:vAlign w:val="bottom"/>
          </w:tcPr>
          <w:p>
            <w:pPr>
              <w:spacing w:after="0" w:line="195" w:lineRule="exact"/>
              <w:rPr>
                <w:sz w:val="20"/>
                <w:szCs w:val="20"/>
                <w:color w:val="auto"/>
              </w:rPr>
            </w:pPr>
            <w:r>
              <w:rPr>
                <w:rFonts w:ascii="Arial" w:cs="Arial" w:eastAsia="Arial" w:hAnsi="Arial"/>
                <w:sz w:val="18"/>
                <w:szCs w:val="18"/>
                <w:color w:val="auto"/>
              </w:rPr>
              <w:t>Earnings before interest, taxes, depreciation and</w:t>
            </w:r>
          </w:p>
        </w:tc>
        <w:tc>
          <w:tcPr>
            <w:tcW w:w="120" w:type="dxa"/>
            <w:vAlign w:val="bottom"/>
          </w:tcPr>
          <w:p>
            <w:pPr>
              <w:spacing w:after="0"/>
              <w:rPr>
                <w:sz w:val="16"/>
                <w:szCs w:val="16"/>
                <w:color w:val="auto"/>
              </w:rPr>
            </w:pPr>
          </w:p>
        </w:tc>
        <w:tc>
          <w:tcPr>
            <w:tcW w:w="11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$20 - $30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980" w:type="dxa"/>
            <w:vAlign w:val="bottom"/>
          </w:tcPr>
          <w:p>
            <w:pPr>
              <w:spacing w:after="0" w:line="190" w:lineRule="exact"/>
              <w:rPr>
                <w:sz w:val="20"/>
                <w:szCs w:val="20"/>
                <w:color w:val="auto"/>
              </w:rPr>
            </w:pPr>
            <w:r>
              <w:rPr>
                <w:rFonts w:ascii="Arial" w:cs="Arial" w:eastAsia="Arial" w:hAnsi="Arial"/>
                <w:sz w:val="18"/>
                <w:szCs w:val="18"/>
                <w:color w:val="auto"/>
              </w:rPr>
              <w:t>amortization (EBITDA)</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20" w:hanging="332"/>
        <w:spacing w:after="0" w:line="291"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the business grants received from the United Kingdom government for business in the retail, hospitality and leisure sectors. These grants were provided on a per-property basis to support businesses through the latest lockdown restrictions as a result of the COVID-19 pandemic.</w:t>
      </w: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COVID-19 related expenses at our stores, warehouse, and headquarters.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 a dividend distribution received from the Ohio Bureau of Workers' Compensation in the fourth quarter.</w:t>
      </w:r>
    </w:p>
    <w:p>
      <w:pPr>
        <w:spacing w:after="0" w:line="9" w:lineRule="exact"/>
        <w:rPr>
          <w:rFonts w:ascii="Arial" w:cs="Arial" w:eastAsia="Arial" w:hAnsi="Arial"/>
          <w:sz w:val="18"/>
          <w:szCs w:val="18"/>
          <w:color w:val="auto"/>
        </w:rPr>
      </w:pPr>
    </w:p>
    <w:p>
      <w:pPr>
        <w:ind w:left="340" w:right="16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non-cash adjustments including asset impairment charges related to store fixed assets and right-of-use operating lease assets and bad debt expense in the 13 and 52 weeks ending January 30, 2021 and February 1, 2020.</w:t>
      </w:r>
    </w:p>
    <w:p>
      <w:pPr>
        <w:ind w:left="34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the lease modification impacts of exercising early termination options in leases offset by non-cash impairment charges related to store fixed assets, receivables, and inventory in the 13 and 52 weeks ended February 1, 2020</w:t>
      </w:r>
    </w:p>
    <w:p>
      <w:pPr>
        <w:jc w:val="both"/>
        <w:ind w:left="340" w:right="26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the consolidated impact of foreign exchange rates on the re-measurement of balance sheet items not denominated in functional currency recorded under the provisions of U.S. GAAP. This does not include any impact on margin associated with the translation of revenues or the foreign subsidiaries' purchase of inventory in U.S. dollars.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severance and other non-recurring changes in reserves and charges.</w:t>
      </w:r>
    </w:p>
    <w:p>
      <w:pPr>
        <w:spacing w:after="0" w:line="9" w:lineRule="exact"/>
        <w:rPr>
          <w:rFonts w:ascii="Arial" w:cs="Arial" w:eastAsia="Arial" w:hAnsi="Arial"/>
          <w:sz w:val="18"/>
          <w:szCs w:val="18"/>
          <w:color w:val="auto"/>
        </w:rPr>
      </w:pPr>
    </w:p>
    <w:p>
      <w:pPr>
        <w:ind w:left="340" w:right="24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a result of the Company's full, global valuation allowance, the Company cannot realize an income tax benefit on these adjustments for the fourth quarter or full year fiscal 2020.</w:t>
      </w: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the aggregate tax impact of the pre-tax adjustments for the fourth quarter and full year fiscal 2019.</w:t>
      </w:r>
    </w:p>
    <w:p>
      <w:pPr>
        <w:spacing w:after="0" w:line="9" w:lineRule="exact"/>
        <w:rPr>
          <w:rFonts w:ascii="Arial" w:cs="Arial" w:eastAsia="Arial" w:hAnsi="Arial"/>
          <w:sz w:val="18"/>
          <w:szCs w:val="18"/>
          <w:color w:val="auto"/>
        </w:rPr>
      </w:pPr>
    </w:p>
    <w:p>
      <w:pPr>
        <w:ind w:left="340" w:right="38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the impact of the technical correction related to qualified leasehold improvements resulting from the CARES Act occurring in the first quarter of fiscal 2020</w:t>
      </w:r>
    </w:p>
    <w:p>
      <w:pPr>
        <w:ind w:left="340" w:right="80" w:hanging="332"/>
        <w:spacing w:after="0" w:line="26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the valuation allowance recorded on its net deferred tax assets in North America in the first quarter of fiscal 2020 and the United Kingdom in the fourth quarter of fiscal 2019.</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65"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960" w:type="dxa"/>
            <w:vAlign w:val="bottom"/>
            <w:gridSpan w:val="2"/>
          </w:tcPr>
          <w:p>
            <w:pPr>
              <w:spacing w:after="0"/>
              <w:rPr>
                <w:sz w:val="20"/>
                <w:szCs w:val="20"/>
                <w:color w:val="auto"/>
              </w:rPr>
            </w:pPr>
            <w:r>
              <w:rPr>
                <w:rFonts w:ascii="Arial" w:cs="Arial" w:eastAsia="Arial" w:hAnsi="Arial"/>
                <w:sz w:val="18"/>
                <w:szCs w:val="18"/>
                <w:color w:val="auto"/>
              </w:rPr>
              <w:t>Item 9.01</w:t>
            </w:r>
          </w:p>
        </w:tc>
        <w:tc>
          <w:tcPr>
            <w:tcW w:w="120" w:type="dxa"/>
            <w:vAlign w:val="bottom"/>
          </w:tcPr>
          <w:p>
            <w:pPr>
              <w:spacing w:after="0"/>
              <w:rPr>
                <w:sz w:val="17"/>
                <w:szCs w:val="17"/>
                <w:color w:val="auto"/>
              </w:rPr>
            </w:pPr>
          </w:p>
        </w:tc>
        <w:tc>
          <w:tcPr>
            <w:tcW w:w="6520" w:type="dxa"/>
            <w:vAlign w:val="bottom"/>
            <w:gridSpan w:val="3"/>
          </w:tcPr>
          <w:p>
            <w:pPr>
              <w:ind w:left="60"/>
              <w:spacing w:after="0"/>
              <w:rPr>
                <w:sz w:val="20"/>
                <w:szCs w:val="20"/>
                <w:color w:val="auto"/>
              </w:rPr>
            </w:pPr>
            <w:r>
              <w:rPr>
                <w:rFonts w:ascii="Arial" w:cs="Arial" w:eastAsia="Arial" w:hAnsi="Arial"/>
                <w:sz w:val="18"/>
                <w:szCs w:val="18"/>
                <w:color w:val="auto"/>
              </w:rPr>
              <w:t>Financial Statements and Exhibits.</w:t>
            </w:r>
          </w:p>
        </w:tc>
      </w:tr>
      <w:tr>
        <w:trPr>
          <w:trHeight w:val="453"/>
        </w:trPr>
        <w:tc>
          <w:tcPr>
            <w:tcW w:w="9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 Exhibits</w:t>
            </w:r>
          </w:p>
        </w:tc>
        <w:tc>
          <w:tcPr>
            <w:tcW w:w="12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960" w:type="dxa"/>
            <w:vAlign w:val="bottom"/>
          </w:tcPr>
          <w:p>
            <w:pPr>
              <w:spacing w:after="0"/>
              <w:rPr>
                <w:sz w:val="24"/>
                <w:szCs w:val="24"/>
                <w:color w:val="auto"/>
              </w:rPr>
            </w:pPr>
          </w:p>
        </w:tc>
      </w:tr>
      <w:tr>
        <w:trPr>
          <w:trHeight w:val="392"/>
        </w:trPr>
        <w:tc>
          <w:tcPr>
            <w:tcW w:w="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196"/>
        </w:trPr>
        <w:tc>
          <w:tcPr>
            <w:tcW w:w="600" w:type="dxa"/>
            <w:vAlign w:val="bottom"/>
          </w:tcPr>
          <w:p>
            <w:pPr>
              <w:spacing w:after="0" w:line="196" w:lineRule="exact"/>
              <w:rPr>
                <w:sz w:val="20"/>
                <w:szCs w:val="20"/>
                <w:color w:val="auto"/>
              </w:rPr>
            </w:pPr>
            <w:r>
              <w:rPr>
                <w:rFonts w:ascii="Arial" w:cs="Arial" w:eastAsia="Arial" w:hAnsi="Arial"/>
                <w:sz w:val="18"/>
                <w:szCs w:val="18"/>
                <w:color w:val="auto"/>
                <w:w w:val="87"/>
              </w:rPr>
              <w:t>Number</w:t>
            </w:r>
          </w:p>
        </w:tc>
        <w:tc>
          <w:tcPr>
            <w:tcW w:w="360" w:type="dxa"/>
            <w:vAlign w:val="bottom"/>
          </w:tcPr>
          <w:p>
            <w:pPr>
              <w:spacing w:after="0"/>
              <w:rPr>
                <w:sz w:val="17"/>
                <w:szCs w:val="17"/>
                <w:color w:val="auto"/>
              </w:rPr>
            </w:pPr>
          </w:p>
        </w:tc>
        <w:tc>
          <w:tcPr>
            <w:tcW w:w="6640" w:type="dxa"/>
            <w:vAlign w:val="bottom"/>
            <w:gridSpan w:val="4"/>
          </w:tcPr>
          <w:p>
            <w:pPr>
              <w:ind w:left="120"/>
              <w:spacing w:after="0" w:line="196" w:lineRule="exact"/>
              <w:rPr>
                <w:sz w:val="20"/>
                <w:szCs w:val="20"/>
                <w:color w:val="auto"/>
              </w:rPr>
            </w:pPr>
            <w:r>
              <w:rPr>
                <w:rFonts w:ascii="Arial" w:cs="Arial" w:eastAsia="Arial" w:hAnsi="Arial"/>
                <w:sz w:val="18"/>
                <w:szCs w:val="18"/>
                <w:color w:val="auto"/>
              </w:rPr>
              <w:t>Description of Exhibit</w:t>
            </w:r>
          </w:p>
        </w:tc>
      </w:tr>
      <w:tr>
        <w:trPr>
          <w:trHeight w:val="20"/>
        </w:trPr>
        <w:tc>
          <w:tcPr>
            <w:tcW w:w="60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r>
      <w:tr>
        <w:trPr>
          <w:trHeight w:val="453"/>
        </w:trPr>
        <w:tc>
          <w:tcPr>
            <w:tcW w:w="600" w:type="dxa"/>
            <w:vAlign w:val="bottom"/>
          </w:tcPr>
          <w:p>
            <w:pPr>
              <w:spacing w:after="0"/>
              <w:rPr>
                <w:sz w:val="20"/>
                <w:szCs w:val="20"/>
                <w:color w:val="auto"/>
              </w:rPr>
            </w:pPr>
            <w:r>
              <w:rPr>
                <w:rFonts w:ascii="Arial" w:cs="Arial" w:eastAsia="Arial" w:hAnsi="Arial"/>
                <w:sz w:val="18"/>
                <w:szCs w:val="18"/>
                <w:color w:val="auto"/>
              </w:rPr>
              <w:t>104</w:t>
            </w:r>
          </w:p>
        </w:tc>
        <w:tc>
          <w:tcPr>
            <w:tcW w:w="360" w:type="dxa"/>
            <w:vAlign w:val="bottom"/>
          </w:tcPr>
          <w:p>
            <w:pPr>
              <w:spacing w:after="0"/>
              <w:rPr>
                <w:sz w:val="24"/>
                <w:szCs w:val="24"/>
                <w:color w:val="auto"/>
              </w:rPr>
            </w:pPr>
          </w:p>
        </w:tc>
        <w:tc>
          <w:tcPr>
            <w:tcW w:w="6640" w:type="dxa"/>
            <w:vAlign w:val="bottom"/>
            <w:gridSpan w:val="4"/>
          </w:tcPr>
          <w:p>
            <w:pPr>
              <w:ind w:left="120"/>
              <w:spacing w:after="0"/>
              <w:rPr>
                <w:sz w:val="20"/>
                <w:szCs w:val="20"/>
                <w:color w:val="auto"/>
              </w:rPr>
            </w:pPr>
            <w:r>
              <w:rPr>
                <w:rFonts w:ascii="Arial" w:cs="Arial" w:eastAsia="Arial" w:hAnsi="Arial"/>
                <w:sz w:val="18"/>
                <w:szCs w:val="18"/>
                <w:color w:val="auto"/>
                <w:w w:val="91"/>
              </w:rPr>
              <w:t>Cover Page Interactive Data File (formatted as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6640" w:type="dxa"/>
            <w:vAlign w:val="bottom"/>
            <w:gridSpan w:val="2"/>
          </w:tcPr>
          <w:p>
            <w:pPr>
              <w:ind w:left="2160"/>
              <w:spacing w:after="0"/>
              <w:rPr>
                <w:sz w:val="20"/>
                <w:szCs w:val="20"/>
                <w:color w:val="auto"/>
              </w:rPr>
            </w:pPr>
            <w:r>
              <w:rPr>
                <w:rFonts w:ascii="Arial" w:cs="Arial" w:eastAsia="Arial" w:hAnsi="Arial"/>
                <w:sz w:val="18"/>
                <w:szCs w:val="18"/>
                <w:color w:val="auto"/>
              </w:rPr>
              <w:t>BUILD-A-BEAR WORKSHOP, INC.</w:t>
            </w: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Date: April 8, 2021</w:t>
            </w:r>
          </w:p>
        </w:tc>
        <w:tc>
          <w:tcPr>
            <w:tcW w:w="6640" w:type="dxa"/>
            <w:vAlign w:val="bottom"/>
            <w:gridSpan w:val="2"/>
          </w:tcPr>
          <w:p>
            <w:pPr>
              <w:ind w:left="2160"/>
              <w:spacing w:after="0"/>
              <w:rPr>
                <w:sz w:val="20"/>
                <w:szCs w:val="20"/>
                <w:color w:val="auto"/>
              </w:rPr>
            </w:pPr>
            <w:r>
              <w:rPr>
                <w:rFonts w:ascii="Arial" w:cs="Arial" w:eastAsia="Arial" w:hAnsi="Arial"/>
                <w:sz w:val="18"/>
                <w:szCs w:val="18"/>
                <w:color w:val="auto"/>
              </w:rPr>
              <w:t>By:   /s/ Voin Todorovic</w:t>
            </w:r>
          </w:p>
        </w:tc>
      </w:tr>
      <w:tr>
        <w:trPr>
          <w:trHeight w:val="195"/>
        </w:trPr>
        <w:tc>
          <w:tcPr>
            <w:tcW w:w="3480" w:type="dxa"/>
            <w:vAlign w:val="bottom"/>
          </w:tcPr>
          <w:p>
            <w:pPr>
              <w:spacing w:after="0"/>
              <w:rPr>
                <w:sz w:val="16"/>
                <w:szCs w:val="16"/>
                <w:color w:val="auto"/>
              </w:rPr>
            </w:pPr>
          </w:p>
        </w:tc>
        <w:tc>
          <w:tcPr>
            <w:tcW w:w="2720" w:type="dxa"/>
            <w:vAlign w:val="bottom"/>
          </w:tcPr>
          <w:p>
            <w:pPr>
              <w:ind w:left="2160"/>
              <w:spacing w:after="0" w:line="195" w:lineRule="exact"/>
              <w:rPr>
                <w:sz w:val="20"/>
                <w:szCs w:val="20"/>
                <w:color w:val="auto"/>
              </w:rPr>
            </w:pPr>
            <w:r>
              <w:rPr>
                <w:rFonts w:ascii="Arial" w:cs="Arial" w:eastAsia="Arial" w:hAnsi="Arial"/>
                <w:sz w:val="18"/>
                <w:szCs w:val="18"/>
                <w:color w:val="auto"/>
              </w:rPr>
              <w:t>Name:</w:t>
            </w: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Voin Todorovic</w:t>
            </w:r>
          </w:p>
        </w:tc>
      </w:tr>
      <w:tr>
        <w:trPr>
          <w:trHeight w:val="230"/>
        </w:trPr>
        <w:tc>
          <w:tcPr>
            <w:tcW w:w="34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Chief Financial Officer</w:t>
            </w:r>
          </w:p>
        </w:tc>
      </w:tr>
      <w:tr>
        <w:trPr>
          <w:trHeight w:val="432"/>
        </w:trPr>
        <w:tc>
          <w:tcPr>
            <w:tcW w:w="3480" w:type="dxa"/>
            <w:vAlign w:val="bottom"/>
          </w:tcPr>
          <w:p>
            <w:pPr>
              <w:spacing w:after="0"/>
              <w:rPr>
                <w:sz w:val="24"/>
                <w:szCs w:val="24"/>
                <w:color w:val="auto"/>
              </w:rPr>
            </w:pPr>
          </w:p>
        </w:tc>
        <w:tc>
          <w:tcPr>
            <w:tcW w:w="2720" w:type="dxa"/>
            <w:vAlign w:val="bottom"/>
          </w:tcPr>
          <w:p>
            <w:pPr>
              <w:jc w:val="right"/>
              <w:ind w:right="390"/>
              <w:spacing w:after="0"/>
              <w:rPr>
                <w:sz w:val="20"/>
                <w:szCs w:val="20"/>
                <w:color w:val="auto"/>
              </w:rPr>
            </w:pPr>
            <w:r>
              <w:rPr>
                <w:rFonts w:ascii="Arial" w:cs="Arial" w:eastAsia="Arial" w:hAnsi="Arial"/>
                <w:sz w:val="18"/>
                <w:szCs w:val="18"/>
                <w:color w:val="auto"/>
              </w:rPr>
              <w:t>10</w:t>
            </w:r>
          </w:p>
        </w:tc>
        <w:tc>
          <w:tcPr>
            <w:tcW w:w="39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440"/>
      </w:cols>
      <w:pgMar w:left="320" w:top="567"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2021-04-08T15:17:42Z</dcterms:created>
  <dcterms:modified xsi:type="dcterms:W3CDTF">2021-04-08T15:17:42Z</dcterms:modified>
</cp:coreProperties>
</file>