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142240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241935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580" w:right="4120" w:hanging="572"/>
        <w:spacing w:after="0" w:line="491"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2, 2019</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1879600</wp:posOffset>
            </wp:positionH>
            <wp:positionV relativeFrom="paragraph">
              <wp:posOffset>-5080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294640</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279400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8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8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8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8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1954 Innerbelt Business Center Drive</w:t>
            </w:r>
          </w:p>
        </w:tc>
        <w:tc>
          <w:tcPr>
            <w:tcW w:w="3140" w:type="dxa"/>
            <w:vAlign w:val="bottom"/>
          </w:tcPr>
          <w:p>
            <w:pPr>
              <w:spacing w:after="0"/>
              <w:rPr>
                <w:sz w:val="24"/>
                <w:szCs w:val="24"/>
                <w:color w:val="auto"/>
              </w:rPr>
            </w:pPr>
          </w:p>
        </w:tc>
      </w:tr>
      <w:tr>
        <w:trPr>
          <w:trHeight w:val="216"/>
        </w:trPr>
        <w:tc>
          <w:tcPr>
            <w:tcW w:w="48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63114</w:t>
            </w:r>
          </w:p>
        </w:tc>
      </w:tr>
      <w:tr>
        <w:trPr>
          <w:trHeight w:val="238"/>
        </w:trPr>
        <w:tc>
          <w:tcPr>
            <w:tcW w:w="48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280035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4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4"/>
        </w:trPr>
        <w:tc>
          <w:tcPr>
            <w:tcW w:w="49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4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8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Common stock</w:t>
            </w:r>
          </w:p>
        </w:tc>
        <w:tc>
          <w:tcPr>
            <w:tcW w:w="20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7"/>
              </w:rPr>
              <w:t>BBW</w:t>
            </w:r>
          </w:p>
        </w:tc>
        <w:tc>
          <w:tcPr>
            <w:tcW w:w="44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80" w:type="dxa"/>
            <w:vAlign w:val="bottom"/>
          </w:tcPr>
          <w:p>
            <w:pPr>
              <w:spacing w:after="0"/>
              <w:rPr>
                <w:sz w:val="24"/>
                <w:szCs w:val="24"/>
                <w:color w:val="auto"/>
              </w:rPr>
            </w:pPr>
          </w:p>
        </w:tc>
        <w:tc>
          <w:tcPr>
            <w:tcW w:w="20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1</w:t>
            </w:r>
          </w:p>
        </w:tc>
        <w:tc>
          <w:tcPr>
            <w:tcW w:w="4400" w:type="dxa"/>
            <w:vAlign w:val="bottom"/>
          </w:tcPr>
          <w:p>
            <w:pPr>
              <w:spacing w:after="0"/>
              <w:rPr>
                <w:sz w:val="24"/>
                <w:szCs w:val="24"/>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468"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jc w:val="both"/>
        <w:ind w:right="14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111" w:right="27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7" w:lineRule="exact"/>
        <w:rPr>
          <w:sz w:val="20"/>
          <w:szCs w:val="20"/>
          <w:color w:val="auto"/>
        </w:rPr>
      </w:pPr>
    </w:p>
    <w:p>
      <w:pPr>
        <w:sectPr>
          <w:pgSz w:w="11900" w:h="16838" w:orient="portrait"/>
          <w:cols w:equalWidth="0" w:num="3">
            <w:col w:w="1620" w:space="100"/>
            <w:col w:w="5360" w:space="720"/>
            <w:col w:w="3580"/>
          </w:cols>
          <w:pgMar w:left="240" w:top="111" w:right="27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9"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7080" w:space="720"/>
            <w:col w:w="3580"/>
          </w:cols>
          <w:pgMar w:left="240" w:top="111" w:right="279" w:bottom="1440" w:gutter="0" w:footer="0" w:header="0"/>
          <w:type w:val="continuous"/>
        </w:sectPr>
      </w:pPr>
    </w:p>
    <w:p>
      <w:pPr>
        <w:spacing w:after="0" w:line="17" w:lineRule="exact"/>
        <w:rPr>
          <w:sz w:val="20"/>
          <w:szCs w:val="20"/>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9, 2019, there were 15,219,877 issued and outstanding shares of the registrant’s common stock.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140" w:type="dxa"/>
            <w:vAlign w:val="bottom"/>
            <w:gridSpan w:val="7"/>
          </w:tcPr>
          <w:p>
            <w:pPr>
              <w:ind w:left="17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1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2020" w:type="dxa"/>
            <w:vAlign w:val="bottom"/>
            <w:gridSpan w:val="5"/>
            <w:shd w:val="clear" w:color="auto" w:fill="CCEEFF"/>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9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2020" w:type="dxa"/>
            <w:vAlign w:val="bottom"/>
            <w:gridSpan w:val="5"/>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174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9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020" w:type="dxa"/>
            <w:vAlign w:val="bottom"/>
            <w:gridSpan w:val="5"/>
          </w:tcPr>
          <w:p>
            <w:pPr>
              <w:jc w:val="center"/>
              <w:ind w:left="1750"/>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9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2020" w:type="dxa"/>
            <w:vAlign w:val="bottom"/>
            <w:gridSpan w:val="5"/>
            <w:shd w:val="clear" w:color="auto" w:fill="CCEEFF"/>
          </w:tcPr>
          <w:p>
            <w:pPr>
              <w:jc w:val="center"/>
              <w:ind w:left="1750"/>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100" w:type="dxa"/>
            <w:vAlign w:val="bottom"/>
            <w:gridSpan w:val="6"/>
            <w:shd w:val="clear" w:color="auto" w:fill="CCEEFF"/>
          </w:tcPr>
          <w:p>
            <w:pPr>
              <w:jc w:val="center"/>
              <w:ind w:left="1670"/>
              <w:spacing w:after="0" w:line="17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19</w:t>
              </w:r>
            </w:hyperlink>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Item 3.</w:t>
              </w:r>
            </w:hyperlink>
          </w:p>
        </w:tc>
        <w:tc>
          <w:tcPr>
            <w:tcW w:w="846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Quantitative and Qualitative Disclosures About Market Risk</w:t>
              </w:r>
            </w:hyperlink>
          </w:p>
        </w:tc>
        <w:tc>
          <w:tcPr>
            <w:tcW w:w="2100" w:type="dxa"/>
            <w:vAlign w:val="bottom"/>
            <w:gridSpan w:val="6"/>
            <w:shd w:val="clear" w:color="auto" w:fill="CCEEFF"/>
          </w:tcPr>
          <w:p>
            <w:pPr>
              <w:jc w:val="center"/>
              <w:ind w:left="1670"/>
              <w:spacing w:after="0" w:line="17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27</w:t>
              </w:r>
            </w:hyperlink>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27">
              <w:r>
                <w:rPr>
                  <w:rFonts w:ascii="Times New Roman" w:cs="Times New Roman" w:eastAsia="Times New Roman" w:hAnsi="Times New Roman"/>
                  <w:sz w:val="18"/>
                  <w:szCs w:val="18"/>
                  <w:color w:val="0000EE"/>
                  <w:w w:val="94"/>
                </w:rPr>
                <w:t>Item 4.</w:t>
              </w:r>
            </w:hyperlink>
          </w:p>
        </w:tc>
        <w:tc>
          <w:tcPr>
            <w:tcW w:w="140" w:type="dxa"/>
            <w:vAlign w:val="bottom"/>
            <w:gridSpan w:val="3"/>
            <w:shd w:val="clear" w:color="auto" w:fill="CCEEFF"/>
          </w:tcPr>
          <w:p>
            <w:pPr>
              <w:spacing w:after="0"/>
              <w:rPr>
                <w:sz w:val="17"/>
                <w:szCs w:val="17"/>
                <w:color w:val="auto"/>
              </w:rPr>
            </w:pPr>
          </w:p>
        </w:tc>
        <w:tc>
          <w:tcPr>
            <w:tcW w:w="846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2100" w:type="dxa"/>
            <w:vAlign w:val="bottom"/>
            <w:gridSpan w:val="6"/>
            <w:shd w:val="clear" w:color="auto" w:fill="CCEEFF"/>
          </w:tcPr>
          <w:p>
            <w:pPr>
              <w:jc w:val="center"/>
              <w:ind w:left="1670"/>
              <w:spacing w:after="0" w:line="17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27</w:t>
              </w:r>
            </w:hyperlink>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 xml:space="preserve">Item </w:t>
              </w:r>
            </w:hyperlink>
            <w:r>
              <w:rPr>
                <w:rFonts w:ascii="Times New Roman" w:cs="Times New Roman" w:eastAsia="Times New Roman" w:hAnsi="Times New Roman"/>
                <w:sz w:val="18"/>
                <w:szCs w:val="18"/>
                <w:color w:val="0000EE"/>
              </w:rPr>
              <w:t xml:space="preserve">1A.Risk </w:t>
            </w:r>
            <w:hyperlink w:anchor="page28">
              <w:r>
                <w:rPr>
                  <w:rFonts w:ascii="Times New Roman" w:cs="Times New Roman" w:eastAsia="Times New Roman" w:hAnsi="Times New Roman"/>
                  <w:sz w:val="18"/>
                  <w:szCs w:val="18"/>
                  <w:color w:val="0000EE"/>
                </w:rPr>
                <w:t>Factors</w:t>
              </w:r>
            </w:hyperlink>
          </w:p>
        </w:tc>
        <w:tc>
          <w:tcPr>
            <w:tcW w:w="2100" w:type="dxa"/>
            <w:vAlign w:val="bottom"/>
            <w:gridSpan w:val="6"/>
            <w:shd w:val="clear" w:color="auto" w:fill="CCEEFF"/>
          </w:tcPr>
          <w:p>
            <w:pPr>
              <w:jc w:val="center"/>
              <w:ind w:left="1670"/>
              <w:spacing w:after="0" w:line="17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28</w:t>
              </w:r>
            </w:hyperlink>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2.</w:t>
              </w:r>
            </w:hyperlink>
          </w:p>
        </w:tc>
        <w:tc>
          <w:tcPr>
            <w:tcW w:w="846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Unregistered Sales of Equity Securities and Use of Proceeds</w:t>
              </w:r>
            </w:hyperlink>
          </w:p>
        </w:tc>
        <w:tc>
          <w:tcPr>
            <w:tcW w:w="2100" w:type="dxa"/>
            <w:vAlign w:val="bottom"/>
            <w:gridSpan w:val="6"/>
            <w:shd w:val="clear" w:color="auto" w:fill="CCEEFF"/>
          </w:tcPr>
          <w:p>
            <w:pPr>
              <w:jc w:val="center"/>
              <w:ind w:left="1670"/>
              <w:spacing w:after="0" w:line="17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28</w:t>
              </w:r>
            </w:hyperlink>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29">
              <w:r>
                <w:rPr>
                  <w:rFonts w:ascii="Times New Roman" w:cs="Times New Roman" w:eastAsia="Times New Roman" w:hAnsi="Times New Roman"/>
                  <w:sz w:val="18"/>
                  <w:szCs w:val="18"/>
                  <w:color w:val="0000EE"/>
                  <w:w w:val="94"/>
                </w:rPr>
                <w:t>Item 6.</w:t>
              </w:r>
            </w:hyperlink>
          </w:p>
        </w:tc>
        <w:tc>
          <w:tcPr>
            <w:tcW w:w="140" w:type="dxa"/>
            <w:vAlign w:val="bottom"/>
            <w:gridSpan w:val="3"/>
            <w:shd w:val="clear" w:color="auto" w:fill="CCEEFF"/>
          </w:tcPr>
          <w:p>
            <w:pPr>
              <w:spacing w:after="0"/>
              <w:rPr>
                <w:sz w:val="17"/>
                <w:szCs w:val="17"/>
                <w:color w:val="auto"/>
              </w:rPr>
            </w:pPr>
          </w:p>
        </w:tc>
        <w:tc>
          <w:tcPr>
            <w:tcW w:w="6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w w:val="96"/>
              </w:rPr>
            </w:pPr>
            <w:hyperlink w:anchor="page29">
              <w:r>
                <w:rPr>
                  <w:rFonts w:ascii="Times New Roman" w:cs="Times New Roman" w:eastAsia="Times New Roman" w:hAnsi="Times New Roman"/>
                  <w:sz w:val="18"/>
                  <w:szCs w:val="18"/>
                  <w:color w:val="0000EE"/>
                  <w:w w:val="96"/>
                </w:rPr>
                <w:t>Exhibits</w:t>
              </w:r>
            </w:hyperlink>
          </w:p>
        </w:tc>
        <w:tc>
          <w:tcPr>
            <w:tcW w:w="7860" w:type="dxa"/>
            <w:vAlign w:val="bottom"/>
            <w:gridSpan w:val="11"/>
            <w:shd w:val="clear" w:color="auto" w:fill="CCEEFF"/>
          </w:tcPr>
          <w:p>
            <w:pPr>
              <w:spacing w:after="0"/>
              <w:rPr>
                <w:sz w:val="17"/>
                <w:szCs w:val="17"/>
                <w:color w:val="auto"/>
              </w:rPr>
            </w:pPr>
          </w:p>
        </w:tc>
        <w:tc>
          <w:tcPr>
            <w:tcW w:w="1840" w:type="dxa"/>
            <w:vAlign w:val="bottom"/>
            <w:gridSpan w:val="2"/>
            <w:shd w:val="clear" w:color="auto" w:fill="CCEEFF"/>
          </w:tcPr>
          <w:p>
            <w:pPr>
              <w:spacing w:after="0"/>
              <w:rPr>
                <w:sz w:val="17"/>
                <w:szCs w:val="17"/>
                <w:color w:val="auto"/>
              </w:rPr>
            </w:pPr>
          </w:p>
        </w:tc>
        <w:tc>
          <w:tcPr>
            <w:tcW w:w="260" w:type="dxa"/>
            <w:vAlign w:val="bottom"/>
            <w:gridSpan w:val="4"/>
            <w:shd w:val="clear" w:color="auto" w:fill="CCEEFF"/>
          </w:tcPr>
          <w:p>
            <w:pPr>
              <w:jc w:val="center"/>
              <w:ind w:right="80"/>
              <w:spacing w:after="0" w:line="17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29</w:t>
              </w:r>
            </w:hyperlink>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6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Signatures</w:t>
              </w:r>
            </w:hyperlink>
          </w:p>
        </w:tc>
        <w:tc>
          <w:tcPr>
            <w:tcW w:w="2100" w:type="dxa"/>
            <w:vAlign w:val="bottom"/>
            <w:gridSpan w:val="6"/>
            <w:shd w:val="clear" w:color="auto" w:fill="CCEEFF"/>
          </w:tcPr>
          <w:p>
            <w:pPr>
              <w:jc w:val="center"/>
              <w:ind w:left="1670"/>
              <w:spacing w:after="0" w:line="17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30</w:t>
              </w:r>
            </w:hyperlink>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460" w:type="dxa"/>
            <w:vAlign w:val="bottom"/>
            <w:tcBorders>
              <w:top w:val="single" w:sz="8" w:color="CCEEFF"/>
            </w:tcBorders>
            <w:gridSpan w:val="11"/>
          </w:tcPr>
          <w:p>
            <w:pPr>
              <w:ind w:left="484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February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November 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17,894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58,356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88,949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99,798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135,810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296,677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172,046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80" w:type="dxa"/>
            <w:vAlign w:val="bottom"/>
            <w:gridSpan w:val="3"/>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18,390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22,551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21,643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56,177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revenue</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 or</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outstanding at November 2, 2019, February 2, 2019 and November 3, 2018</w:t>
            </w: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15,219,915, 14,953,142 and 14,956,711 shares, respectively</w:t>
            </w:r>
          </w:p>
        </w:tc>
        <w:tc>
          <w:tcPr>
            <w:tcW w:w="18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296,677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172,046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00" w:type="dxa"/>
            <w:vAlign w:val="bottom"/>
          </w:tcPr>
          <w:p>
            <w:pPr>
              <w:spacing w:after="0"/>
              <w:rPr>
                <w:sz w:val="20"/>
                <w:szCs w:val="20"/>
                <w:color w:val="auto"/>
              </w:rPr>
            </w:pPr>
          </w:p>
        </w:tc>
        <w:tc>
          <w:tcPr>
            <w:tcW w:w="240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November 2,</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November 3,</w:t>
            </w:r>
          </w:p>
        </w:tc>
        <w:tc>
          <w:tcPr>
            <w:tcW w:w="20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November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retail sales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66,575</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65,298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222,837</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revenue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233,960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42,129</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126,722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133,026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137,608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100,934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35,069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106,940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(9,992)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(3,928)</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(5,873)</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(5,901)</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(6,222)</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(6,098)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(5,809)</w:t>
            </w: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30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(0.42)</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(0.40)</w:t>
            </w:r>
          </w:p>
        </w:tc>
        <w:tc>
          <w:tcPr>
            <w:tcW w:w="28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14,752,307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14,590,614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14,697,592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14,597,255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14,752,307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14,590,614</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14,697,592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14,597,255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November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less to net cash provided by operating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Asset impairment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Deferred taxes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Inventories, net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Receivables, net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Operating leases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property insurance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7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the exercise of employee stock options, net of withholding tax payments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line of credit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paid (received) during the period for income taxes</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February 2, 2019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February 2, 2019, which were included in the Company’s Annual Report on Form 10-K filed with the SEC on April 18, 2019.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 Adopted in the Current Year</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Effective February 3, 2019, the Company adopted the Financial Accounting Standards Board ("FASB") new guidance on leases (“Topic 842”), which replaced most existing lease accounting guidance in U.S. GAAP. The Company elected the optional transition method that gives companies the option to use the effective date as the date of initial application on transition, and as a result, the Company did not adjust its comparative period financial information or make the new required lease disclosures for periods before the effective date.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3 — Leases for additional information.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Nearly all the Company’s revenue is derived from retail sales (including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95% of consolidated revenue. The majority of these sales transactions are single performance obligations that are recorded when control is transferred to the customer.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delivery to the customer. Revenue is measured as the amount of consideration, including any discounts or incentives, the Company expects to receive in exchange for transferring the merchandise. Product returns have historically averaged less than one-half of one percent due to the interactive nature of sales, where consumers customize their own stuffed animal. The Company has elected to exclude from revenue all collected sales, value added and other taxes paid by its customers.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For the Company’s gift cards, revenue is deferred for single transactions until redemption including any related gift card discounts. Historically, most gift card redemptions have occurred within three years of acquisition and approximately 75% of gift cards have been redeemed within the first twelve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w:t>
      </w:r>
    </w:p>
    <w:p>
      <w:pPr>
        <w:spacing w:after="0" w:line="18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89" w:lineRule="exact"/>
        <w:rPr>
          <w:sz w:val="20"/>
          <w:szCs w:val="20"/>
          <w:color w:val="auto"/>
        </w:rPr>
      </w:pPr>
    </w:p>
    <w:p>
      <w:pPr>
        <w:ind w:right="300" w:firstLine="486"/>
        <w:spacing w:after="0" w:line="255"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the consolidated balance sheet. Revenue from merchandise and fixture sales is recognized when control is transferred to the franchisee which generally occurs upon delivery to the customer.</w:t>
      </w:r>
    </w:p>
    <w:p>
      <w:pPr>
        <w:spacing w:after="0" w:line="18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including finder’s fees, legal and travel costs as well as expenses related to its ongoing support of the franchisees, predominantly travel and employee compensation. Accordingly, the Company’s policy is to capitalize the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Effective February 3, 2019, the Company adopted the FASB guidance on leases (“Topic 842”), which requires leases with durations greater than twelve months to be recognized on the balance sheet. The Company adopted Topic 842 using the modified retrospective transition approach, which includes a number of optional practical expedients that entities may elect to apply. Prior year financial statements were not recast under Topic 842, and therefore those amounts are not disclosed. The Company has elected certain practical expedients, including the package of practical expedients to not reassess prior conclusions related to contracts containing leases, lease classification and initial direct costs as well as an accounting policy to account for lease and non-lease components as a single component. The Company also elected the optional transition method that gives companies the option to use the effective date as the date of initial application on transition, and as a result, the Company will not adjust its comparative period financial information or make the new required lease disclosures for periods before the effective date. The Company has elected to make the accounting policy election for short-term leases. Consequently, short-term leases will be recorded as an expense on a straight-line basis over the lease term. The Company did not elect the hindsight practical expedient.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retail store leases have an original term of five to ten-year base period and include renewal options to extend the lease term beyond the initial base period and are typically much shorter than the original lease term giving the Company lease optionality. The renewal options are not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 These incentives reduce our right-of-use asset related to the lease and are amortized through the right-of-use asset as reductions of expense over the lease term.</w:t>
      </w:r>
    </w:p>
    <w:p>
      <w:pPr>
        <w:spacing w:after="0" w:line="18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Company's leases typically contain rent escalations over the lease term and the Company recognizes expense for these leases on a straight-line basis over the lease term. Some of the Company's leases include rent escalations based on inflation indexes and fair market value adjustments. Certain leases contain contingent rental provisions that include a fixed base rent plus an additional percentage of the store’s sales in excess of stipulated amounts. Operating lease liabilities are calculated using the prevailing index or rate at lease commencement. Subsequent escalations in the index or rate and contingent rental payments are recognized as variable lease expenses.</w:t>
      </w:r>
    </w:p>
    <w:p>
      <w:pPr>
        <w:spacing w:after="0" w:line="184"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For leases entered into or reassessed after the adoption of the new standard,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176"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Most of the Company’s leases do not provide a readily available implicit rate. Therefore, the Company estimates the incremental borrowing discount rate based on information available at lease commencement. The discount rates used are indicative of a synthetic credit rating based on quantitative and qualitative analysis and adjusted one notch higher to estimate a secured credit rating. For non-U.S. locations, a risk-free rate yield based on the currency of the lease is used to estimate the incremental borrowing rate.</w:t>
      </w:r>
    </w:p>
    <w:p>
      <w:pPr>
        <w:spacing w:after="0" w:line="180"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Upon adoption and transition, the Company recognized a cumulative-effect charge of $7.4 million net of tax to the opening balance of retained earnings which represents impairment charges to the right-of-use assets associated with stores whose fixed assets have been previously impaired or had indicators of impairment, and whose right-of-use-assets were determined to be above fair market value.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position as of February 3, 2019</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3,</w:t>
            </w:r>
          </w:p>
        </w:tc>
        <w:tc>
          <w:tcPr>
            <w:tcW w:w="300" w:type="dxa"/>
            <w:vAlign w:val="bottom"/>
          </w:tcPr>
          <w:p>
            <w:pPr>
              <w:spacing w:after="0"/>
              <w:rPr>
                <w:sz w:val="18"/>
                <w:szCs w:val="18"/>
                <w:color w:val="auto"/>
              </w:rPr>
            </w:pPr>
          </w:p>
        </w:tc>
      </w:tr>
      <w:tr>
        <w:trPr>
          <w:trHeight w:val="238"/>
        </w:trPr>
        <w:tc>
          <w:tcPr>
            <w:tcW w:w="30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566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Classification on the Balance Sheet</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5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151,513</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Operating</w:t>
            </w:r>
          </w:p>
        </w:tc>
        <w:tc>
          <w:tcPr>
            <w:tcW w:w="56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34,672</w:t>
            </w:r>
          </w:p>
        </w:tc>
        <w:tc>
          <w:tcPr>
            <w:tcW w:w="3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 Operating</w:t>
            </w:r>
          </w:p>
        </w:tc>
        <w:tc>
          <w:tcPr>
            <w:tcW w:w="56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6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176,191</w:t>
            </w:r>
          </w:p>
        </w:tc>
        <w:tc>
          <w:tcPr>
            <w:tcW w:w="300" w:type="dxa"/>
            <w:vAlign w:val="bottom"/>
          </w:tcPr>
          <w:p>
            <w:pPr>
              <w:spacing w:after="0"/>
              <w:rPr>
                <w:sz w:val="21"/>
                <w:szCs w:val="21"/>
                <w:color w:val="auto"/>
              </w:rPr>
            </w:pPr>
          </w:p>
        </w:tc>
      </w:tr>
      <w:tr>
        <w:trPr>
          <w:trHeight w:val="413"/>
        </w:trPr>
        <w:tc>
          <w:tcPr>
            <w:tcW w:w="300" w:type="dxa"/>
            <w:vAlign w:val="bottom"/>
          </w:tcPr>
          <w:p>
            <w:pPr>
              <w:spacing w:after="0"/>
              <w:rPr>
                <w:sz w:val="24"/>
                <w:szCs w:val="24"/>
                <w:color w:val="auto"/>
              </w:rPr>
            </w:pPr>
          </w:p>
        </w:tc>
        <w:tc>
          <w:tcPr>
            <w:tcW w:w="3540" w:type="dxa"/>
            <w:vAlign w:val="bottom"/>
            <w:tcBorders>
              <w:top w:val="single" w:sz="8" w:color="CCEEFF"/>
            </w:tcBorders>
          </w:tcPr>
          <w:p>
            <w:pPr>
              <w:spacing w:after="0"/>
              <w:rPr>
                <w:sz w:val="24"/>
                <w:szCs w:val="24"/>
                <w:color w:val="auto"/>
              </w:rPr>
            </w:pPr>
          </w:p>
        </w:tc>
        <w:tc>
          <w:tcPr>
            <w:tcW w:w="5660" w:type="dxa"/>
            <w:vAlign w:val="bottom"/>
            <w:tcBorders>
              <w:top w:val="single" w:sz="8" w:color="CCEEFF"/>
            </w:tcBorders>
          </w:tcPr>
          <w:p>
            <w:pPr>
              <w:ind w:left="18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and thirty-nine weeks ended November 2, 2019 (in thousands).</w:t>
      </w:r>
    </w:p>
    <w:p>
      <w:pPr>
        <w:sectPr>
          <w:pgSz w:w="11900" w:h="16838" w:orient="portrait"/>
          <w:cols w:equalWidth="0" w:num="1">
            <w:col w:w="11300"/>
          </w:cols>
          <w:pgMar w:left="240" w:top="11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Operating lease costs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Variable lease costs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Short term lease costs</w:t>
      </w:r>
    </w:p>
    <w:p>
      <w:pPr>
        <w:spacing w:after="0" w:line="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Total Operating Lease costs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Thirty-nine weeks</w:t>
            </w:r>
          </w:p>
        </w:tc>
      </w:tr>
      <w:tr>
        <w:trPr>
          <w:trHeight w:val="220"/>
        </w:trPr>
        <w:tc>
          <w:tcPr>
            <w:tcW w:w="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Thirteen weeks ended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November 2, 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November 2, 2019</w:t>
            </w: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34"/>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33,798</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-3430905</wp:posOffset>
            </wp:positionH>
            <wp:positionV relativeFrom="paragraph">
              <wp:posOffset>-582295</wp:posOffset>
            </wp:positionV>
            <wp:extent cx="57975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-3430905</wp:posOffset>
            </wp:positionH>
            <wp:positionV relativeFrom="paragraph">
              <wp:posOffset>-307975</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740"/>
          </w:cols>
          <w:pgMar w:left="240" w:top="111" w:right="359" w:bottom="1440" w:gutter="0" w:footer="0" w:header="0"/>
          <w:type w:val="continuous"/>
        </w:sect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9"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and thirty-nine weeks ended November 2, 2019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Thirty-nine weeks</w:t>
            </w:r>
          </w:p>
        </w:tc>
      </w:tr>
      <w:tr>
        <w:trPr>
          <w:trHeight w:val="220"/>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Thirteen weeks ended</w:t>
            </w:r>
          </w:p>
        </w:tc>
        <w:tc>
          <w:tcPr>
            <w:tcW w:w="180" w:type="dxa"/>
            <w:vAlign w:val="bottom"/>
          </w:tcPr>
          <w:p>
            <w:pPr>
              <w:spacing w:after="0"/>
              <w:rPr>
                <w:sz w:val="19"/>
                <w:szCs w:val="19"/>
                <w:color w:val="auto"/>
              </w:rPr>
            </w:pPr>
          </w:p>
        </w:tc>
        <w:tc>
          <w:tcPr>
            <w:tcW w:w="1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November 2, 2019</w:t>
            </w:r>
          </w:p>
        </w:tc>
        <w:tc>
          <w:tcPr>
            <w:tcW w:w="180" w:type="dxa"/>
            <w:vAlign w:val="bottom"/>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2, 2019</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As of November 2, 2019, the weighted-average remaining operating lease term was 5.8 years and the weighted-average discount rate was 5.9% for operating leases recognized on our Condensed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9" w:lineRule="exact"/>
        <w:rPr>
          <w:sz w:val="20"/>
          <w:szCs w:val="20"/>
          <w:color w:val="auto"/>
        </w:rPr>
      </w:pPr>
    </w:p>
    <w:p>
      <w:pPr>
        <w:ind w:left="500"/>
        <w:spacing w:after="0" w:line="261"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2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10,955</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37,766</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33,092</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30,318</w:t>
            </w: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53,941</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191,964</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(30,033)</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161,931</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(31,537)</w:t>
            </w: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1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130,394</w:t>
            </w:r>
          </w:p>
        </w:tc>
      </w:tr>
    </w:tbl>
    <w:p>
      <w:pPr>
        <w:spacing w:after="0" w:line="200" w:lineRule="exact"/>
        <w:rPr>
          <w:sz w:val="20"/>
          <w:szCs w:val="20"/>
          <w:color w:val="auto"/>
        </w:rPr>
      </w:pPr>
    </w:p>
    <w:p>
      <w:pPr>
        <w:spacing w:after="0" w:line="2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November 2, 2019, the Company has additional executed leases that have not yet commenced with operating lease liabilities of $0.8 million. These leases will commence in 2020 with lease terms ranging from two to five years.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11"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2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2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November 3,</w:t>
            </w:r>
          </w:p>
        </w:tc>
      </w:tr>
      <w:tr>
        <w:trPr>
          <w:trHeight w:val="238"/>
        </w:trPr>
        <w:tc>
          <w:tcPr>
            <w:tcW w:w="4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occupancy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5,497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7,767</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879</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2,245</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5,766</w:t>
            </w:r>
          </w:p>
        </w:tc>
      </w:tr>
      <w:tr>
        <w:trPr>
          <w:trHeight w:val="20"/>
        </w:trPr>
        <w:tc>
          <w:tcPr>
            <w:tcW w:w="4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200" w:type="dxa"/>
            <w:vAlign w:val="bottom"/>
          </w:tcPr>
          <w:p>
            <w:pPr>
              <w:spacing w:after="0"/>
              <w:rPr>
                <w:sz w:val="18"/>
                <w:szCs w:val="18"/>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16,848</w:t>
            </w: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45"/>
        <w:spacing w:after="0"/>
        <w:tabs>
          <w:tab w:leader="none" w:pos="9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non-lease components.</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February 2,</w:t>
            </w:r>
          </w:p>
        </w:tc>
        <w:tc>
          <w:tcPr>
            <w:tcW w:w="20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November 3,</w:t>
            </w:r>
          </w:p>
        </w:tc>
      </w:tr>
      <w:tr>
        <w:trPr>
          <w:trHeight w:val="238"/>
        </w:trPr>
        <w:tc>
          <w:tcPr>
            <w:tcW w:w="2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2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8,116</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5,453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3,064</w:t>
            </w:r>
          </w:p>
        </w:tc>
      </w:tr>
      <w:tr>
        <w:trPr>
          <w:trHeight w:val="216"/>
        </w:trPr>
        <w:tc>
          <w:tcPr>
            <w:tcW w:w="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1,360</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1,286</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2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rent and related expenses (1)</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491</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3,233</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3,007</w:t>
            </w:r>
          </w:p>
        </w:tc>
      </w:tr>
      <w:tr>
        <w:trPr>
          <w:trHeight w:val="216"/>
        </w:trPr>
        <w:tc>
          <w:tcPr>
            <w:tcW w:w="2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0" w:type="dxa"/>
            <w:vAlign w:val="bottom"/>
          </w:tcPr>
          <w:p>
            <w:pPr>
              <w:spacing w:after="0"/>
              <w:rPr>
                <w:sz w:val="19"/>
                <w:szCs w:val="19"/>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9,985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7,559</w:t>
            </w:r>
          </w:p>
        </w:tc>
      </w:tr>
      <w:tr>
        <w:trPr>
          <w:trHeight w:val="20"/>
        </w:trPr>
        <w:tc>
          <w:tcPr>
            <w:tcW w:w="20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620" w:right="2580" w:hanging="5045"/>
        <w:spacing w:after="0" w:line="783" w:lineRule="auto"/>
        <w:tabs>
          <w:tab w:leader="none" w:pos="9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60"/>
          </w:cols>
          <w:pgMar w:left="240" w:top="112" w:right="10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right="260" w:firstLine="648"/>
        <w:spacing w:after="0" w:line="255" w:lineRule="auto"/>
        <w:rPr>
          <w:sz w:val="20"/>
          <w:szCs w:val="20"/>
          <w:color w:val="auto"/>
        </w:rPr>
      </w:pPr>
      <w:r>
        <w:rPr>
          <w:rFonts w:ascii="Times New Roman" w:cs="Times New Roman" w:eastAsia="Times New Roman" w:hAnsi="Times New Roman"/>
          <w:sz w:val="18"/>
          <w:szCs w:val="18"/>
          <w:color w:val="auto"/>
        </w:rPr>
        <w:t>On March 14, 2017, the Company’s Board of Directors (the “Board”) adopted, subject to stockholder approval, the Build-A-Bear Workshop, Inc. 2017 Omnibus Incentive Plan (the “2017 Plan”). On May 11, 2017, at the Company’s 2017 Annual Meeting of Stockholders, the Company’s stockholders approved the 2017 Plan. The 2017 Plan, which is administered by the Compensation and Development Committee of the Board, permits the grant of stock options (including both incentive and non-qualified stock options), stock appreciation rights, restricted stock, cash and other stock-based awards, some of which may be performance-based pursuant to the terms of the 2017 Plan. The Board may amend, modify or terminate the 2017 Plan at any time, except as otherwise provided in the 2017 Plan. The 2017 Plan will terminate on March 14, 2027, unless earlier terminated by the Board. The number of shares of the Company’s common stock authorized for issuance under the 2017 Plan is 1,000,000, plus shares of stock subject to outstanding awards made under the Company's Third Amended and Restated 2004 Stock Incentive Plan that on or after March 21, 2017 may be forfeited, expire or be settled for cash.</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For the thirteen and thirty-nine weeks ended November 2, 2019, selling, general and administrative expense included $0.4 million and $1.8 million, respectively, of stock-based compensation expense. For the thirteen and thirty-nine weeks ended November 3, 2018 , selling, general and administrative expense includes $0.9 million and $2.6 million, respectively, of stock-based compensation expense. As of November 2, 2019, there was $3.2 million of total unrecognized compensation expense related to unvested restricted stock and option awards which is expected to be recognized over a weighted-average period of 1.3 years.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stock options for the thirty-nine weeks ended November 2,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63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80" w:type="dxa"/>
            <w:vAlign w:val="bottom"/>
          </w:tcPr>
          <w:p>
            <w:pPr>
              <w:spacing w:after="0"/>
              <w:rPr>
                <w:sz w:val="16"/>
                <w:szCs w:val="16"/>
                <w:color w:val="auto"/>
              </w:rPr>
            </w:pPr>
          </w:p>
        </w:tc>
      </w:tr>
      <w:tr>
        <w:trPr>
          <w:trHeight w:val="238"/>
        </w:trPr>
        <w:tc>
          <w:tcPr>
            <w:tcW w:w="6320" w:type="dxa"/>
            <w:vAlign w:val="bottom"/>
          </w:tcPr>
          <w:p>
            <w:pPr>
              <w:spacing w:after="0"/>
              <w:rPr>
                <w:sz w:val="20"/>
                <w:szCs w:val="20"/>
                <w:color w:val="auto"/>
              </w:rPr>
            </w:pPr>
          </w:p>
        </w:tc>
        <w:tc>
          <w:tcPr>
            <w:tcW w:w="15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8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February 2, 2019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950,678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7.21</w:t>
            </w:r>
          </w:p>
        </w:tc>
      </w:tr>
      <w:tr>
        <w:trPr>
          <w:trHeight w:val="20"/>
        </w:trPr>
        <w:tc>
          <w:tcPr>
            <w:tcW w:w="632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November 2, 2019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923,715</w:t>
            </w:r>
          </w:p>
        </w:tc>
        <w:tc>
          <w:tcPr>
            <w:tcW w:w="120" w:type="dxa"/>
            <w:vAlign w:val="bottom"/>
          </w:tcPr>
          <w:p>
            <w:pPr>
              <w:spacing w:after="0"/>
              <w:rPr>
                <w:sz w:val="18"/>
                <w:szCs w:val="18"/>
                <w:color w:val="auto"/>
              </w:rPr>
            </w:pPr>
          </w:p>
        </w:tc>
        <w:tc>
          <w:tcPr>
            <w:tcW w:w="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6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thirty-nine weeks ended November 2,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6080" w:type="dxa"/>
            <w:vAlign w:val="bottom"/>
          </w:tcPr>
          <w:p>
            <w:pPr>
              <w:spacing w:after="0"/>
              <w:rPr>
                <w:sz w:val="20"/>
                <w:szCs w:val="20"/>
                <w:color w:val="auto"/>
              </w:rPr>
            </w:pPr>
          </w:p>
        </w:tc>
        <w:tc>
          <w:tcPr>
            <w:tcW w:w="27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4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0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6080" w:type="dxa"/>
            <w:vAlign w:val="bottom"/>
          </w:tcPr>
          <w:p>
            <w:pPr>
              <w:spacing w:after="0"/>
              <w:rPr>
                <w:sz w:val="20"/>
                <w:szCs w:val="20"/>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0" w:type="dxa"/>
            <w:vAlign w:val="bottom"/>
          </w:tcPr>
          <w:p>
            <w:pPr>
              <w:spacing w:after="0"/>
              <w:rPr>
                <w:sz w:val="20"/>
                <w:szCs w:val="20"/>
                <w:color w:val="auto"/>
              </w:rPr>
            </w:pP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February 2, 2019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379,778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167,153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(217,848)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November 2, 2019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467,416</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262,964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r>
      <w:tr>
        <w:trPr>
          <w:trHeight w:val="20"/>
        </w:trPr>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thirty-nine weeks ended November 2, 2019 and November 3, 2018 was $2.1 million and $2.2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In April 2019, the Company awarded three-year performance-based restricted stock subject to the achievement of pre-established consolidated pre-tax income growth objectives for fiscal 2019, 2020 and 2021. In 2018, the Company awarded three-year performance-based restricted stock subject to the achievement of pre-established consolidated total pre-tax income growth objectives for fiscal 2018, 2019 and 2020. In addition, the Company awarded three-year performance-based restricted stock subject to the achievement of pre-established consolidated revenue growth objectives for fiscal 2018, 2019 and 2020. In 2017, the Company awarded three-year performance-based restricted stock subject to the achievement of pre-established pre-tax income growth objectives for 2017, 2018 and 2019. The shares for all these awards if earned, have a payout opportunity ranging from 25% to 200% of the target number of shares.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November 2, 2019 consist of the following:</w:t>
      </w:r>
    </w:p>
    <w:p>
      <w:pPr>
        <w:spacing w:after="0" w:line="221"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31"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5715</wp:posOffset>
            </wp:positionV>
            <wp:extent cx="977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ectPr>
          <w:pgSz w:w="11900" w:h="16838" w:orient="portrait"/>
          <w:cols w:equalWidth="0" w:num="1">
            <w:col w:w="11360"/>
          </w:cols>
          <w:pgMar w:left="240" w:top="112" w:right="299" w:bottom="1440" w:gutter="0" w:footer="0" w:header="0"/>
        </w:sectPr>
      </w:pPr>
    </w:p>
    <w:p>
      <w:pPr>
        <w:spacing w:after="0" w:line="220" w:lineRule="exact"/>
        <w:rPr>
          <w:sz w:val="20"/>
          <w:szCs w:val="20"/>
          <w:color w:val="auto"/>
        </w:rPr>
      </w:pPr>
    </w:p>
    <w:p>
      <w:pPr>
        <w:ind w:left="180" w:right="3420" w:hanging="161"/>
        <w:spacing w:after="0" w:line="272" w:lineRule="auto"/>
        <w:rPr>
          <w:sz w:val="20"/>
          <w:szCs w:val="20"/>
          <w:color w:val="auto"/>
        </w:rPr>
      </w:pPr>
      <w:r>
        <w:rPr>
          <w:rFonts w:ascii="Times New Roman" w:cs="Times New Roman" w:eastAsia="Times New Roman" w:hAnsi="Times New Roman"/>
          <w:sz w:val="17"/>
          <w:szCs w:val="17"/>
          <w:color w:val="auto"/>
        </w:rPr>
        <w:t>Unearned shares subject to performance-based restrictions at target: 2017 - 2019 consolidated pre-tax income growth objectives 2018 - 2020 consolidated total revenue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61575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15759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2018 - 2020 consolidated pre-tax income growth objectives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2019 - 2021 consolidated pre-tax income growth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5759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shares outstanding, November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1575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83,897</w:t>
      </w:r>
    </w:p>
    <w:p>
      <w:pPr>
        <w:spacing w:after="0" w:line="27"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20,756</w:t>
      </w:r>
    </w:p>
    <w:p>
      <w:pPr>
        <w:spacing w:after="0" w:line="9"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color w:val="auto"/>
        </w:rPr>
        <w:t>62,500</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95,811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14605</wp:posOffset>
            </wp:positionV>
            <wp:extent cx="977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31750</wp:posOffset>
            </wp:positionV>
            <wp:extent cx="977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123" w:lineRule="exact"/>
        <w:rPr>
          <w:sz w:val="20"/>
          <w:szCs w:val="20"/>
          <w:color w:val="auto"/>
        </w:rPr>
      </w:pPr>
    </w:p>
    <w:p>
      <w:pPr>
        <w:sectPr>
          <w:pgSz w:w="11900" w:h="16838" w:orient="portrait"/>
          <w:cols w:equalWidth="0" w:num="2">
            <w:col w:w="8300" w:space="720"/>
            <w:col w:w="2340"/>
          </w:cols>
          <w:pgMar w:left="240" w:top="112" w:right="299" w:bottom="1440" w:gutter="0" w:footer="0" w:header="0"/>
          <w:type w:val="continuous"/>
        </w:sectPr>
      </w:pPr>
    </w:p>
    <w:p>
      <w:pPr>
        <w:spacing w:after="0" w:line="29"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The effective tax rate was 23.7% and 2.1% for the thirteen and thirty-nine weeks ended November 2, 2019, respectively, compared to 39.3% and 36.8% for the thirteen and thirty-nine weeks ended November 3, 2018, respectively. The 2019 effective tax rate for the thirty-nine week period differs from the statutory rate of 21% primarily due to a valuation allowance recorded on deferred tax assets in certain foreign loss jurisdictions and the $0.2 million negative tax impact of equity awards. The 2018 effective tax rate differed from the statutory rate of 21% primarily due to the jurisdictional mix of earnings.</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2" w:right="2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November 2, 2019 and November 3,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gridSpan w:val="1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thirteen weeks ended November 2, 2019</w:t>
            </w:r>
          </w:p>
        </w:tc>
        <w:tc>
          <w:tcPr>
            <w:tcW w:w="120" w:type="dxa"/>
            <w:vAlign w:val="bottom"/>
          </w:tcPr>
          <w:p>
            <w:pPr>
              <w:spacing w:after="0"/>
              <w:rPr>
                <w:sz w:val="20"/>
                <w:szCs w:val="20"/>
                <w:color w:val="auto"/>
              </w:rPr>
            </w:pPr>
          </w:p>
        </w:tc>
        <w:tc>
          <w:tcPr>
            <w:tcW w:w="4300" w:type="dxa"/>
            <w:vAlign w:val="bottom"/>
            <w:gridSpan w:val="1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 thirteen weeks ended November 3, 2018</w:t>
            </w:r>
          </w:p>
        </w:tc>
        <w:tc>
          <w:tcPr>
            <w:tcW w:w="0" w:type="dxa"/>
            <w:vAlign w:val="bottom"/>
          </w:tcPr>
          <w:p>
            <w:pPr>
              <w:spacing w:after="0"/>
              <w:rPr>
                <w:sz w:val="1"/>
                <w:szCs w:val="1"/>
                <w:color w:val="auto"/>
              </w:rPr>
            </w:pPr>
          </w:p>
        </w:tc>
      </w:tr>
      <w:tr>
        <w:trPr>
          <w:trHeight w:val="426"/>
        </w:trPr>
        <w:tc>
          <w:tcPr>
            <w:tcW w:w="2420" w:type="dxa"/>
            <w:vAlign w:val="bottom"/>
          </w:tcPr>
          <w:p>
            <w:pPr>
              <w:spacing w:after="0"/>
              <w:rPr>
                <w:sz w:val="24"/>
                <w:szCs w:val="24"/>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AOCI</w:t>
            </w:r>
          </w:p>
        </w:tc>
        <w:tc>
          <w:tcPr>
            <w:tcW w:w="8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APIC (1)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70,295</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(11,579)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88,505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67,383</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(12,015)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53,811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$ 109,329</w:t>
            </w:r>
          </w:p>
        </w:tc>
        <w:tc>
          <w:tcPr>
            <w:tcW w:w="0" w:type="dxa"/>
            <w:vAlign w:val="bottom"/>
          </w:tcPr>
          <w:p>
            <w:pPr>
              <w:spacing w:after="0"/>
              <w:rPr>
                <w:sz w:val="1"/>
                <w:szCs w:val="1"/>
                <w:color w:val="auto"/>
              </w:rPr>
            </w:pP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repurchase and</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retirement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935</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stock plans</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(6,064)</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Balance, ending</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69,955</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(11,927)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23,763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81,943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68,274</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(12,049)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47,517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$ 103,892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Accumulated other comprehensive income (loss) (“AOCI”)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thirty-nine weeks ended November 2, 2019 and November 3,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gridSpan w:val="1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thirty-nine weeks ended November 2, 2019</w:t>
            </w:r>
          </w:p>
        </w:tc>
        <w:tc>
          <w:tcPr>
            <w:tcW w:w="120" w:type="dxa"/>
            <w:vAlign w:val="bottom"/>
          </w:tcPr>
          <w:p>
            <w:pPr>
              <w:spacing w:after="0"/>
              <w:rPr>
                <w:sz w:val="20"/>
                <w:szCs w:val="20"/>
                <w:color w:val="auto"/>
              </w:rPr>
            </w:pPr>
          </w:p>
        </w:tc>
        <w:tc>
          <w:tcPr>
            <w:tcW w:w="4300" w:type="dxa"/>
            <w:vAlign w:val="bottom"/>
            <w:gridSpan w:val="1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thirty-nine weeks ended November 3, 2018</w:t>
            </w:r>
          </w:p>
        </w:tc>
        <w:tc>
          <w:tcPr>
            <w:tcW w:w="0" w:type="dxa"/>
            <w:vAlign w:val="bottom"/>
          </w:tcPr>
          <w:p>
            <w:pPr>
              <w:spacing w:after="0"/>
              <w:rPr>
                <w:sz w:val="1"/>
                <w:szCs w:val="1"/>
                <w:color w:val="auto"/>
              </w:rPr>
            </w:pPr>
          </w:p>
        </w:tc>
      </w:tr>
      <w:tr>
        <w:trPr>
          <w:trHeight w:val="426"/>
        </w:trPr>
        <w:tc>
          <w:tcPr>
            <w:tcW w:w="2580" w:type="dxa"/>
            <w:vAlign w:val="bottom"/>
          </w:tcPr>
          <w:p>
            <w:pPr>
              <w:spacing w:after="0"/>
              <w:rPr>
                <w:sz w:val="24"/>
                <w:szCs w:val="24"/>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APIC</w:t>
            </w:r>
          </w:p>
        </w:tc>
        <w:tc>
          <w:tcPr>
            <w:tcW w:w="82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AOCI</w:t>
            </w:r>
          </w:p>
        </w:tc>
        <w:tc>
          <w:tcPr>
            <w:tcW w:w="9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APIC</w:t>
            </w: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AOCI</w:t>
            </w:r>
          </w:p>
        </w:tc>
        <w:tc>
          <w:tcPr>
            <w:tcW w:w="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$ 69,088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(12,018)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37,094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1"/>
              </w:rPr>
              <w:t>$ 94,314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66,843</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(10,800)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55,909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$ 112,102</w:t>
            </w: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Adoption of new accounting</w:t>
            </w:r>
          </w:p>
        </w:tc>
        <w:tc>
          <w:tcPr>
            <w:tcW w:w="1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(7,430)</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(7,430)</w:t>
            </w:r>
          </w:p>
        </w:tc>
        <w:tc>
          <w:tcPr>
            <w:tcW w:w="1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standard</w:t>
            </w:r>
          </w:p>
        </w:tc>
        <w:tc>
          <w:tcPr>
            <w:tcW w:w="1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$ 69,088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(12,018)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29,664</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1"/>
              </w:rPr>
              <w:t>$ 86,884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66,843</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(10,800)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55,909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$ 112,102</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 and retirement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(1,058)</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(867)</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2,624</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2,624</w:t>
            </w:r>
          </w:p>
        </w:tc>
        <w:tc>
          <w:tcPr>
            <w:tcW w:w="0" w:type="dxa"/>
            <w:vAlign w:val="bottom"/>
          </w:tcPr>
          <w:p>
            <w:pPr>
              <w:spacing w:after="0"/>
              <w:rPr>
                <w:sz w:val="1"/>
                <w:szCs w:val="1"/>
                <w:color w:val="auto"/>
              </w:rPr>
            </w:pPr>
          </w:p>
        </w:tc>
      </w:tr>
      <w:tr>
        <w:trPr>
          <w:trHeight w:val="198"/>
        </w:trPr>
        <w:tc>
          <w:tcPr>
            <w:tcW w:w="2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employee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stock plans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(1,249)</w:t>
            </w:r>
          </w:p>
        </w:tc>
        <w:tc>
          <w:tcPr>
            <w:tcW w:w="14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(5,901)</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(7,510)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0"/>
        </w:trPr>
        <w:tc>
          <w:tcPr>
            <w:tcW w:w="2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Balance, ending</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$ 69,955</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 (11,927)</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23,763</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81,943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68,274</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(12,049)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47,517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$ 103,892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Accumulated other comprehensive income (loss) (“AOCI”)</w:t>
      </w:r>
    </w:p>
    <w:p>
      <w:pPr>
        <w:spacing w:after="0" w:line="207"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In August 2017, the Company’s Board of Directors authorized a share repurchase program of up to $20.0 million. From the date of such authorization through November 2, 2019, the Company has repurchased approximately 1.3 million shares at an average price of $8.75 per share for an aggregate amount of approximately $11.2 million, leaving approximately $8.8 million authorized under the program as of that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 in periods of net loss, no effect is given to the Company’s participating securities as they do not contractually participate in the losses of the Company:</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21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Thirty-nine weeks ended</w:t>
            </w:r>
          </w:p>
        </w:tc>
        <w:tc>
          <w:tcPr>
            <w:tcW w:w="0" w:type="dxa"/>
            <w:vAlign w:val="bottom"/>
          </w:tcPr>
          <w:p>
            <w:pPr>
              <w:spacing w:after="0"/>
              <w:rPr>
                <w:sz w:val="1"/>
                <w:szCs w:val="1"/>
                <w:color w:val="auto"/>
              </w:rPr>
            </w:pPr>
          </w:p>
        </w:tc>
      </w:tr>
      <w:tr>
        <w:trPr>
          <w:trHeight w:val="187"/>
        </w:trPr>
        <w:tc>
          <w:tcPr>
            <w:tcW w:w="5440" w:type="dxa"/>
            <w:vAlign w:val="bottom"/>
          </w:tcPr>
          <w:p>
            <w:pPr>
              <w:spacing w:after="0"/>
              <w:rPr>
                <w:sz w:val="16"/>
                <w:szCs w:val="16"/>
                <w:color w:val="auto"/>
              </w:rPr>
            </w:pPr>
          </w:p>
        </w:tc>
        <w:tc>
          <w:tcPr>
            <w:tcW w:w="1180" w:type="dxa"/>
            <w:vAlign w:val="bottom"/>
            <w:tcBorders>
              <w:top w:val="single" w:sz="8" w:color="auto"/>
            </w:tcBorders>
            <w:gridSpan w:val="3"/>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November 3,</w:t>
            </w:r>
          </w:p>
        </w:tc>
        <w:tc>
          <w:tcPr>
            <w:tcW w:w="200" w:type="dxa"/>
            <w:vAlign w:val="bottom"/>
          </w:tcPr>
          <w:p>
            <w:pPr>
              <w:spacing w:after="0"/>
              <w:rPr>
                <w:sz w:val="16"/>
                <w:szCs w:val="16"/>
                <w:color w:val="auto"/>
              </w:rPr>
            </w:pPr>
          </w:p>
        </w:tc>
        <w:tc>
          <w:tcPr>
            <w:tcW w:w="120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10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before allocation of earnings to participating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16"/>
        </w:trPr>
        <w:tc>
          <w:tcPr>
            <w:tcW w:w="544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Less: Earnings allocated to participating securities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(6,064)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14,752,307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14,590,614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14,697,592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14,597,255</w:t>
            </w:r>
          </w:p>
        </w:tc>
        <w:tc>
          <w:tcPr>
            <w:tcW w:w="0" w:type="dxa"/>
            <w:vAlign w:val="bottom"/>
          </w:tcPr>
          <w:p>
            <w:pPr>
              <w:spacing w:after="0"/>
              <w:rPr>
                <w:sz w:val="1"/>
                <w:szCs w:val="1"/>
                <w:color w:val="auto"/>
              </w:rPr>
            </w:pPr>
          </w:p>
        </w:tc>
      </w:tr>
      <w:tr>
        <w:trPr>
          <w:trHeight w:val="216"/>
        </w:trPr>
        <w:tc>
          <w:tcPr>
            <w:tcW w:w="5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4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14,752,307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14,590,614</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14,697,592</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14,597,255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Basic loss per common share attributable to Build-A-Bear Workshop, Inc.</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194"/>
        </w:trPr>
        <w:tc>
          <w:tcPr>
            <w:tcW w:w="54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stockholders</w:t>
            </w:r>
          </w:p>
        </w:tc>
        <w:tc>
          <w:tcPr>
            <w:tcW w:w="16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440" w:type="dxa"/>
            <w:vAlign w:val="bottom"/>
            <w:tcBorders>
              <w:right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Diluted loss per common share attributable to Build-A-Bear Workshop,</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(0.42)</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4"/>
        </w:trPr>
        <w:tc>
          <w:tcPr>
            <w:tcW w:w="5440" w:type="dxa"/>
            <w:vAlign w:val="bottom"/>
            <w:tcBorders>
              <w:right w:val="single" w:sz="8" w:color="CCEEFF"/>
            </w:tcBorders>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Inc. stockholders</w:t>
            </w:r>
          </w:p>
        </w:tc>
        <w:tc>
          <w:tcPr>
            <w:tcW w:w="1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calculating the diluted income per share for the thirteen and thirty-nine weeks ended November 2, 2019 options to purchase 923,715 and 928,236 shares of common stock, respectively, that were outstanding at the end of the period were not included in the computation of diluted income per share due to their anti-dilutive effect. For the thirteen and thirty-nine weeks ended November 3, 2018, the number of options to purchase common shares that were excluded from the calculation were 594,183 and 563,611 shares,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 (Loss)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income (loss) balance at November 2, 2019 and November 3, 2018 was comprised entirely of foreign currency translation. For the thirteen weeks ended November 2, 2019 and November 3, 2018, there were no reclassifications out of accumulated other comprehensive loss.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 the U.S., Canada, China, Denmark, Ireland and the United Kingdom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U.K., Ireland and Denmark), Asia, Australia, the Middle East, Africa and Mexico.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Direct-to-</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Thirteen weeks ended November 2, 2019</w:t>
            </w: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$ 66,575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$ 2,560</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$ 1,249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$ 70,384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(8,578)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Thirteen weeks ended November 3, 2018</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$ 65,298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$ 2,171</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$ 1,225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$ 68,694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(11,406)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Thirty-nine weeks ended November 2, 2019</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$ 222,837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$ 8,507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$ 2,616</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$ 233,960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(9,384)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10,099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10,354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Thirty-nine weeks ended November 3, 2018</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$ 227,760</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$ 4,245</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$ 3,051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$ 235,056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(14,577)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8,853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12,159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as of:</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November 2, 2019 (1)</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281,365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7,804</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$ 296,677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3, 2018</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166,833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178,854</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right="60" w:firstLine="8"/>
        <w:spacing w:after="0" w:line="261" w:lineRule="auto"/>
        <w:tabs>
          <w:tab w:leader="none" w:pos="2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total assets when comparing November 2, 2019 to November 3, 2018 is mainly the result of the adoption of Topic 842 on leases effective February 3, 2019.</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2"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38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America (1)</w:t>
            </w:r>
          </w:p>
        </w:tc>
        <w:tc>
          <w:tcPr>
            <w:tcW w:w="16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Europe (2)</w:t>
            </w:r>
          </w:p>
        </w:tc>
        <w:tc>
          <w:tcPr>
            <w:tcW w:w="1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Other (3)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Thirteen weeks ended November 2, 2019</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Thirteen weeks ended November 3, 2018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Thirty-nine weeks ended November 2, 2019</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198,900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60,481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Thirty-nine weeks ended November 3, 2018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198,372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64,249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73,343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 managed locations in the United States, Canada, Puerto Rico and franchise business in Mexico</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 managed locations in the U.K., Ireland, Denmark and franchise businesses in Europe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 and a corporately-managed location in China</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4"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 K. customs authority contested the Company's appeal. On November 27, 2019, the trial court issued a ruling that duty was due on some, but not all, of the products at issue. The Company maintains a provision against the related receivable, based on a current evaluation of collectability, using the latest facts available in the dispute. As of November 2, 2019, the Company had a gross receivable balance of $4.2 million and a reserve of $3.2 million, leaving a net receivable of $1.0 million. The Company is currently evaluating an appeal of the trial court's ruling and believes that the outcome of this dispute will not have a material adverse impact on the results of operations, liquidity or financial position of the Company.</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2"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the Company’s Annual Report on Form 10-K for the fiscal year ended February 2, 2019, as filed with the SEC, and include the following:</w:t>
      </w:r>
    </w:p>
    <w:p>
      <w:pPr>
        <w:spacing w:after="0" w:line="184" w:lineRule="exact"/>
        <w:rPr>
          <w:sz w:val="20"/>
          <w:szCs w:val="20"/>
          <w:color w:val="auto"/>
        </w:rPr>
      </w:pPr>
    </w:p>
    <w:p>
      <w:pPr>
        <w:ind w:left="820" w:right="180" w:hanging="353"/>
        <w:spacing w:after="0" w:line="261"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general global economic conditions could lead to disproportionately reduced consumer demand for our products, which represent relatively discretionary spending, and have an adverse effect on our liquidity and profitability;</w:t>
      </w:r>
    </w:p>
    <w:p>
      <w:pPr>
        <w:ind w:left="820" w:hanging="353"/>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corporately-managed locations profitably;</w:t>
      </w:r>
    </w:p>
    <w:p>
      <w:pPr>
        <w:spacing w:after="0" w:line="9" w:lineRule="exact"/>
        <w:rPr>
          <w:rFonts w:ascii="Times New Roman" w:cs="Times New Roman" w:eastAsia="Times New Roman" w:hAnsi="Times New Roman"/>
          <w:sz w:val="18"/>
          <w:szCs w:val="18"/>
          <w:color w:val="auto"/>
        </w:rPr>
      </w:pPr>
    </w:p>
    <w:p>
      <w:pPr>
        <w:ind w:left="820" w:right="20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we are located to attract guests to our stores and a decline in consumer traffic could adversely affect our financial performance and profitability;</w:t>
      </w:r>
    </w:p>
    <w:p>
      <w:pPr>
        <w:ind w:left="820" w:right="6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jc w:val="both"/>
        <w:ind w:left="820" w:right="6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 w:lineRule="exact"/>
        <w:rPr>
          <w:rFonts w:ascii="Times New Roman" w:cs="Times New Roman" w:eastAsia="Times New Roman" w:hAnsi="Times New Roman"/>
          <w:sz w:val="18"/>
          <w:szCs w:val="18"/>
          <w:color w:val="auto"/>
        </w:rPr>
      </w:pPr>
    </w:p>
    <w:p>
      <w:pPr>
        <w:ind w:left="820" w:right="14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820" w:right="4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ind w:left="820" w:right="24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ind w:left="820" w:right="24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820" w:hanging="353"/>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82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 w:lineRule="exact"/>
        <w:rPr>
          <w:rFonts w:ascii="Times New Roman" w:cs="Times New Roman" w:eastAsia="Times New Roman" w:hAnsi="Times New Roman"/>
          <w:sz w:val="18"/>
          <w:szCs w:val="18"/>
          <w:color w:val="auto"/>
        </w:rPr>
      </w:pPr>
    </w:p>
    <w:p>
      <w:pPr>
        <w:ind w:left="820" w:right="24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ind w:left="820" w:right="66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spacing w:after="0" w:line="1" w:lineRule="exact"/>
        <w:rPr>
          <w:rFonts w:ascii="Times New Roman" w:cs="Times New Roman" w:eastAsia="Times New Roman" w:hAnsi="Times New Roman"/>
          <w:sz w:val="18"/>
          <w:szCs w:val="18"/>
          <w:color w:val="auto"/>
        </w:rPr>
      </w:pPr>
    </w:p>
    <w:p>
      <w:pPr>
        <w:ind w:left="820" w:right="26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820" w:right="8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820" w:right="8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820" w:right="400" w:hanging="353"/>
        <w:spacing w:after="0" w:line="250"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820" w:hanging="353"/>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products prices;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left="820" w:hanging="353"/>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a significant variety of competitive threats;</w:t>
      </w:r>
    </w:p>
    <w:p>
      <w:pPr>
        <w:spacing w:after="0" w:line="27" w:lineRule="exact"/>
        <w:rPr>
          <w:rFonts w:ascii="Times New Roman" w:cs="Times New Roman" w:eastAsia="Times New Roman" w:hAnsi="Times New Roman"/>
          <w:sz w:val="18"/>
          <w:szCs w:val="18"/>
          <w:color w:val="auto"/>
        </w:rPr>
      </w:pPr>
    </w:p>
    <w:p>
      <w:pPr>
        <w:ind w:left="820" w:right="160" w:hanging="353"/>
        <w:spacing w:after="0" w:line="25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820" w:right="260" w:hanging="353"/>
        <w:spacing w:after="0" w:line="25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ind w:left="820" w:right="120" w:hanging="353"/>
        <w:spacing w:after="0" w:line="250"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and we may be unable to repurchase shares at all or at the times or in the amounts we desire or the results of our share repurchase program may not be as beneficial as we would like;</w:t>
      </w:r>
    </w:p>
    <w:p>
      <w:pPr>
        <w:ind w:left="820" w:hanging="353"/>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ind w:left="820" w:hanging="353"/>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subject to volatility, which could in turn attract the interest of activist shareholders; and</w:t>
      </w:r>
    </w:p>
    <w:p>
      <w:pPr>
        <w:spacing w:after="0" w:line="9" w:lineRule="exact"/>
        <w:rPr>
          <w:rFonts w:ascii="Times New Roman" w:cs="Times New Roman" w:eastAsia="Times New Roman" w:hAnsi="Times New Roman"/>
          <w:sz w:val="18"/>
          <w:szCs w:val="18"/>
          <w:color w:val="auto"/>
        </w:rPr>
      </w:pPr>
    </w:p>
    <w:p>
      <w:pPr>
        <w:ind w:left="820" w:right="260" w:hanging="353"/>
        <w:spacing w:after="0" w:line="261"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We are the only global company that offers an interactive “make your own stuffed animal” retail entertainment experience under the Build-A-Bear Workshop brand, in which guests participate in the stuffing, dressing, accessorizing and naming of their own teddy bears and other stuffed animals. As of November 2, 2019, we operated 371 stores globally and had 104 franchised stores operating internationally under the Build-A-Bear Workshop brand. In addition to our stores, we sell products on our company-owned e-commerce sites and franchisee sites and through third parties under wholesale agreements.</w:t>
      </w:r>
    </w:p>
    <w:p>
      <w:pPr>
        <w:spacing w:after="0" w:line="16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660" w:right="20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(“DTC”) – Corporately-managed retail stores located in the U.S., Canada, Puerto Rico, the U.K., Ireland, Denmark and China and two e-commerce sites;</w:t>
      </w:r>
    </w:p>
    <w:p>
      <w:pPr>
        <w:ind w:left="660" w:right="32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 Transactions with other businesses, mainly comprised of wholesale product sales and licensing our intellectual property, including entertainment properties, for third-party use;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franchising – Royalties as well as product and fixture sales from other international operations under franchise agreements.</w:t>
      </w:r>
    </w:p>
    <w:p>
      <w:pPr>
        <w:spacing w:after="0" w:line="23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thirty-nine weeks ended November 2, 2019 and November 3, 2018 are set forth in the notes to our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to improve consolidated sales and profit through the following key initiatives:</w:t>
      </w:r>
    </w:p>
    <w:p>
      <w:pPr>
        <w:spacing w:after="0" w:line="225" w:lineRule="exact"/>
        <w:rPr>
          <w:sz w:val="20"/>
          <w:szCs w:val="20"/>
          <w:color w:val="auto"/>
        </w:rPr>
      </w:pPr>
    </w:p>
    <w:p>
      <w:pPr>
        <w:ind w:left="920" w:hanging="331"/>
        <w:spacing w:after="0" w:line="252"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Development of our experiential retail model to diversify and expand the impact and reach of our brand:</w:t>
      </w:r>
      <w:r>
        <w:rPr>
          <w:rFonts w:ascii="Times New Roman" w:cs="Times New Roman" w:eastAsia="Times New Roman" w:hAnsi="Times New Roman"/>
          <w:sz w:val="18"/>
          <w:szCs w:val="18"/>
          <w:color w:val="auto"/>
        </w:rPr>
        <w:t xml:space="preserve"> We expect to continue to diversify our real estate portfolio to focus on places where families are increasingly going to shop or going for entertainment. We have been actively identifying and securing more tourist locations through both corporately-managed sites and third-party retail locations. We expect to continue to maintain the high level of lease optionality that we have achieved by planning and leveraging select natural lease events such as lease renewals or terminations. We are also actively working with a large retailer to expand our reach to a broader array of consumers. In addition, we expect to continue to enhance our capabilities and expand our eCommerce offerings to build on our eight consecutive quarters of growth through our web and mobile commerce sites. We believe that there is significant opportunity to develop products to reach key segments including our core family demographic as well as gift-givers and the affinity/collector sector. In addition, we expect to continue to improve our online marketing programs to drive traffic to the site and leverage advanced data analysis capabilities to reduce cart abandonment and increase conversion rates of site traffic. We also expect to increase lifetime value of our Bonus Club loyalty members through enhanced segmentation models and improved</w:t>
      </w:r>
    </w:p>
    <w:p>
      <w:pPr>
        <w:spacing w:after="0" w:line="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marketing communications.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left="920" w:right="180" w:hanging="331"/>
        <w:spacing w:after="0" w:line="255"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the power of our brand and intellectual properties to build margin accretive revenue streams:</w:t>
      </w:r>
      <w:r>
        <w:rPr>
          <w:rFonts w:ascii="Times New Roman" w:cs="Times New Roman" w:eastAsia="Times New Roman" w:hAnsi="Times New Roman"/>
          <w:sz w:val="18"/>
          <w:szCs w:val="18"/>
          <w:color w:val="auto"/>
        </w:rPr>
        <w:t xml:space="preserve"> To meet the needs of our core consumer base (girls and boys ages 3 to 12) while systematically building secondary consumer segments (including collectors, gift-givers and teen-plus), we expect to continue to develop and expand offerings of successful intellectual properties balanced with core products and a comprehensive program of key licensed products. We expect to leverage the power of both our Build-A-Bear brand as well as our other intellectual properties to further develop our outbound licensed programs and expand these and other margin accretive revenue streams. We also expect to build the entertainment aspects of our business model as we continue to develop content to connect with consumers beyond our retail stores including Build-A-Bear Radio, online videos and other entertainment opportunities through recently completed deals to increase engagement, improve efficiency and lead to profitable growth.</w:t>
      </w:r>
    </w:p>
    <w:p>
      <w:pPr>
        <w:spacing w:after="0" w:line="185" w:lineRule="exact"/>
        <w:rPr>
          <w:rFonts w:ascii="Times New Roman" w:cs="Times New Roman" w:eastAsia="Times New Roman" w:hAnsi="Times New Roman"/>
          <w:sz w:val="18"/>
          <w:szCs w:val="18"/>
          <w:color w:val="auto"/>
        </w:rPr>
      </w:pPr>
    </w:p>
    <w:p>
      <w:pPr>
        <w:ind w:left="920" w:right="60" w:hanging="331"/>
        <w:spacing w:after="0" w:line="261" w:lineRule="auto"/>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Profitability Improvement:</w:t>
      </w:r>
      <w:r>
        <w:rPr>
          <w:rFonts w:ascii="Times New Roman" w:cs="Times New Roman" w:eastAsia="Times New Roman" w:hAnsi="Times New Roman"/>
          <w:sz w:val="18"/>
          <w:szCs w:val="18"/>
          <w:color w:val="auto"/>
        </w:rPr>
        <w:t xml:space="preserve"> We are focused on improving profitability through the execution of our stated strategies detailed above as well as disciplined expense management and on-going efforts in process and systems upgrades. While we continue to monitor consolidated comparable sales as an important metric in our business, we believe that total revenue growth and profitability improvement are more indicative of the progress in our business initiatives on a go forward basis.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corporately-managed stores in North America, Europe and Asia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4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November 2, 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November 3, 2018</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2400" w:type="dxa"/>
            <w:vAlign w:val="bottom"/>
          </w:tcPr>
          <w:p>
            <w:pPr>
              <w:spacing w:after="0"/>
              <w:rPr>
                <w:sz w:val="16"/>
                <w:szCs w:val="16"/>
                <w:color w:val="auto"/>
              </w:rPr>
            </w:pPr>
          </w:p>
        </w:tc>
        <w:tc>
          <w:tcPr>
            <w:tcW w:w="112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40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20" w:type="dxa"/>
            <w:vAlign w:val="bottom"/>
          </w:tcPr>
          <w:p>
            <w:pPr>
              <w:spacing w:after="0"/>
              <w:rPr>
                <w:sz w:val="20"/>
                <w:szCs w:val="20"/>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Asia</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Asia</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59</w:t>
            </w:r>
          </w:p>
        </w:tc>
        <w:tc>
          <w:tcPr>
            <w:tcW w:w="7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4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55</w:t>
            </w:r>
          </w:p>
        </w:tc>
        <w:tc>
          <w:tcPr>
            <w:tcW w:w="7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0"/>
        </w:trPr>
        <w:tc>
          <w:tcPr>
            <w:tcW w:w="2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During 2019, we will continue to make improvements to our aged store fleet by leveraging the Discovery format in conjunction with select natural lease events. As of November 2, 2019, 38% of our store base was in an updated Discovery design. We also expect to close certain stores in accordance with natural lease events as an ongoing part of our real estate management and day-to-day operational plans. Current plans include expansion into more non-traditional locations, including concourse format shops and by expansion in other locations outside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corporately-managed stores. As of November 2, 2019, we had nine master franchise agreements, which typically grant franchise rights for a particular country or group of countries, covering an aggregate of 13 countries.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36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 2019</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3, 2018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Opened</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Closed</w:t>
            </w:r>
          </w:p>
        </w:tc>
        <w:tc>
          <w:tcPr>
            <w:tcW w:w="28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End of period</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0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21</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and terminating other such agreements. We believe there is a market potential for approximately 300 international stores outside of the United States, Canada, the U.K., Ireland and Denmark. We continue to expect franchisees to leverage the new formats that have been developed for our corporately-managed operations and sourcing changes that have significantly reduced the capital and expenses required to open stores. We expect to continue to develop market expansion through both new and existing franchisees.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6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5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456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10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November 3,</w:t>
            </w:r>
          </w:p>
        </w:tc>
        <w:tc>
          <w:tcPr>
            <w:tcW w:w="26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November 2,</w:t>
            </w:r>
          </w:p>
        </w:tc>
        <w:tc>
          <w:tcPr>
            <w:tcW w:w="106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November 3,</w:t>
            </w:r>
          </w:p>
        </w:tc>
        <w:tc>
          <w:tcPr>
            <w:tcW w:w="160" w:type="dxa"/>
            <w:vAlign w:val="bottom"/>
          </w:tcPr>
          <w:p>
            <w:pPr>
              <w:spacing w:after="0"/>
              <w:rPr>
                <w:sz w:val="16"/>
                <w:szCs w:val="16"/>
                <w:color w:val="auto"/>
              </w:rPr>
            </w:pPr>
          </w:p>
        </w:tc>
      </w:tr>
      <w:tr>
        <w:trPr>
          <w:trHeight w:val="238"/>
        </w:trPr>
        <w:tc>
          <w:tcPr>
            <w:tcW w:w="4560" w:type="dxa"/>
            <w:vAlign w:val="bottom"/>
          </w:tcPr>
          <w:p>
            <w:pPr>
              <w:spacing w:after="0"/>
              <w:rPr>
                <w:sz w:val="20"/>
                <w:szCs w:val="20"/>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retail sales</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w:t>
            </w:r>
          </w:p>
        </w:tc>
      </w:tr>
      <w:tr>
        <w:trPr>
          <w:trHeight w:val="216"/>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revenue</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45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merchandise sold - retail (1)</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60.5</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64.5</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Cost of merchandise sold - commercial (1)</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55.2</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35.6</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merchandise sold - international franchising (1)</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77.0</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59.7</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92.4</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54.1</w:t>
            </w:r>
          </w:p>
        </w:tc>
      </w:tr>
      <w:tr>
        <w:trPr>
          <w:trHeight w:val="20"/>
        </w:trPr>
        <w:tc>
          <w:tcPr>
            <w:tcW w:w="4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60.6</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63.5</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45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4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50.3</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51.1</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4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45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197"/>
        </w:trPr>
        <w:tc>
          <w:tcPr>
            <w:tcW w:w="45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Gross Margin (2)</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r>
    </w:tbl>
    <w:p>
      <w:pPr>
        <w:spacing w:after="0" w:line="198" w:lineRule="exact"/>
        <w:rPr>
          <w:sz w:val="20"/>
          <w:szCs w:val="20"/>
          <w:color w:val="auto"/>
        </w:rPr>
      </w:pPr>
    </w:p>
    <w:p>
      <w:pPr>
        <w:ind w:left="380" w:right="100" w:hanging="372"/>
        <w:spacing w:after="0" w:line="261"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80" w:hanging="372"/>
        <w:spacing w:after="0" w:line="261"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November 2, 2019 compared to thirteen weeks ended November 3, 2018</w:t>
      </w:r>
    </w:p>
    <w:p>
      <w:pPr>
        <w:spacing w:after="0" w:line="227"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2.5%, including a 1.9% increase in North America, a 0.2% decrease in Europe, and a double 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consolidated e-commerce sales.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retail sales for the thirteen weeks ended November 2, 2019 were $66.6 million, compared to $65.3 million for the thirteen weeks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 2018, a increase of $1.3 million, or 2.0%. The components of this increase are as follows (dollars in millions):</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Impact from:</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November 2, 2019</w:t>
            </w:r>
          </w:p>
        </w:tc>
        <w:tc>
          <w:tcPr>
            <w:tcW w:w="0" w:type="dxa"/>
            <w:vAlign w:val="bottom"/>
          </w:tcPr>
          <w:p>
            <w:pPr>
              <w:spacing w:after="0"/>
              <w:rPr>
                <w:sz w:val="1"/>
                <w:szCs w:val="1"/>
                <w:color w:val="auto"/>
              </w:rPr>
            </w:pPr>
          </w:p>
        </w:tc>
      </w:tr>
      <w:tr>
        <w:trPr>
          <w:trHeight w:val="210"/>
        </w:trPr>
        <w:tc>
          <w:tcPr>
            <w:tcW w:w="806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store and e-commerce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New stores</w:t>
            </w: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closures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estimates, including breakage</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80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retail revenue increase was driven primarily by strong e-commerce growth and new shop-in-shops at select Walmart locations in comparison to the prior year third quarter.</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$2.6 million for the thirteen weeks ended November 2, 2019 compared to $2.2 million for the thirteen weeks ended November 3, 2018. The $0.4 million increase includes wholesale merchandise and furniture/fixture sales and outbound licensing fees, reflecting the results of our efforts to evolve the business model beyond traditional retail.</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$1.2 million for the thirteen weeks ended November 2, 2019 compared to $1.2 million for the thirteen weeks ended November 3, 2018.</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$3.1 million to $26.3 million compared to the thirteen weeks ended November 3, 2018.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retail gross margin rate increased 400 basis points to 39.5% mainly driven by merchandise margin expansion and leverage on occupancy costs.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$35.4 million for the thirteen weeks ended November 2,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of $0.3 million compared to the thirteen weeks ended November 3, 2018. Cost savings in advertising and foreign currency gains were offset by an increase in accrued incentive compensation.</w:t>
      </w:r>
    </w:p>
    <w:p>
      <w:pPr>
        <w:spacing w:after="0" w:line="174"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Interest expense was $7,500 for the thirteen weeks ended November 2, 2019 compared to interest income of $16,000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thirteen weeks ended November 3, 2018.</w:t>
      </w:r>
    </w:p>
    <w:p>
      <w:pPr>
        <w:spacing w:after="0" w:line="158" w:lineRule="exact"/>
        <w:rPr>
          <w:sz w:val="20"/>
          <w:szCs w:val="20"/>
          <w:color w:val="auto"/>
        </w:rPr>
      </w:pPr>
    </w:p>
    <w:p>
      <w:pPr>
        <w:ind w:right="3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income tax benefit was $1.8 million with a tax rate of 23.7% for the thirteen weeks ended November 2, 2019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 benefit of $3.9 million with a tax rate of 39.3% for the thirteen weeks ended November 3, 2018. In the second quarter of fiscal 2018, the effective tax rate differed from the statutory rate of 21% primarily due to the jurisdictional mix of earnings.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November 2, 2019 compared to thirty-nine weeks ended November 3, 2018</w:t>
      </w:r>
    </w:p>
    <w:p>
      <w:pPr>
        <w:spacing w:after="0" w:line="227" w:lineRule="exact"/>
        <w:rPr>
          <w:sz w:val="20"/>
          <w:szCs w:val="20"/>
          <w:color w:val="auto"/>
        </w:rPr>
      </w:pPr>
    </w:p>
    <w:p>
      <w:pPr>
        <w:jc w:val="both"/>
        <w:ind w:left="160"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decreased 0.5%, including a 0.3% increase in North America, a 6.8% decrease in Europe, and a double digit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consolidated e-commerce sales. We believe that European results continue to reflect the impact of the ongoing uncertainty surrounding Brexit, as well as the May 2018 implementation of new privacy laws, which severely inhibited the Company’s ability to directly market to guests.</w:t>
      </w:r>
    </w:p>
    <w:p>
      <w:pPr>
        <w:spacing w:after="0" w:line="2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Net retail sales for the thirty-nine weeks ended November 2, 2019 were $222.8 million, compared to $227.8 million for the thirty-nine weeks ended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3, 2018, a decrease of $4.9 million or 2.2%. The components of this decrease are as follows (dollars in millions):</w:t>
      </w:r>
    </w:p>
    <w:p>
      <w:pPr>
        <w:spacing w:after="0" w:line="203"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Thirty-nine weeks</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Impact from:</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November 2, 2019</w:t>
            </w:r>
          </w:p>
        </w:tc>
        <w:tc>
          <w:tcPr>
            <w:tcW w:w="0" w:type="dxa"/>
            <w:vAlign w:val="bottom"/>
          </w:tcPr>
          <w:p>
            <w:pPr>
              <w:spacing w:after="0"/>
              <w:rPr>
                <w:sz w:val="1"/>
                <w:szCs w:val="1"/>
                <w:color w:val="auto"/>
              </w:rPr>
            </w:pPr>
          </w:p>
        </w:tc>
      </w:tr>
      <w:tr>
        <w:trPr>
          <w:trHeight w:val="191"/>
        </w:trPr>
        <w:tc>
          <w:tcPr>
            <w:tcW w:w="806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Existing store and e-commerce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stores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Store closures</w:t>
            </w: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estimates, including breakage</w:t>
            </w:r>
          </w:p>
        </w:tc>
        <w:tc>
          <w:tcPr>
            <w:tcW w:w="32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right="40" w:firstLine="648"/>
        <w:spacing w:after="0" w:line="258" w:lineRule="auto"/>
        <w:rPr>
          <w:sz w:val="20"/>
          <w:szCs w:val="20"/>
          <w:color w:val="auto"/>
        </w:rPr>
      </w:pPr>
      <w:r>
        <w:rPr>
          <w:rFonts w:ascii="Times New Roman" w:cs="Times New Roman" w:eastAsia="Times New Roman" w:hAnsi="Times New Roman"/>
          <w:sz w:val="18"/>
          <w:szCs w:val="18"/>
          <w:color w:val="auto"/>
        </w:rPr>
        <w:t>The retail business in the U.K. continues to be impacted due to a challenging retail environment brought on by Brexit and the May 2018 implementation of new privacy laws that have significantly inhibited our ability to build our contact database and market directly to our guests. In addition, the upcoming election and January Brexit deadline may cause additional uncertainty. As a part of our focused effort to mitigate some of the issues in the market, we recently implemented a new technology-based Bonus Club enrollment process that is compliant with the new European privacy regulations. Since then, we have seen significant growth in the opt-in rates of Bonus Club members which we believe will benefit the business on a go-forward basis.</w:t>
      </w:r>
    </w:p>
    <w:p>
      <w:pPr>
        <w:spacing w:after="0" w:line="184" w:lineRule="exact"/>
        <w:rPr>
          <w:sz w:val="20"/>
          <w:szCs w:val="20"/>
          <w:color w:val="auto"/>
        </w:rPr>
      </w:pPr>
    </w:p>
    <w:p>
      <w:pPr>
        <w:ind w:left="20" w:right="6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$8.5 million for the thirty-nine weeks ended November 2, 2019 compared to $4.2 million for the thirty-nine weeks ended November 3, 2018. The $4.3 million increase includes wholesale merchandise and furniture/fixture sales and outbound licensing fees, reflecting the results of our efforts to evolve the business model beyond traditional retail.</w:t>
      </w:r>
    </w:p>
    <w:p>
      <w:pPr>
        <w:spacing w:after="0" w:line="176" w:lineRule="exact"/>
        <w:rPr>
          <w:sz w:val="20"/>
          <w:szCs w:val="20"/>
          <w:color w:val="auto"/>
        </w:rPr>
      </w:pPr>
    </w:p>
    <w:p>
      <w:pPr>
        <w:ind w:left="20" w:right="100" w:firstLine="648"/>
        <w:spacing w:after="0" w:line="266" w:lineRule="auto"/>
        <w:rPr>
          <w:sz w:val="20"/>
          <w:szCs w:val="20"/>
          <w:color w:val="auto"/>
        </w:rPr>
      </w:pPr>
      <w:r>
        <w:rPr>
          <w:rFonts w:ascii="Times New Roman" w:cs="Times New Roman" w:eastAsia="Times New Roman" w:hAnsi="Times New Roman"/>
          <w:sz w:val="18"/>
          <w:szCs w:val="18"/>
          <w:color w:val="auto"/>
        </w:rPr>
        <w:t>International franchising revenue was $2.6 million for the thirty-nine weeks ended November 2, 2019 compared to $3.1 million for the thirty-nine weeks ended November 3, 2018. The $0.5 million decrease was driven mainly by the decline in franchise store sales and timing of fixture sales for new store openings.</w:t>
      </w:r>
    </w:p>
    <w:p>
      <w:pPr>
        <w:spacing w:after="0" w:line="17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$2.5 million to $96.1 million compared to the thirty-nine weeks ended November 3, 2018.</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retail gross margin rate increased 200 basis points to 43.1% mainly driven by merchandise margin expansion and leverage on occupancy costs.</w:t>
      </w:r>
    </w:p>
    <w:p>
      <w:pPr>
        <w:spacing w:after="0" w:line="205" w:lineRule="exact"/>
        <w:rPr>
          <w:sz w:val="20"/>
          <w:szCs w:val="20"/>
          <w:color w:val="auto"/>
        </w:rPr>
      </w:pPr>
    </w:p>
    <w:p>
      <w:pPr>
        <w:ind w:left="20"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$106.9 million for the thirty-nine weeks ended November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 decline of $2.4 million compared to the thirty-nine weeks ended November 3, 2018. The decrease was driven by a decrease in advertising and continued disciplined expense management and focus on controllable spend offset by an increase in accrued incentive compensation.</w:t>
      </w:r>
    </w:p>
    <w:p>
      <w:pPr>
        <w:spacing w:after="0" w:line="174" w:lineRule="exact"/>
        <w:rPr>
          <w:sz w:val="20"/>
          <w:szCs w:val="20"/>
          <w:color w:val="auto"/>
        </w:rPr>
      </w:pPr>
    </w:p>
    <w:p>
      <w:pPr>
        <w:ind w:left="20"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Interest expense was $21,000 for the thirty-nine weeks ended November 2, 2019 compared to $5,000 for the thirty-nine weeks ended November 3, 2018.</w:t>
      </w:r>
    </w:p>
    <w:p>
      <w:pPr>
        <w:spacing w:after="0" w:line="158" w:lineRule="exact"/>
        <w:rPr>
          <w:sz w:val="20"/>
          <w:szCs w:val="20"/>
          <w:color w:val="auto"/>
        </w:rPr>
      </w:pPr>
    </w:p>
    <w:p>
      <w:pPr>
        <w:ind w:lef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income tax provision was a benefit of $0.1 million with a tax rate of 2.1% for the thirty-nine weeks ended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 2019, as compared to a benefit of $4.4 million with a tax rate of 36.8% for the thirty-nine weeks ended November 3, 2018 . In the first thirty-nine weeks of fiscal 2019, the effective tax rate differed from the statutory rate of 21% primarily due to the valuation allowance being recorded in certain foreign loss jurisdictions and the $0.2 million negative tax impact of equity awards. In the first thirty-nine weeks of fiscal 2018, the effective tax rate differed from the statutory rate of 21% primarily due to the jurisdictional mix of earnings.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(including tariffs) and consumer spending patterns; (2) increases or decreases in our existing store and e-commerce sales; (3) fluctuations in the profitability of our stores; (4) the timing and frequency of the sales of licensed products tied to major theatrical releases, our marketing initiatives, including national media and other public relations events; (5) changes in foreign currency exchange rates;</w:t>
      </w:r>
    </w:p>
    <w:p>
      <w:pPr>
        <w:spacing w:after="0" w:line="3" w:lineRule="exact"/>
        <w:rPr>
          <w:sz w:val="20"/>
          <w:szCs w:val="20"/>
          <w:color w:val="auto"/>
        </w:rPr>
      </w:pPr>
    </w:p>
    <w:p>
      <w:pPr>
        <w:ind w:right="420" w:firstLine="8"/>
        <w:spacing w:after="0" w:line="25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w:t>
      </w: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20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have toy products as part of our revenue model, our sales are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 and the fiscal year transition period ended February 3, 2018 had five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cash requirements are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are shown in the following table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4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November 2,</w:t>
            </w: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November 3,</w:t>
            </w:r>
          </w:p>
        </w:tc>
        <w:tc>
          <w:tcPr>
            <w:tcW w:w="100" w:type="dxa"/>
            <w:vAlign w:val="bottom"/>
          </w:tcPr>
          <w:p>
            <w:pPr>
              <w:spacing w:after="0"/>
              <w:rPr>
                <w:sz w:val="16"/>
                <w:szCs w:val="16"/>
                <w:color w:val="auto"/>
              </w:rPr>
            </w:pPr>
          </w:p>
        </w:tc>
      </w:tr>
      <w:tr>
        <w:trPr>
          <w:trHeight w:val="238"/>
        </w:trPr>
        <w:tc>
          <w:tcPr>
            <w:tcW w:w="4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(9,027)</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(10,099)</w:t>
            </w:r>
          </w:p>
        </w:tc>
        <w:tc>
          <w:tcPr>
            <w:tcW w:w="2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(8,769)</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5,189</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4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(12,868)</w:t>
            </w: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from operating activities decreased $7.4 million for the thirty-nine weeks ended November 2, 2019,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thirty-nine weeks ended November 3, 2018. This decrease in cash from operating activities was primarily driven by an increase in inventory over last year to support upcoming product launches in conjunction with the decision to bring in inventory early in response to anticipated increases in tariffs. This decrease was offset by the increase in profitability, receivable collections, and the realization of prepaid expenses.</w:t>
      </w:r>
    </w:p>
    <w:p>
      <w:pPr>
        <w:spacing w:after="0" w:line="180"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$1.3 million for the thirty-nine weeks ended November 2, 2019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thirty-nine weeks ended November 3, 2018. This increase in cash from investing activities was primarily driven by cash used to open additional shop-in-shops within select Walmart stores.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4"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increased $5.4 million for the thirty-nine weeks ended November 2, 2019,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thirty-nine weeks ended November 3, 2018. This decrease in cash from financing activities was primarily driven by the draw on the credit line during the same period prior year that did not occur during the current year.</w:t>
      </w:r>
    </w:p>
    <w:p>
      <w:pPr>
        <w:spacing w:after="0" w:line="17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As of November 2, 2019, we had a consolidated cash balance of $6.2 million and approximately 42% of this balance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domiciled within the United States. We also have a line of credit which we can use to finance capital expenditures and working capital needs throughout the year. On September 11, 2019, we entered into the twentieth amendment to this credit agreement with our lender. Under the twentieth amendment, the bank line provides availability of up to $20.0 million. Borrowings under the credit agreement are secured by our assets and a pledge of 66% of our ownership interest in certain of our foreign subsidiaries. The credit agreement expires on December 31, 2020 and contains various restrictions on indebtedness, liens, guarantees, redemptions, mergers, acquisitions or sale of assets, loans, transactions with affiliates and investments. The agreement limits the conditions under which the Company may declare dividends and repurchase shares. For example, we may not use the proceeds of the line of credit to repurchase shares. The commitment fee is 0.25% per annum and borrowings bear interest at LIBOR plus 3.25%. Financial covenants include maintaining minimum thresholds for cumulative earnings before interest, depreciation and amortization (“EBITDA”) for the third quarter of fiscal 2019 (as defined by the credit agreement), maintaining minimum liquidity at all times, maintaining a minimum fixed charge coverage ratio effective in the fourth quarter of fiscal 2019 (as defined in the credit agreement) and not exceeding a maximum funded debt to EBITDA ratio as of the end of the fourth quarter of fiscal 2019 (as defined in the credit agreement). The Company has a $1.0 million letter of credit against the line of credit at the end of the third quarter of fiscal 2019. As of the end of the third quarter of fiscal 2019: (i) we were in compliance with all covenants; (ii) there were no borrowings under the line of credit; and (iii) there was $19.0 million available for borrowing under the line of credit.</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fiscal 2019, we expect to spend a total of $12 to $14 million on capital expenditures. Capital spending through the thirty-nine weeks ended November 2, 2019 totaled $10.1 million, on track with our full year plans. Capital spending in fiscal 2019 is expected to primarily support our store activity, including both new stores and remodels, and investments in information technology infrastructure.</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2020.</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In August 2017, our Board of Directors adopted a share repurchase program authorizing the repurchase of up to $20 million of our common stock. From the date of the program approval through November 2, 2019, we repurchased a total of 1.3 million shares at an average price of $8.75 per share for an aggregate amount of $11.2 million. As of November 2, 2019, we had $8.8 million of availability under the 2017 Share Repurchase Program. However our ability to repurchase shares is limited by conditions set forth by our lender in our credit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believe application of accounting policies, and the estimates inherently required therein, are reasonable. These accounting policies and estimates, including those related to inventory,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w:t>
      </w:r>
    </w:p>
    <w:p>
      <w:pPr>
        <w:spacing w:after="0" w:line="37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and estimates are discussed in and should be read in conjunction with our Annual Report on Form 10-K, as filed with the Securities and Exchange Commission (SEC) on April 18, 2019, which includes audited consolidated financial statements for our 2018 and 2017 fiscal years and the five weeks ended February 3, 2018. Except for changes resulting from the adoption of new accounting standards during the period, including the new lease standard (See footnote 3 to the Condensed Consolidated Financial Statements), there have been no material changes to the critical accounting estimates disclosed in the 2018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February 2, 2019 as filed with the SEC on April 18,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November 2, 2019,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1"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has been no changes in our internal control over financial reporting during the quarter covered by this report that has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February 2, 2019 as filed with the SEC on April 18,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 Maximum</w:t>
            </w:r>
          </w:p>
        </w:tc>
      </w:t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 Total</w:t>
            </w:r>
          </w:p>
        </w:tc>
        <w:tc>
          <w:tcPr>
            <w:tcW w:w="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Shares (or</w:t>
            </w:r>
          </w:p>
        </w:tc>
      </w:tr>
      <w:tr>
        <w:trPr>
          <w:trHeight w:val="216"/>
        </w:trPr>
        <w:tc>
          <w:tcPr>
            <w:tcW w:w="40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 Total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that May</w:t>
            </w:r>
          </w:p>
        </w:tc>
      </w:tr>
      <w:tr>
        <w:trPr>
          <w:trHeight w:val="216"/>
        </w:trPr>
        <w:tc>
          <w:tcPr>
            <w:tcW w:w="40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Yet Be</w:t>
            </w:r>
          </w:p>
        </w:tc>
      </w:tr>
      <w:tr>
        <w:trPr>
          <w:trHeight w:val="216"/>
        </w:trPr>
        <w:tc>
          <w:tcPr>
            <w:tcW w:w="40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(b) Average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40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0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Price Paid Per</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20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18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 (2)</w:t>
            </w:r>
          </w:p>
        </w:tc>
        <w:tc>
          <w:tcPr>
            <w:tcW w:w="100" w:type="dxa"/>
            <w:vAlign w:val="bottom"/>
          </w:tcPr>
          <w:p>
            <w:pPr>
              <w:spacing w:after="0"/>
              <w:rPr>
                <w:sz w:val="20"/>
                <w:szCs w:val="20"/>
                <w:color w:val="auto"/>
              </w:rPr>
            </w:pPr>
          </w:p>
        </w:tc>
      </w:tr>
      <w:tr>
        <w:trPr>
          <w:trHeight w:val="223"/>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Aug. 4, 2019 - Aug. 31, 2019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8,795,529</w:t>
            </w:r>
          </w:p>
        </w:tc>
      </w:tr>
      <w:tr>
        <w:trPr>
          <w:trHeight w:val="216"/>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Sept. 1, 2019 - Oct. 5, 2019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8,795,529</w:t>
            </w:r>
          </w:p>
        </w:tc>
      </w:tr>
      <w:tr>
        <w:trPr>
          <w:trHeight w:val="216"/>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Oct. 6, 2019 - Nov. 2, 2019</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8,795,529</w:t>
            </w:r>
          </w:p>
        </w:tc>
      </w:tr>
      <w:tr>
        <w:trPr>
          <w:trHeight w:val="20"/>
        </w:trPr>
        <w:tc>
          <w:tcPr>
            <w:tcW w:w="40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3.65</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8,795,529</w:t>
            </w:r>
          </w:p>
        </w:tc>
      </w:tr>
      <w:tr>
        <w:trPr>
          <w:trHeight w:val="20"/>
        </w:trPr>
        <w:tc>
          <w:tcPr>
            <w:tcW w:w="4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200" w:hanging="372"/>
        <w:spacing w:after="0" w:line="257"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1" w:lineRule="exact"/>
        <w:rPr>
          <w:rFonts w:ascii="Times New Roman" w:cs="Times New Roman" w:eastAsia="Times New Roman" w:hAnsi="Times New Roman"/>
          <w:sz w:val="18"/>
          <w:szCs w:val="18"/>
          <w:color w:val="auto"/>
        </w:rPr>
      </w:pPr>
    </w:p>
    <w:p>
      <w:pPr>
        <w:ind w:left="380" w:right="140" w:hanging="372"/>
        <w:spacing w:after="0" w:line="254"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2017, the Board of Directors adopted a share repurchase program authorizing the repurchase of up to $20 million of our common stock. This program authorizes the Company to repurchase shares through September 30, 2020 and does not require the Company to repurchase any specific number of shares, and may be modified, suspended or terminated at any time without prior notice. Shares repurchased under the program will be subsequently retired.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700" w:type="dxa"/>
            <w:vAlign w:val="bottom"/>
            <w:tcBorders>
              <w:bottom w:val="single" w:sz="8" w:color="auto"/>
            </w:tcBorders>
            <w:gridSpan w:val="12"/>
          </w:tcPr>
          <w:p>
            <w:pPr>
              <w:ind w:left="10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Agreement and Plan of Merger dated April 3, 2000 between Build-A-Bear Workshop, L.L.C. and the Registrant (incorporated by reference</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560" w:type="dxa"/>
            <w:vAlign w:val="bottom"/>
            <w:tcBorders>
              <w:top w:val="single" w:sz="8" w:color="0000EE"/>
            </w:tcBorders>
            <w:gridSpan w:val="4"/>
          </w:tcPr>
          <w:p>
            <w:pPr>
              <w:spacing w:after="0"/>
              <w:rPr>
                <w:sz w:val="17"/>
                <w:szCs w:val="17"/>
                <w:color w:val="auto"/>
              </w:rPr>
            </w:pPr>
          </w:p>
        </w:tc>
        <w:tc>
          <w:tcPr>
            <w:tcW w:w="360" w:type="dxa"/>
            <w:vAlign w:val="bottom"/>
            <w:gridSpan w:val="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Third Amended and Restated Certificate of Incorporation (incorporated by reference from Exhibit 3.1 of our Current Report on Form 8-K, filed</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on November 11, 2004)</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Bylaws, as amended through February 23, 2016 (incorporated by reference from Exhibit 3.1 of our Current Report on</w:t>
              </w:r>
            </w:hyperlink>
          </w:p>
        </w:tc>
        <w:tc>
          <w:tcPr>
            <w:tcW w:w="1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Form 8-K, filed on February 24, 2016)</w:t>
              </w:r>
            </w:hyperlink>
          </w:p>
        </w:tc>
        <w:tc>
          <w:tcPr>
            <w:tcW w:w="758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Specimen Stock Certificate (incorporated by reference from Exhibit 4.1 to Amendment No. 3 to our Registration Statement on Form S-1, filed</w:t>
              </w:r>
            </w:hyperlink>
          </w:p>
        </w:tc>
        <w:tc>
          <w:tcPr>
            <w:tcW w:w="1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on October 1, 2004, Registration No. 333-118142)</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Twentieth Amendment to Loan Documents between Build-A-Bear Workshop, Inc., Build-A-Bear Workshop Franchise Holdings, Inc., Build-A-</w:t>
              </w:r>
            </w:hyperlink>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Bear Entertainment, LLC, Build-A-Bear Retail Management, Inc., and Build-A-Bear Card Services, LLC, as Borrowers, and U.S. Bank</w:t>
              </w:r>
            </w:hyperlink>
          </w:p>
        </w:tc>
        <w:tc>
          <w:tcPr>
            <w:tcW w:w="5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National Association, as Lender, entered into effective as of September 11, 2019 (incorporated by reference from Exhibit 10.1 to our Current</w:t>
              </w:r>
            </w:hyperlink>
          </w:p>
        </w:tc>
        <w:tc>
          <w:tcPr>
            <w:tcW w:w="22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Report on Form 8-K, filed on September 11, 2019)</w:t>
              </w:r>
            </w:hyperlink>
          </w:p>
        </w:tc>
        <w:tc>
          <w:tcPr>
            <w:tcW w:w="6700" w:type="dxa"/>
            <w:vAlign w:val="bottom"/>
            <w:gridSpan w:val="1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8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Rule 13a-14(a)/15d-14(a) certification (pursuant to Section 302 of the Sarbanes-Oxley Act of 2002, executed by the President and Chief</w:t>
              </w:r>
            </w:hyperlink>
          </w:p>
        </w:tc>
        <w:tc>
          <w:tcPr>
            <w:tcW w:w="56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gridSpan w:val="17"/>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Executive Officer)</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94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Rule 13a-14(a)/15d-14(a) certification (pursuant to Section 302 of the Sarbanes-Oxley Act of 2002, executed by the Chief Financial Officer)</w:t>
              </w:r>
            </w:hyperlink>
          </w:p>
        </w:tc>
        <w:tc>
          <w:tcPr>
            <w:tcW w:w="240" w:type="dxa"/>
            <w:vAlign w:val="bottom"/>
            <w:gridSpan w:val="6"/>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380" w:type="dxa"/>
            <w:vAlign w:val="bottom"/>
            <w:gridSpan w:val="17"/>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Section 1350 Certification (pursuant to Section 906 of the Sarbanes-Oxley Act of 2002, executed by the President and Chief Executive Officer)</w:t>
              </w:r>
            </w:hyperlink>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92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Section 1350 Certification (pursuant to Section 906 of the Sarbanes-Oxley Act of 2002, executed by the Chief Financial Officer)</w:t>
              </w:r>
            </w:hyperlink>
          </w:p>
        </w:tc>
        <w:tc>
          <w:tcPr>
            <w:tcW w:w="1060" w:type="dxa"/>
            <w:vAlign w:val="bottom"/>
            <w:tcBorders>
              <w:top w:val="single" w:sz="8" w:color="0000EE"/>
            </w:tcBorders>
            <w:gridSpan w:val="8"/>
          </w:tcPr>
          <w:p>
            <w:pPr>
              <w:spacing w:after="0"/>
              <w:rPr>
                <w:sz w:val="24"/>
                <w:szCs w:val="24"/>
                <w:color w:val="auto"/>
              </w:rPr>
            </w:pPr>
          </w:p>
        </w:tc>
        <w:tc>
          <w:tcPr>
            <w:tcW w:w="40" w:type="dxa"/>
            <w:vAlign w:val="bottom"/>
            <w:gridSpan w:val="2"/>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Extension Schema</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Extension Calculation</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Extension Definition</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Extension Label</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103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Extension Presentation</w:t>
            </w:r>
          </w:p>
        </w:tc>
      </w:tr>
      <w:tr>
        <w:trPr>
          <w:trHeight w:val="432"/>
        </w:trPr>
        <w:tc>
          <w:tcPr>
            <w:tcW w:w="920" w:type="dxa"/>
            <w:vAlign w:val="bottom"/>
          </w:tcPr>
          <w:p>
            <w:pPr>
              <w:spacing w:after="0"/>
              <w:rPr>
                <w:sz w:val="24"/>
                <w:szCs w:val="24"/>
                <w:color w:val="auto"/>
              </w:rPr>
            </w:pPr>
          </w:p>
        </w:tc>
        <w:tc>
          <w:tcPr>
            <w:tcW w:w="8580" w:type="dxa"/>
            <w:vAlign w:val="bottom"/>
            <w:gridSpan w:val="7"/>
          </w:tcPr>
          <w:p>
            <w:pPr>
              <w:jc w:val="right"/>
              <w:ind w:right="3610"/>
              <w:spacing w:after="0"/>
              <w:rPr>
                <w:sz w:val="20"/>
                <w:szCs w:val="20"/>
                <w:color w:val="auto"/>
              </w:rPr>
            </w:pPr>
            <w:r>
              <w:rPr>
                <w:rFonts w:ascii="Times New Roman" w:cs="Times New Roman" w:eastAsia="Times New Roman" w:hAnsi="Times New Roman"/>
                <w:sz w:val="18"/>
                <w:szCs w:val="18"/>
                <w:color w:val="auto"/>
              </w:rPr>
              <w:t>29</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u w:val="single" w:color="auto"/>
          <w:color w:val="0000EE"/>
        </w:rPr>
        <w:t>Table of Contents</w:t>
      </w:r>
    </w:p>
    <w:p>
      <w:pPr>
        <w:spacing w:after="0" w:line="2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2019</w:t>
      </w:r>
    </w:p>
    <w:p>
      <w:pPr>
        <w:spacing w:after="0" w:line="200" w:lineRule="exact"/>
        <w:rPr>
          <w:sz w:val="20"/>
          <w:szCs w:val="20"/>
          <w:color w:val="auto"/>
        </w:rPr>
      </w:pPr>
    </w:p>
    <w:p>
      <w:pPr>
        <w:spacing w:after="0" w:line="24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20"/>
          </w:cols>
          <w:pgMar w:left="240" w:top="111"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18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60" w:right="14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18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60" w:right="60" w:hanging="382"/>
        <w:spacing w:after="0" w:line="266" w:lineRule="auto"/>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60" w:right="360" w:hanging="382"/>
        <w:spacing w:after="0" w:line="266" w:lineRule="auto"/>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60" w:right="540" w:hanging="382"/>
        <w:spacing w:after="0" w:line="313" w:lineRule="auto"/>
        <w:tabs>
          <w:tab w:leader="none" w:pos="11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60" w:right="40" w:hanging="382"/>
        <w:spacing w:after="0" w:line="266" w:lineRule="auto"/>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60" w:right="14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700" w:right="220" w:hanging="503"/>
        <w:spacing w:after="0" w:line="282" w:lineRule="auto"/>
        <w:tabs>
          <w:tab w:leader="none" w:pos="17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700" w:right="500" w:hanging="503"/>
        <w:spacing w:after="0" w:line="282" w:lineRule="auto"/>
        <w:tabs>
          <w:tab w:leader="none" w:pos="17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Sharon John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2019</w:t>
      </w:r>
    </w:p>
    <w:p>
      <w:pPr>
        <w:sectPr>
          <w:pgSz w:w="11900" w:h="16838" w:orient="portrait"/>
          <w:cols w:equalWidth="0" w:num="1">
            <w:col w:w="11420"/>
          </w:cols>
          <w:pgMar w:left="240" w:top="117"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18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60" w:right="14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18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60" w:right="60" w:hanging="382"/>
        <w:spacing w:after="0" w:line="266" w:lineRule="auto"/>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60" w:right="360" w:hanging="382"/>
        <w:spacing w:after="0" w:line="266" w:lineRule="auto"/>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60" w:right="540" w:hanging="382"/>
        <w:spacing w:after="0" w:line="313" w:lineRule="auto"/>
        <w:tabs>
          <w:tab w:leader="none" w:pos="11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60" w:right="40" w:hanging="382"/>
        <w:spacing w:after="0" w:line="266" w:lineRule="auto"/>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60" w:right="14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780" w:hanging="382"/>
        <w:spacing w:after="0" w:line="282" w:lineRule="auto"/>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460" w:hanging="382"/>
        <w:spacing w:after="0" w:line="282" w:lineRule="auto"/>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2019</w:t>
      </w:r>
    </w:p>
    <w:p>
      <w:pPr>
        <w:sectPr>
          <w:pgSz w:w="11900" w:h="16838" w:orient="portrait"/>
          <w:cols w:equalWidth="0" w:num="1">
            <w:col w:w="11420"/>
          </w:cols>
          <w:pgMar w:left="240" w:top="117"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November 2, 2019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Sharon John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2019</w:t>
      </w:r>
    </w:p>
    <w:p>
      <w:pPr>
        <w:sectPr>
          <w:pgSz w:w="11900" w:h="16838" w:orient="portrait"/>
          <w:cols w:equalWidth="0" w:num="1">
            <w:col w:w="11420"/>
          </w:cols>
          <w:pgMar w:left="240" w:top="117"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November 2, 2019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2019</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lvl w:ilvl="1">
      <w:lvlJc w:val="left"/>
      <w:lvlText w:val="(%2)"/>
      <w:numFmt w:val="decimal"/>
      <w:start w:val="1"/>
    </w:lvl>
  </w:abstractNum>
  <w:abstractNum w:abstractNumId="3">
    <w:nsid w:val="3352255A"/>
    <w:multiLevelType w:val="hybridMultilevel"/>
    <w:lvl w:ilvl="0">
      <w:lvlJc w:val="left"/>
      <w:lvlText w:val="%1."/>
      <w:numFmt w:val="decimal"/>
      <w:start w:val="5"/>
    </w:lvl>
    <w:lvl w:ilvl="1">
      <w:lvlJc w:val="left"/>
      <w:lvlText w:val="%2"/>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6"/>
    </w:lvl>
  </w:abstractNum>
  <w:abstractNum w:abstractNumId="16">
    <w:nsid w:val="257130A3"/>
    <w:multiLevelType w:val="hybridMultilevel"/>
    <w:lvl w:ilvl="0">
      <w:lvlJc w:val="left"/>
      <w:lvlText w:val="(%1)"/>
      <w:numFmt w:val="decimal"/>
      <w:start w:val="1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49" Type="http://schemas.openxmlformats.org/officeDocument/2006/relationships/hyperlink" Target="http://www.sec.gov/Archives/edgar/data/1113809/000095013704006634/c86750exv2w1.txt" TargetMode="External"/><Relationship Id="rId50" Type="http://schemas.openxmlformats.org/officeDocument/2006/relationships/hyperlink" Target="http://www.sec.gov/Archives/edgar/data/1113809/000095013804000748/exh3-1.htm" TargetMode="External"/><Relationship Id="rId51" Type="http://schemas.openxmlformats.org/officeDocument/2006/relationships/hyperlink" Target="http://www.sec.gov/Archives/edgar/data/1113809/000115752316004713/a51286063ex3_1.htm" TargetMode="External"/><Relationship Id="rId52" Type="http://schemas.openxmlformats.org/officeDocument/2006/relationships/hyperlink" Target="http://www.sec.gov/Archives/edgar/data/1113809/000095013704008227/c86750a3exv4w1.txt" TargetMode="External"/><Relationship Id="rId53" Type="http://schemas.openxmlformats.org/officeDocument/2006/relationships/hyperlink" Target="http://www.sec.gov/Archives/edgar/data/1113809/000143774919018209/ex_15758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2019-12-28T01:00:08Z</dcterms:created>
  <dcterms:modified xsi:type="dcterms:W3CDTF">2019-12-28T01:00:08Z</dcterms:modified>
</cp:coreProperties>
</file>