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29,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5, 2022, there were 14,750,444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29</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29</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October 29,</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r>
      <w:tr>
        <w:trPr>
          <w:trHeight w:val="238"/>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48,501</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88,339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61,912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15,894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12,788</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10,379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11,186</w:t>
            </w: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134,387</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76,236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86,888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46,264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48,221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259,801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266,324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271,998</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25,764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20,378</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27,644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26,815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18,287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18,197</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96,922</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93,910</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64,212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October 29, 2022, January 29, 2022 and October 30, 2021</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14,718,368, 16,146,332, and 16,297,362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68,422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75,490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75,316</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(12,336)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(12,495)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40,865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30,080</w:t>
            </w: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97,098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93,064</w:t>
            </w: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259,801</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266,324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271,998</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420" w:type="dxa"/>
            <w:vAlign w:val="bottom"/>
            <w:gridSpan w:val="8"/>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3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Pr>
          <w:p>
            <w:pPr>
              <w:spacing w:after="0"/>
              <w:rPr>
                <w:sz w:val="24"/>
                <w:szCs w:val="24"/>
                <w:color w:val="auto"/>
              </w:rPr>
            </w:pPr>
          </w:p>
        </w:tc>
        <w:tc>
          <w:tcPr>
            <w:tcW w:w="24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29,</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October 30,</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October 30,</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272,052</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7,804</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322,827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281,560</w:t>
            </w:r>
          </w:p>
        </w:tc>
      </w:tr>
      <w:tr>
        <w:trPr>
          <w:trHeight w:val="210"/>
        </w:trPr>
        <w:tc>
          <w:tcPr>
            <w:tcW w:w="12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47,354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43,918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128,688</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156,758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133,118</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54,330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49,614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166,069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148,442</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130,320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117,870</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30,561</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7,423</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23,138</w:t>
            </w:r>
          </w:p>
        </w:tc>
      </w:tr>
      <w:tr>
        <w:trPr>
          <w:trHeight w:val="197"/>
        </w:trPr>
        <w:tc>
          <w:tcPr>
            <w:tcW w:w="1280" w:type="dxa"/>
            <w:vAlign w:val="bottom"/>
            <w:tcBorders>
              <w:top w:val="single" w:sz="8" w:color="CCEEFF"/>
            </w:tcBorders>
          </w:tcPr>
          <w:p>
            <w:pPr>
              <w:spacing w:after="0"/>
              <w:rPr>
                <w:sz w:val="17"/>
                <w:szCs w:val="17"/>
                <w:color w:val="auto"/>
              </w:rPr>
            </w:pPr>
          </w:p>
        </w:tc>
        <w:tc>
          <w:tcPr>
            <w:tcW w:w="2800" w:type="dxa"/>
            <w:vAlign w:val="bottom"/>
            <w:tcBorders>
              <w:top w:val="single" w:sz="8" w:color="CCEEFF"/>
            </w:tcBorders>
          </w:tcPr>
          <w:p>
            <w:pPr>
              <w:spacing w:after="0"/>
              <w:rPr>
                <w:sz w:val="17"/>
                <w:szCs w:val="17"/>
                <w:color w:val="auto"/>
              </w:rPr>
            </w:pPr>
          </w:p>
        </w:tc>
        <w:tc>
          <w:tcPr>
            <w:tcW w:w="19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23,258</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08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14,542,947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15,578,389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15,097,816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15,345,420</w:t>
            </w:r>
          </w:p>
        </w:tc>
      </w:tr>
      <w:tr>
        <w:trPr>
          <w:trHeight w:val="234"/>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14,760,586</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16,236,901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15,412,130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16,042,947</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29,</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23,138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9,152</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2,097</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Impairment of right-of-use assets and fixed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(14,992)</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(4,627)</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9,209</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(6,547)</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80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17,235</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(4,644)</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employee equity awards, net of tax</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 on vested participating securities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46,804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48,501</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1280" w:type="dxa"/>
            <w:vAlign w:val="bottom"/>
          </w:tcPr>
          <w:p>
            <w:pPr>
              <w:spacing w:after="0"/>
              <w:rPr>
                <w:sz w:val="24"/>
                <w:szCs w:val="24"/>
                <w:color w:val="auto"/>
              </w:rPr>
            </w:pPr>
          </w:p>
        </w:tc>
        <w:tc>
          <w:tcPr>
            <w:tcW w:w="698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29, 2022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29, 2022, which were included in the Company’s Annual Report on Form 10-K filed with the SEC on April 14, 2022.</w:t>
      </w:r>
    </w:p>
    <w:p>
      <w:pPr>
        <w:spacing w:after="0" w:line="192" w:lineRule="exact"/>
        <w:rPr>
          <w:sz w:val="20"/>
          <w:szCs w:val="20"/>
          <w:color w:val="auto"/>
        </w:rPr>
      </w:pPr>
    </w:p>
    <w:p>
      <w:pPr>
        <w:ind w:left="160" w:right="480" w:firstLine="486"/>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January 29,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Currently, most of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95% of consolidated revenue for the third quarter of fiscal 2022.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customers.</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the Company’s gift cards, revenue, including any related gift card discounts, is deferred for single transactions until redemption . Historically, three-quarters of gift cards are redeemed within three years of issuance and over the last three years, approximately 60% of gift cards issued have been redeemed within the first twelve months. In addition, unredeemed gift cards or breakage revenue is recorded in proportion to the customer’s redemption period using an estimated breakage rate based on historical experience. In regard to the consolidated balance sheet, contract liabilities for gift cards are classified as gift cards and customer deposits.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Subsequent to stores reopening following shutdowns caused by COVID, the Company has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in fiscal 2022 and 2021 reflects the pattern in the future and has adjusted the historical redemption data used to calculate the breakage rate. The Company utilizes historical redemption data to develop a model to analyze the amount of breakage expected for gift cards sold to customers and business partners.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certifications monthly for those loyalty program members who have earned 100 or more points in the previous month in North America and 50 points or more in the U.K. with certifications historically expiring in six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94"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classifies these guaranteed minimum contract liabilities as deferred revenue on the consolidated balance sheet.</w:t>
      </w:r>
    </w:p>
    <w:p>
      <w:pPr>
        <w:spacing w:after="0" w:line="20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or sooner if the agreement is terminated prior to the end of the term.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an incremental cost, and expense all other costs as incurred. Additionally, the Company amortizes these capitalized costs into expense in the same pattern as the development fee's recording of revenue as described previously. These capitalized costs for the thirteen and thirty-nine weeks ended October 29, 2022 are not material to the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31"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and thirty-nine weeks ended October 29, 2022 and October 30, 2021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October 30,</w:t>
            </w: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29,</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October 30,</w:t>
            </w:r>
          </w:p>
        </w:tc>
      </w:tr>
      <w:tr>
        <w:trPr>
          <w:trHeight w:val="238"/>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25,874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25,849</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 (1)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6,228</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3,762</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29,657</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740" w:hanging="47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and thirty-nine weeks ended October 29, 2022 and October 30, 2021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7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October 29,</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October 29,</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9,497</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10,817</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27,772</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33,289</w:t>
            </w:r>
          </w:p>
        </w:tc>
      </w:tr>
    </w:tbl>
    <w:p>
      <w:pPr>
        <w:spacing w:after="0" w:line="198" w:lineRule="exact"/>
        <w:rPr>
          <w:sz w:val="20"/>
          <w:szCs w:val="20"/>
          <w:color w:val="auto"/>
        </w:rPr>
      </w:pPr>
    </w:p>
    <w:p>
      <w:pPr>
        <w:ind w:left="160" w:firstLine="486"/>
        <w:spacing w:after="0" w:line="266" w:lineRule="auto"/>
        <w:rPr>
          <w:sz w:val="20"/>
          <w:szCs w:val="20"/>
          <w:color w:val="auto"/>
        </w:rPr>
      </w:pPr>
      <w:r>
        <w:rPr>
          <w:rFonts w:ascii="Times New Roman" w:cs="Times New Roman" w:eastAsia="Times New Roman" w:hAnsi="Times New Roman"/>
          <w:sz w:val="18"/>
          <w:szCs w:val="18"/>
          <w:color w:val="auto"/>
        </w:rPr>
        <w:t>Operating cash flows for operating leases for the third quarter and year-to-date fiscal 2022 decreased from the operating cash flows for operating leases for the same periods in fiscal 2021, which is expected to continue for the remainder of fiscal 2022, as the Company made payments related to lease deferrals in fiscal 2021 that were negotiated in fiscal 2020 during the pandemic.</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October 29, 2022 and October 30, 2021, the weighted-average remaining operating lease term was 4.1 years and 4.5 years, respectively, and the weighted-average discount rate was 5.8% and 6.0%, respectively, for operating leases recognized on the Company's Condensed Consolidated Balance Sheets.</w:t>
      </w:r>
    </w:p>
    <w:p>
      <w:pPr>
        <w:spacing w:after="0" w:line="176"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For the thirteen and thirty-nine weeks ended October 29, 2022 the Company incurred immaterial right-of-use asset impairment charges. For the thirteen and thirty-nine weeks ended October 30, 2021, the Company did not incur impairment charges against its right-of-use operating lease assets.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left="500" w:right="340" w:firstLine="162"/>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33,615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24,635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15,993</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9,264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12,967</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103,487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11,631</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91,856</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(27,644)</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64,212</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of October 29, 2022, the Company had additional executed leases that had not yet commenced with operating lease liabilities of $4.8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are expected to commence in the fourth quarter of fiscal 2022 with lease terms of ten years.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r>
      <w:tr>
        <w:trPr>
          <w:trHeight w:val="238"/>
        </w:trPr>
        <w:tc>
          <w:tcPr>
            <w:tcW w:w="3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2,345</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2,190</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1,202</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1,545</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1,142</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5,202</w:t>
            </w:r>
          </w:p>
        </w:tc>
      </w:tr>
      <w:tr>
        <w:trPr>
          <w:trHeight w:val="20"/>
        </w:trPr>
        <w:tc>
          <w:tcPr>
            <w:tcW w:w="3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13,643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information technology maintenance contracts and software as a service.</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r>
      <w:tr>
        <w:trPr>
          <w:trHeight w:val="238"/>
        </w:trPr>
        <w:tc>
          <w:tcPr>
            <w:tcW w:w="3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production asset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1,204</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w:t>
            </w:r>
          </w:p>
        </w:tc>
      </w:tr>
      <w:tr>
        <w:trPr>
          <w:trHeight w:val="20"/>
        </w:trPr>
        <w:tc>
          <w:tcPr>
            <w:tcW w:w="3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2,502</w:t>
            </w:r>
          </w:p>
        </w:tc>
      </w:tr>
      <w:tr>
        <w:trPr>
          <w:trHeight w:val="20"/>
        </w:trPr>
        <w:tc>
          <w:tcPr>
            <w:tcW w:w="3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3580" w:hanging="4979"/>
        <w:spacing w:after="0" w:line="532" w:lineRule="auto"/>
        <w:tabs>
          <w:tab w:leader="none" w:pos="9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r>
      <w:tr>
        <w:trPr>
          <w:trHeight w:val="238"/>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21,688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16,851</w:t>
            </w:r>
          </w:p>
        </w:tc>
      </w:tr>
      <w:tr>
        <w:trPr>
          <w:trHeight w:val="216"/>
        </w:trPr>
        <w:tc>
          <w:tcPr>
            <w:tcW w:w="1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2,146</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2,254</w:t>
            </w:r>
          </w:p>
        </w:tc>
      </w:tr>
      <w:tr>
        <w:trPr>
          <w:trHeight w:val="216"/>
        </w:trPr>
        <w:tc>
          <w:tcPr>
            <w:tcW w:w="1120" w:type="dxa"/>
            <w:vAlign w:val="bottom"/>
          </w:tcPr>
          <w:p>
            <w:pPr>
              <w:spacing w:after="0"/>
              <w:rPr>
                <w:sz w:val="18"/>
                <w:szCs w:val="18"/>
                <w:color w:val="auto"/>
              </w:rPr>
            </w:pPr>
          </w:p>
        </w:tc>
        <w:tc>
          <w:tcPr>
            <w:tcW w:w="39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1120" w:type="dxa"/>
            <w:vAlign w:val="bottom"/>
          </w:tcPr>
          <w:p>
            <w:pPr>
              <w:spacing w:after="0"/>
              <w:rPr>
                <w:sz w:val="19"/>
                <w:szCs w:val="19"/>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1120" w:type="dxa"/>
            <w:vAlign w:val="bottom"/>
          </w:tcPr>
          <w:p>
            <w:pPr>
              <w:spacing w:after="0"/>
              <w:rPr>
                <w:sz w:val="18"/>
                <w:szCs w:val="18"/>
                <w:color w:val="auto"/>
              </w:rPr>
            </w:pPr>
          </w:p>
        </w:tc>
        <w:tc>
          <w:tcPr>
            <w:tcW w:w="39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25,543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20,378</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 - Other consists of accrued costs consists of a legal reserve accrual.</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(the "Compensation Committee"), permits the granting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terminated earlier by the Board. 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9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For the thirteen weeks ended October 29, 2022 and October 30, 2021, selling, general and administrative expense included stock-based compensation expense of $0.6 million and $0.6 million, respectively. For the thirty-nine weeks ended October 29, 2022 and October 30, 2021, selling, general, and administrative expense included stock-based compensation expense of $1.9 million and $2.1 million, respectively. As of October 29, 2022, there was $3.6 million of total unrecognized compensation expense related to unvested restricted stock awards which is expected to be recognized over a weighted-average period of 1.7 years.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stock options for the thirty-nine weeks ended October 29, 2022:</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120" w:type="dxa"/>
            <w:vAlign w:val="bottom"/>
            <w:gridSpan w:val="5"/>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187"/>
        </w:trPr>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6"/>
                <w:szCs w:val="16"/>
                <w:color w:val="auto"/>
              </w:rPr>
            </w:pPr>
          </w:p>
        </w:tc>
      </w:tr>
      <w:tr>
        <w:trPr>
          <w:trHeight w:val="238"/>
        </w:trPr>
        <w:tc>
          <w:tcPr>
            <w:tcW w:w="586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29,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(49,715)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October 29,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268,854</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13.79</w:t>
            </w:r>
          </w:p>
        </w:tc>
      </w:tr>
      <w:tr>
        <w:trPr>
          <w:trHeight w:val="20"/>
        </w:trPr>
        <w:tc>
          <w:tcPr>
            <w:tcW w:w="5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thirty-nine weeks ended October 29, 2022:</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0"/>
                <w:szCs w:val="20"/>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29,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306,280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82,154</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84,579</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(257,751)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(88,721)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(7,090)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r>
      <w:tr>
        <w:trPr>
          <w:trHeight w:val="20"/>
        </w:trPr>
        <w:tc>
          <w:tcPr>
            <w:tcW w:w="33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October 29,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287,982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295,048</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8.13</w:t>
            </w:r>
          </w:p>
        </w:tc>
      </w:tr>
      <w:tr>
        <w:trPr>
          <w:trHeight w:val="20"/>
        </w:trPr>
        <w:tc>
          <w:tcPr>
            <w:tcW w:w="3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thirty-nine weeks ended October 29, 2022 and October 30, 2021 was $2.0 million and $2.2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October 29, 2022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2020</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- 2022 consolidated liquidity and strategic performance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89,168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- 2022 consolidated earnings before interest and taxes (EBIT)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2021</w:t>
            </w:r>
          </w:p>
        </w:tc>
        <w:tc>
          <w:tcPr>
            <w:tcW w:w="6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- 2023 consolidated, cumulative earnings before interest, taxes, depreciation and</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39,821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2021</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- 2023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2024  consolidated,  earnings  before  interest,  taxes,  depreciation  and  amortization</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(EBITDA)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63,435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- 2024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9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October 29, 2022</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295,048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20" w:type="dxa"/>
            <w:vAlign w:val="bottom"/>
            <w:vMerge w:val="restart"/>
          </w:tcPr>
          <w:p>
            <w:pPr>
              <w:ind w:left="386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9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effective tax rate was 24.6% and 23.1% for the thirteen and thirty-nine weeks ended October 29, 2022 compared</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25.1% and 24.3% for the thirteen and thirty-nine weeks ended October 30, 2021. The 2022 effective tax rate differed from the statutory rate of 21% primarily due to state income tax expense partially offset by the tax impact of equity awards vesting. In addition, the Company remains in a full valuation allowance in certain foreign jurisdictions. The 2021 effective rate differed from the statutory rate of 21% primarily due to state income tax expense partially offset by the tax impact of equity awards vesting. In addition, while the Company was still in a full valuation allowance globally, it recorded tax expense on the pretax income earned based on its projected current tax expense.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October 29, 2022 and October 30,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1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thirteen weeks ended October 29, 2022</w:t>
            </w:r>
          </w:p>
        </w:tc>
        <w:tc>
          <w:tcPr>
            <w:tcW w:w="120" w:type="dxa"/>
            <w:vAlign w:val="bottom"/>
          </w:tcPr>
          <w:p>
            <w:pPr>
              <w:spacing w:after="0"/>
              <w:rPr>
                <w:sz w:val="20"/>
                <w:szCs w:val="20"/>
                <w:color w:val="auto"/>
              </w:rPr>
            </w:pPr>
          </w:p>
        </w:tc>
        <w:tc>
          <w:tcPr>
            <w:tcW w:w="4060" w:type="dxa"/>
            <w:vAlign w:val="bottom"/>
            <w:gridSpan w:val="1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 thirteen weeks ended October 30, 2021</w:t>
            </w:r>
          </w:p>
        </w:tc>
        <w:tc>
          <w:tcPr>
            <w:tcW w:w="0" w:type="dxa"/>
            <w:vAlign w:val="bottom"/>
          </w:tcPr>
          <w:p>
            <w:pPr>
              <w:spacing w:after="0"/>
              <w:rPr>
                <w:sz w:val="1"/>
                <w:szCs w:val="1"/>
                <w:color w:val="auto"/>
              </w:rPr>
            </w:pPr>
          </w:p>
        </w:tc>
      </w:tr>
      <w:tr>
        <w:trPr>
          <w:trHeight w:val="426"/>
        </w:trPr>
        <w:tc>
          <w:tcPr>
            <w:tcW w:w="2760" w:type="dxa"/>
            <w:vAlign w:val="bottom"/>
          </w:tcPr>
          <w:p>
            <w:pPr>
              <w:spacing w:after="0"/>
              <w:rPr>
                <w:sz w:val="24"/>
                <w:szCs w:val="24"/>
                <w:color w:val="auto"/>
              </w:rPr>
            </w:pPr>
          </w:p>
        </w:tc>
        <w:tc>
          <w:tcPr>
            <w:tcW w:w="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4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APIC</w:t>
            </w: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8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$ 69,409</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(12,385)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36,690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$ 93,864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$ 73,397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(12,579)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24,157</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$ 85,135</w:t>
            </w:r>
          </w:p>
        </w:tc>
        <w:tc>
          <w:tcPr>
            <w:tcW w:w="0" w:type="dxa"/>
            <w:vAlign w:val="bottom"/>
          </w:tcPr>
          <w:p>
            <w:pPr>
              <w:spacing w:after="0"/>
              <w:rPr>
                <w:sz w:val="1"/>
                <w:szCs w:val="1"/>
                <w:color w:val="auto"/>
              </w:rPr>
            </w:pPr>
          </w:p>
        </w:tc>
      </w:tr>
      <w:tr>
        <w:trPr>
          <w:trHeight w:val="198"/>
        </w:trPr>
        <w:tc>
          <w:tcPr>
            <w:tcW w:w="2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plans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2,265</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8"/>
        </w:trPr>
        <w:tc>
          <w:tcPr>
            <w:tcW w:w="2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in lieu of tax</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(718)</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Repurchase</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(3,233)</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7,455</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7,455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5,923</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5,923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68,422</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(12,336)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40,865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97,098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75,316</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(12,495)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30,080</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93,064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Accumulated other comprehensive income (loss) (“AOCI”)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thirty-nine weeks ended October 29, 2022 and October 30,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1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For the thirty-nine weeks ended October 29, 2022</w:t>
            </w:r>
          </w:p>
        </w:tc>
        <w:tc>
          <w:tcPr>
            <w:tcW w:w="120" w:type="dxa"/>
            <w:vAlign w:val="bottom"/>
          </w:tcPr>
          <w:p>
            <w:pPr>
              <w:spacing w:after="0"/>
              <w:rPr>
                <w:sz w:val="20"/>
                <w:szCs w:val="20"/>
                <w:color w:val="auto"/>
              </w:rPr>
            </w:pPr>
          </w:p>
        </w:tc>
        <w:tc>
          <w:tcPr>
            <w:tcW w:w="4600" w:type="dxa"/>
            <w:vAlign w:val="bottom"/>
            <w:gridSpan w:val="11"/>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thirty-nine weeks ended October 30, 2021</w:t>
            </w:r>
          </w:p>
        </w:tc>
        <w:tc>
          <w:tcPr>
            <w:tcW w:w="0" w:type="dxa"/>
            <w:vAlign w:val="bottom"/>
          </w:tcPr>
          <w:p>
            <w:pPr>
              <w:spacing w:after="0"/>
              <w:rPr>
                <w:sz w:val="1"/>
                <w:szCs w:val="1"/>
                <w:color w:val="auto"/>
              </w:rPr>
            </w:pPr>
          </w:p>
        </w:tc>
      </w:tr>
      <w:tr>
        <w:trPr>
          <w:trHeight w:val="426"/>
        </w:trPr>
        <w:tc>
          <w:tcPr>
            <w:tcW w:w="228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4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AOCI</w:t>
            </w:r>
          </w:p>
        </w:tc>
        <w:tc>
          <w:tcPr>
            <w:tcW w:w="8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8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APIC</w:t>
            </w: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earnings/(deficit)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1"/>
              </w:rPr>
              <w:t>$ 75,490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(12,470)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93,683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1"/>
              </w:rPr>
              <w:t>$ 72,822</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(12,615)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1"/>
              </w:rPr>
              <w:t>$ 67,308</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plans</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1,004</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2,838</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in lieu of</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withholdings</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(2,178)</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(1,640)</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Repurchase</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(24,172)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27,475</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27,475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23,138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23,138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68,422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(12,336)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97,098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75,316</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(12,495)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30,080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93,064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Accumulated other comprehensive income (loss) (“AOCI”)</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2022, the Company utilized $1.3 million in cash to repurchase 80,558 shares under its $25.0 million program that was authorized by its Board of Directors on November 30, 2021, which resulted in the completion of that $25.0 million stock buyback program.</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August 31, 2022, the Company announced that its Board of Directors authorized a share repurchase program of up to $50.0 million. The primary source of funding for the share repurchase program is expected to be cash on hand. The timing and amount of share repurchases, if any, will depend on price, market conditions, applicable regulatory requirements, and other factors. The program, which authorizes the Company to repurchase shares through August 31, 2025, does not require the Company to repurchase any specific number of shares, and may be modified, suspended or terminated at any time without prior notice. Shares repurchased under the program will be subsequently retired. As of October 29, 2022, the Company has utilized $3.5 million in cash to repurchase 256,377 shares under this new share repurchase program.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income/(loss) per share (in thousands, except share and per share data):</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29,</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23,138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 basic</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14,542,947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15,578,389</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15,097,816</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15,345,420</w:t>
            </w:r>
          </w:p>
        </w:tc>
        <w:tc>
          <w:tcPr>
            <w:tcW w:w="0" w:type="dxa"/>
            <w:vAlign w:val="bottom"/>
          </w:tcPr>
          <w:p>
            <w:pPr>
              <w:spacing w:after="0"/>
              <w:rPr>
                <w:sz w:val="1"/>
                <w:szCs w:val="1"/>
                <w:color w:val="auto"/>
              </w:rPr>
            </w:pPr>
          </w:p>
        </w:tc>
      </w:tr>
      <w:tr>
        <w:trPr>
          <w:trHeight w:val="216"/>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658,512</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314,314</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697,527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1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14,760,586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16,236,901</w:t>
            </w:r>
          </w:p>
        </w:tc>
        <w:tc>
          <w:tcPr>
            <w:tcW w:w="1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15,412,130</w:t>
            </w:r>
          </w:p>
        </w:tc>
        <w:tc>
          <w:tcPr>
            <w:tcW w:w="14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16,042,947</w:t>
            </w: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shares outstanding - dilutive</w:t>
            </w:r>
          </w:p>
        </w:tc>
        <w:tc>
          <w:tcPr>
            <w:tcW w:w="1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Basic income per common share attributable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to Build-A-Bear Workshop, Inc. stockholders</w:t>
            </w:r>
          </w:p>
        </w:tc>
        <w:tc>
          <w:tcPr>
            <w:tcW w:w="1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0" w:type="dxa"/>
            <w:vAlign w:val="bottom"/>
            <w:tcBorders>
              <w:top w:val="single" w:sz="8" w:color="CCEEFF"/>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Diluted income per common share</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Build-A-Bear Workshop, Inc.</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4"/>
        </w:trPr>
        <w:tc>
          <w:tcPr>
            <w:tcW w:w="3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calculating the diluted income per share for the thirteen and thirty-nine weeks ended October 29, 2022, options to purchase 90,710 and 106,770 shares of common stock, respectively, that were outstanding at the end of the period were not included in the computation of diluted income per share due to their anti-dilutive effect. For the thirteen and thirty-nine weeks ended October 30, 2021, options to purchase 52,812 and 242,445 shares of common stock, respectively, that were outstanding at the end of the period were not included in the computation of diluted income per share due to their anti-dilutive effect.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 (Loss)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income (loss) balance on October 29, 2022 and October 30, 2021 was comprised entirely of foreign currency translation. For the thirteen weeks ended October 29, 2022 and October 30, 2021, the Company had no reclassifications out of accumulated other comprehensive income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w:t>
      </w:r>
    </w:p>
    <w:p>
      <w:pPr>
        <w:spacing w:after="0" w:line="251" w:lineRule="auto"/>
        <w:rPr>
          <w:sz w:val="20"/>
          <w:szCs w:val="20"/>
          <w:color w:val="auto"/>
        </w:rPr>
      </w:pPr>
      <w:r>
        <w:rPr>
          <w:rFonts w:ascii="Times New Roman" w:cs="Times New Roman" w:eastAsia="Times New Roman" w:hAnsi="Times New Roman"/>
          <w:sz w:val="18"/>
          <w:szCs w:val="18"/>
          <w:color w:val="auto"/>
        </w:rPr>
        <w:t>the U.S., Canada, Ireland and the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29, 2022</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99,229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104,480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7,771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9,888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30, 2021</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91,551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95,139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7,011</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29, 2022</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308,001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322,827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29,174</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35,722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8,888</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9,295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30, 2021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272,052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281,560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27,524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30,561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4,644</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9,129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9,152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as of:</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29,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253,595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259,801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29, 2022</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260,526</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266,324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30, 2021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261,980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271,998</w:t>
            </w:r>
          </w:p>
        </w:tc>
        <w:tc>
          <w:tcPr>
            <w:tcW w:w="1140" w:type="dxa"/>
            <w:vAlign w:val="bottom"/>
          </w:tcPr>
          <w:p>
            <w:pPr>
              <w:spacing w:after="0"/>
              <w:rPr>
                <w:sz w:val="18"/>
                <w:szCs w:val="18"/>
                <w:color w:val="auto"/>
              </w:rPr>
            </w:pPr>
          </w:p>
        </w:tc>
      </w:tr>
      <w:tr>
        <w:trPr>
          <w:trHeight w:val="432"/>
        </w:trPr>
        <w:tc>
          <w:tcPr>
            <w:tcW w:w="1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America (1)</w:t>
            </w:r>
          </w:p>
        </w:tc>
        <w:tc>
          <w:tcPr>
            <w:tcW w:w="16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Europe (2)</w:t>
            </w:r>
          </w:p>
        </w:tc>
        <w:tc>
          <w:tcPr>
            <w:tcW w:w="1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Other (3)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29, 2022</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90,515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104,480</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30, 2021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79,576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14,753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95,139</w:t>
            </w:r>
          </w:p>
        </w:tc>
      </w:tr>
      <w:tr>
        <w:trPr>
          <w:trHeight w:val="216"/>
        </w:trPr>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29, 2022</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282,706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37,754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322,827</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43,898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46,264</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30, 2021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247,508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32,257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281,560</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corporately-managed locations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corporately-managed locations in the U.K. and Ireland.</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The Company has applied for permission to appeal to the UK Supreme Court. The Company maintains a provision against the related receivable, based on a current evaluation of collectability, using the latest facts available in the dispute. As of October 29, 2022, the Company had a gross receivable balance of $4.1 million and a reserve of $3.2 million, leaving a net receivable of $0.9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putative class action lawsuit was filed against Build-A-Bear Workshop, Inc. The plaintiff amended the complaint during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first quarter of fiscal 2022. As amended, the complaint asserts claims under the Telephone Consumer Protection Act (the "TCPA") alleging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continued to send marketing text messages to mobile phone numbers after those numbers had allegedly opted-out of receiving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damages under the TCPA are assessed at up to $500 per text message, and up to $1,500 per text message if the violation was knowing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willful. The Company has reached a tentative settlement with the Plaintiff and an insurance carrier which, if approved by the Court, is not expected to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significant expense for the Company.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November 21, 2022, Build-A-Bear Workshop, Inc. (the “Company”), as borrowing agent; Build-A-Bear Retail Management, Inc., together with the Company, as borrowers (collectively, the “Borrowers”); and Build-A-Bear Workshop Franchise Holdings, Inc., Build-A-Bear Entertainment, LLC, Build-A-Bear Card Services, LLC and Build-A-Bear Workshop Canada, Ltd. (collectively, the “Guarantors”); entered into a Second Amendment to Revolving Credit and Security Agreement (the “Second Amendment”) with the lenders party thereto (the “Lenders”); and PNC Bank, National Association, as agent for Lenders (in such capacity, “Agent”). The Second Amendment amended the Revolving Credit and Security Agreement, dated as of August 25, 2020 (the “Original Credit Agreement”), as amended by the First Amendment, dated as of December 17, 2021 (the “First Amendment”, and together with the Original Credit Agreement and the Second Amendment, the “Credit Agreement”), among the Company, the Borrowers, the Guarantors, the Lenders, and the Agent.</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light of the upcoming cessation of LIBOR, the Second Amendment (i) changed the interest calculation from a LIBOR based reference rate to secured overnight financing rate (“SOFR”) based reference rate, (ii) updated the mechanics to use a future reference rate in the event that SOFR is no longer available, (iii) updated various provisions regarding compliance with sanctions and anti-money laundering laws, and (iv) implemented certain other technical amendments.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a result, any borrowings under the Credit Agreement will bear interest by reference to, at the Borrower’s option, either (a) a base rate determined under the Credit Agreement, or (b) at a rate based on SOFR, plus in either case a margin based on average undrawn availability as determined in accordance with the Credit Agreement, as such rates and floor were reduced by the First Amendment.</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At the closing date of the Second Amendment, the Borrowers had a $500,000 letter of credit issued and no outstanding indebtedness under the Credit Agreement and the Company is currently in compliance with the Credit Agreement covenants.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29, 2022, as filed with the SEC, and include the following:</w:t>
      </w:r>
    </w:p>
    <w:p>
      <w:pPr>
        <w:spacing w:after="0" w:line="180" w:lineRule="exact"/>
        <w:rPr>
          <w:sz w:val="20"/>
          <w:szCs w:val="20"/>
          <w:color w:val="auto"/>
        </w:rPr>
      </w:pPr>
    </w:p>
    <w:p>
      <w:pPr>
        <w:ind w:left="480" w:right="540" w:hanging="175"/>
        <w:spacing w:after="0" w:line="261"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 pandemic has had and is expected to continue to have an adverse effect on our business and results of operations through periodic factory closures, and other supply chain disruptions;</w:t>
      </w:r>
    </w:p>
    <w:p>
      <w:pPr>
        <w:ind w:left="480" w:right="40" w:hanging="175"/>
        <w:spacing w:after="0" w:line="265" w:lineRule="auto"/>
        <w:tabs>
          <w:tab w:leader="none" w:pos="4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upon the shopping malls and tourist locations in which our corporately-managed stores and third-party retail locations are located to attract guests. If continued volatility leads to a decline in retail consumer traffic, it could adversely affect our financial performance and profitability;</w:t>
      </w:r>
    </w:p>
    <w:p>
      <w:pPr>
        <w:ind w:left="480" w:right="2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continuing or sustained decline in general global economic conditions, caused by the pandemic, inflation, or otherwise,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20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ind w:left="480" w:hanging="175"/>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products prices;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a variety of significant competitive threats;</w:t>
      </w:r>
    </w:p>
    <w:p>
      <w:pPr>
        <w:spacing w:after="0" w:line="9" w:lineRule="exact"/>
        <w:rPr>
          <w:rFonts w:ascii="Times New Roman" w:cs="Times New Roman" w:eastAsia="Times New Roman" w:hAnsi="Times New Roman"/>
          <w:sz w:val="18"/>
          <w:szCs w:val="18"/>
          <w:color w:val="auto"/>
        </w:rPr>
      </w:pPr>
    </w:p>
    <w:p>
      <w:pPr>
        <w:ind w:left="480" w:right="80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inflationary pressures may increase supply chain costs, especially freight and fuel costs, and may reduce disposable income for consumers and demand for our products, therefore negatively impacting our sales and profitability;</w:t>
      </w:r>
    </w:p>
    <w:p>
      <w:pPr>
        <w:ind w:left="480" w:right="8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5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strategy and the cost of our investments in e-commerce and digital technology may materially adversely affect our financial condition and profitability;</w:t>
      </w:r>
    </w:p>
    <w:p>
      <w:pPr>
        <w:ind w:left="480" w:hanging="175"/>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right="34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480" w:right="3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20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profitability;</w:t>
      </w:r>
    </w:p>
    <w:p>
      <w:pPr>
        <w:spacing w:after="0" w:line="9" w:lineRule="exact"/>
        <w:rPr>
          <w:rFonts w:ascii="Times New Roman" w:cs="Times New Roman" w:eastAsia="Times New Roman" w:hAnsi="Times New Roman"/>
          <w:sz w:val="18"/>
          <w:szCs w:val="18"/>
          <w:color w:val="auto"/>
        </w:rPr>
      </w:pPr>
    </w:p>
    <w:p>
      <w:pPr>
        <w:ind w:left="480" w:right="38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merchandise, and significant price increases or disruption in their ability to deliver merchandise could harm our ability to source products and supply inventory in our stores;</w:t>
      </w:r>
    </w:p>
    <w:p>
      <w:pPr>
        <w:jc w:val="both"/>
        <w:ind w:left="480" w:right="260" w:hanging="175"/>
        <w:spacing w:after="0" w:line="255"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80" w:right="540" w:hanging="175"/>
        <w:spacing w:after="0" w:line="261"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international franchises, attract new franchises or if the laws relating to our international franchises change, our growth and profitability could be adversely affected, and we could be exposed to additional liability;</w:t>
      </w:r>
    </w:p>
    <w:p>
      <w:pPr>
        <w:ind w:left="480" w:right="120" w:hanging="175"/>
        <w:spacing w:after="0" w:line="250"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For example, a putative class action lawsuit was filed against us asserting claims under the Telephone Consumer Protection Act (the "TCPA") alleging that we continued to send marketing text messages to mobile phone numbers after those numbers had allegedly opted-out of receiving them. If we improperly obtain or are unable to protect our data or violate privacy or security laws such as the GDPR or the General Data Protection Regulation, the CCPA or the California Privacy Rights Act (as adopted), the TCPA, or expectations, we could be subject to additional lawsuits and liability as well as damage to our reputation;</w:t>
      </w:r>
    </w:p>
    <w:p>
      <w:pPr>
        <w:spacing w:after="0" w:line="2" w:lineRule="exact"/>
        <w:rPr>
          <w:rFonts w:ascii="Times New Roman" w:cs="Times New Roman" w:eastAsia="Times New Roman" w:hAnsi="Times New Roman"/>
          <w:sz w:val="18"/>
          <w:szCs w:val="18"/>
          <w:color w:val="auto"/>
        </w:rPr>
      </w:pPr>
    </w:p>
    <w:p>
      <w:pPr>
        <w:ind w:left="480" w:right="40" w:hanging="175"/>
        <w:spacing w:after="0" w:line="250"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80" w:right="120" w:hanging="175"/>
        <w:spacing w:after="0" w:line="250"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80" w:right="20" w:hanging="175"/>
        <w:spacing w:after="0" w:line="250"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80" w:right="20" w:hanging="175"/>
        <w:spacing w:after="0" w:line="250"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80" w:right="320" w:hanging="175"/>
        <w:spacing w:after="0" w:line="250"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subject to volatility, which could attract the interest of activist shareholders;</w:t>
      </w:r>
    </w:p>
    <w:p>
      <w:pPr>
        <w:spacing w:after="0" w:line="9" w:lineRule="exact"/>
        <w:rPr>
          <w:rFonts w:ascii="Times New Roman" w:cs="Times New Roman" w:eastAsia="Times New Roman" w:hAnsi="Times New Roman"/>
          <w:sz w:val="18"/>
          <w:szCs w:val="18"/>
          <w:color w:val="auto"/>
        </w:rPr>
      </w:pPr>
    </w:p>
    <w:p>
      <w:pPr>
        <w:ind w:left="480" w:right="400" w:hanging="175"/>
        <w:spacing w:after="0" w:line="250"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80" w:right="120" w:hanging="175"/>
        <w:spacing w:after="0" w:line="250"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80" w:right="100" w:hanging="175"/>
        <w:spacing w:after="0" w:line="260"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where children and their families could create their own stuffed animals. Over the last nearly 25 years, Build-A-Bear has become a brand with high consumer awareness and positive affinity with over 200 million furry friends made by guests. We are leveraging this brand strength to strategically evolve our brick-and-mortar retail footprint beyond traditional malls with a versatile range of formats and locations including tourist destinations, expand into international markets primarily via a franchise model, and broaden the consumer base beyond children by adding teens and adults with entertainment/sports licensing, collectible and gifting offerings. Build-A-Bear's pop-culture and multi-generational appeal have also played a key role in our digital transformation which includes a meaningful e-commerce/omni-channel business that has delivered sustained growth, engaging consumer loyalty program and robust digital marketing and content capabilities with industry-leading partners. As of October 29, 2022, we had 347 corporately-managed stores globally and 3 seasonal locations, 65 locations operating through our "third-party retail" model in which we sell our products on a wholesale basis to other companies that then, in turn, execute our retail experience, and 66 international franchised stores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500" w:hanging="16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(“DTC”) – Corporately-managed retail stores located in the U.S., Canada, the U.K., and Ireland and two e-commerce sites;</w:t>
      </w:r>
    </w:p>
    <w:p>
      <w:pPr>
        <w:spacing w:after="0" w:line="36" w:lineRule="exact"/>
        <w:rPr>
          <w:rFonts w:ascii="Times New Roman" w:cs="Times New Roman" w:eastAsia="Times New Roman" w:hAnsi="Times New Roman"/>
          <w:sz w:val="18"/>
          <w:szCs w:val="18"/>
          <w:color w:val="auto"/>
        </w:rPr>
      </w:pPr>
    </w:p>
    <w:p>
      <w:pPr>
        <w:ind w:left="500" w:right="100" w:hanging="162"/>
        <w:spacing w:after="0" w:line="234" w:lineRule="auto"/>
        <w:tabs>
          <w:tab w:leader="none" w:pos="5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Times New Roman" w:cs="Times New Roman" w:eastAsia="Times New Roman" w:hAnsi="Times New Roman"/>
          <w:sz w:val="22"/>
          <w:szCs w:val="22"/>
          <w:color w:val="auto"/>
        </w:rPr>
      </w:pPr>
    </w:p>
    <w:p>
      <w:pPr>
        <w:ind w:left="500" w:right="140" w:hanging="162"/>
        <w:spacing w:after="0" w:line="225" w:lineRule="auto"/>
        <w:tabs>
          <w:tab w:leader="none" w:pos="5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development fees and the sales from products and fixtures from other international operations under franchise agreements.</w:t>
      </w:r>
    </w:p>
    <w:p>
      <w:pPr>
        <w:spacing w:after="0" w:line="198" w:lineRule="exact"/>
        <w:rPr>
          <w:sz w:val="20"/>
          <w:szCs w:val="20"/>
          <w:color w:val="auto"/>
        </w:rPr>
      </w:pPr>
    </w:p>
    <w:p>
      <w:pPr>
        <w:ind w:left="20" w:right="28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thirty-nine weeks ended October 29, 2022 and October 30, 2021 are set forth in the notes to our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left="20" w:right="20" w:firstLine="648"/>
        <w:spacing w:after="0" w:line="254"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stuffed animals" by participating in the stuffing, fluffing, dressing, accessorizing, and naming of their teddy bears and other stuffed animals. We also operate e-commerce sites that focus on gift-giving, collectible merchandise and licensed products that appeal to consumers that have an affinity for characters from a range of licensed properties. Over the last 25 years, Build-A-Bear has become a brand with high consumer awareness and positive affinity. We believe there are opportunities to leverage this brand strength, pop-culture status and multi-generational appeal and generate incremental revenue and profits through licensing our intellectual properties through content and entertainment development for kids and adults while also offering products at wholesale and in non-plush consumer categories through outbound licensing agreements with leading manufacturers.</w:t>
      </w:r>
    </w:p>
    <w:p>
      <w:pPr>
        <w:spacing w:after="0" w:line="188" w:lineRule="exact"/>
        <w:rPr>
          <w:sz w:val="20"/>
          <w:szCs w:val="20"/>
          <w:color w:val="auto"/>
        </w:rPr>
      </w:pPr>
    </w:p>
    <w:p>
      <w:pPr>
        <w:ind w:left="180" w:right="120" w:firstLine="486"/>
        <w:spacing w:after="0" w:line="266" w:lineRule="auto"/>
        <w:rPr>
          <w:sz w:val="20"/>
          <w:szCs w:val="20"/>
          <w:color w:val="auto"/>
        </w:rPr>
      </w:pPr>
      <w:r>
        <w:rPr>
          <w:rFonts w:ascii="Times New Roman" w:cs="Times New Roman" w:eastAsia="Times New Roman" w:hAnsi="Times New Roman"/>
          <w:sz w:val="18"/>
          <w:szCs w:val="18"/>
          <w:color w:val="auto"/>
        </w:rPr>
        <w:t>In the second and third quarters of fiscal 2022, we experienced unfavorable foreign currency effects due to the British Pound weakening against the U.S. Dollar. This unfavorable effect negatively impacted European revenue compared to the fiscal 2021 second and third quarters. We anticipate this unfavorable effect to continue at least into the fourth quarter of fiscal 2022.</w:t>
      </w:r>
    </w:p>
    <w:p>
      <w:pPr>
        <w:spacing w:after="0" w:line="176" w:lineRule="exact"/>
        <w:rPr>
          <w:sz w:val="20"/>
          <w:szCs w:val="20"/>
          <w:color w:val="auto"/>
        </w:rPr>
      </w:pPr>
    </w:p>
    <w:p>
      <w:pPr>
        <w:ind w:left="20" w:right="160" w:firstLine="648"/>
        <w:spacing w:after="0" w:line="258" w:lineRule="auto"/>
        <w:rPr>
          <w:sz w:val="20"/>
          <w:szCs w:val="20"/>
          <w:color w:val="auto"/>
        </w:rPr>
      </w:pPr>
      <w:r>
        <w:rPr>
          <w:rFonts w:ascii="Times New Roman" w:cs="Times New Roman" w:eastAsia="Times New Roman" w:hAnsi="Times New Roman"/>
          <w:sz w:val="18"/>
          <w:szCs w:val="18"/>
          <w:color w:val="auto"/>
        </w:rPr>
        <w:t>We believe we have built the infrastructure to respond with greater agility to deal with ongoing and future potential uncertainty and we expect to deliver continued growth in total revenues and profit in fiscal 2022 compared to fiscal 2021. While we believe that we have seen benefits from pandemic-driven factors such as pent-up demand and stimulus packages, we believe that the initiatives and investments that were put in place prior to the pandemic, and in many cases accelerated during the pandemic, are driving improved results, which we expect to continue. We remain focused on our strategic priorities which are centered primarily on three key areas:</w:t>
      </w:r>
    </w:p>
    <w:p>
      <w:pPr>
        <w:spacing w:after="0" w:line="183" w:lineRule="exact"/>
        <w:rPr>
          <w:sz w:val="20"/>
          <w:szCs w:val="20"/>
          <w:color w:val="auto"/>
        </w:rPr>
      </w:pPr>
    </w:p>
    <w:p>
      <w:pPr>
        <w:ind w:left="480" w:hanging="155"/>
        <w:spacing w:after="0" w:line="252"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acceleration of a broad-reaching and comprehensive digital transformation including content and entertainment initiatives.</w:t>
      </w:r>
      <w:r>
        <w:rPr>
          <w:rFonts w:ascii="Times New Roman" w:cs="Times New Roman" w:eastAsia="Times New Roman" w:hAnsi="Times New Roman"/>
          <w:sz w:val="18"/>
          <w:szCs w:val="18"/>
          <w:color w:val="auto"/>
        </w:rPr>
        <w:t>We expect to more effectively use our expanded digital capabilities and platforms to inform and drive marketing and content campaigns and deliver personalized experiences and sales messaging. We also plan to expand our addressable market by reaching beyond the core kid base and continue to acquire new tween, teen, and adult consumers by offering unique affinity offerings and expanding purchase occasions. We prepared for and launched the planned updated mobile-first version of our e-commerce site with extended A/B testing and algorithm refinements being made throughout the period on multiple points from the landing page to checkout. While some sales disruption is expected during this type of upgrade, we saw a greater than planned decline in digital demand in the quarter, which could also be related to what seems to be a macro consumer trend back to in-person shopping, simply shifting some of our demand to our retail locations given the strength of our total sales growth in the quarter. However, our most recent e-commerce trends have shown improvement and have returned to a positive trend in the current fourth quarter. In addition, we plan to continue to utilize digital media, content and entertainment as marketing and brand-building tools to engage consumers and create value. Although our third quarter e-commerce sales were down from the third quarter of 2021, the results are up 105% compared to the third quarter of fiscal 2019, which was prior to the implementation of key digital initiatives. The year-over-year decrease in e-commerce sales were impacted by a heavier mix of e-commerce sales relative to brick-and-mortar store sales due to the ongoing impact of the pandemic in 2021 as well as the strong launch of a key licensed product collection in 2021.</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00" w:right="4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to leverage our expanded omnichannel capabilities while further evolving retail experiences and purchase occasions.</w:t>
      </w:r>
      <w:r>
        <w:rPr>
          <w:rFonts w:ascii="Times New Roman" w:cs="Times New Roman" w:eastAsia="Times New Roman" w:hAnsi="Times New Roman"/>
          <w:sz w:val="18"/>
          <w:szCs w:val="18"/>
          <w:color w:val="auto"/>
        </w:rPr>
        <w:t xml:space="preserve"> As of October 29, 2022, 23 new Build-A-Bear Workshop retail locations have been opened demonstrating the progress we have made exceeding our goal of opening approximately 20 new locations through a combination of corporately-managed and third-party retail this fiscal year. We expect to finish fiscal 2022 with a net increase in the number of stores in North America inclusive of third-party retail sites and to have fewer locations in Europe. Combined across geographies and business models, we plan to have more total locations at the end of this fiscal year compared to the end of 2021. We have made a concerted effort to shift to non-traditional locations including family-centric tourist sites and now have approximately 35% of total retail locations in non-traditional settings. As consumers have embraced a return to physical and in-person experiences and travel, in general, key metrics in our non-traditional locations have continued to outpace traditional retail locations. We also continue to develop innovative experiences to expand our brand reach. This includes Build-A-Bear vending machines, also known as ATMs or automatic teddy machines. We expect to have approximately 10 ATMs by the end of this year with more than half of them in airports through our relationship with Hudson Group, a leader in travel retail throughout North America. In addition, 2022 marks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since Build-A-Bear Workshop was founded and we plan to capitalize on the occasion to create interest, leverage nostalgia and drive incremental purchases.</w:t>
      </w:r>
    </w:p>
    <w:p>
      <w:pPr>
        <w:spacing w:after="0" w:line="206" w:lineRule="exact"/>
        <w:rPr>
          <w:rFonts w:ascii="Times New Roman" w:cs="Times New Roman" w:eastAsia="Times New Roman" w:hAnsi="Times New Roman"/>
          <w:sz w:val="18"/>
          <w:szCs w:val="18"/>
          <w:color w:val="auto"/>
        </w:rPr>
      </w:pPr>
    </w:p>
    <w:p>
      <w:pPr>
        <w:ind w:left="900" w:hanging="244"/>
        <w:spacing w:after="0" w:line="269"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Optimizing our solid financial position including a strong balance sheet to support our business and make investments aligned with the strategy outlined above.</w:t>
      </w:r>
      <w:r>
        <w:rPr>
          <w:rFonts w:ascii="Times New Roman" w:cs="Times New Roman" w:eastAsia="Times New Roman" w:hAnsi="Times New Roman"/>
          <w:sz w:val="17"/>
          <w:szCs w:val="17"/>
          <w:color w:val="auto"/>
        </w:rPr>
        <w:t xml:space="preserve"> We plan to maintain disciplined expense management particularly in light of recent inflationary pressures, wage increases and supply chain challenges. We are also focused on ongoing lease negotiations as we continue to evolve our real estate portfolio with new locations, formats and business models. In addition, we expect to continue to strategically manage our capital to support key initiatives and innovative developments designed to deliver long-term profitable growth while returning value to shareholders through actions such as</w:t>
      </w:r>
    </w:p>
    <w:p>
      <w:pPr>
        <w:spacing w:after="0" w:line="2" w:lineRule="exact"/>
        <w:rPr>
          <w:rFonts w:ascii="Times New Roman" w:cs="Times New Roman" w:eastAsia="Times New Roman" w:hAnsi="Times New Roman"/>
          <w:sz w:val="17"/>
          <w:szCs w:val="17"/>
          <w:color w:val="auto"/>
        </w:rPr>
      </w:pPr>
    </w:p>
    <w:p>
      <w:pPr>
        <w:ind w:left="900"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recent completion of the share repurchase program that was adopted in November 2021, and with plans to buyback additional shares through a newly-authorized share repurchase program announced in August 2022, which demonstrates the confidence our Board of Directors continues to have in our strategy and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Europe and Asia for the periods presented:</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Thirty-nine weeks ended</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1880" w:type="dxa"/>
            <w:vAlign w:val="bottom"/>
          </w:tcPr>
          <w:p>
            <w:pPr>
              <w:spacing w:after="0"/>
              <w:rPr>
                <w:sz w:val="16"/>
                <w:szCs w:val="16"/>
                <w:color w:val="auto"/>
              </w:rPr>
            </w:pPr>
          </w:p>
        </w:tc>
        <w:tc>
          <w:tcPr>
            <w:tcW w:w="86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18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Asia</w:t>
            </w:r>
          </w:p>
        </w:tc>
        <w:tc>
          <w:tcPr>
            <w:tcW w:w="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Asia</w:t>
            </w: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0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41</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8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35</w:t>
            </w:r>
          </w:p>
        </w:tc>
        <w:tc>
          <w:tcPr>
            <w:tcW w:w="5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1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October 29, 2022, 45%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October 29, 2022, we had six master franchise agreements, which typically grant franchise rights for a particular country or group of countries, covering an aggregate of 10 countries.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09"/>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9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6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320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29,</w:t>
            </w:r>
          </w:p>
        </w:tc>
        <w:tc>
          <w:tcPr>
            <w:tcW w:w="122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24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22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160" w:type="dxa"/>
            <w:vAlign w:val="bottom"/>
          </w:tcPr>
          <w:p>
            <w:pPr>
              <w:spacing w:after="0"/>
              <w:rPr>
                <w:sz w:val="16"/>
                <w:szCs w:val="16"/>
                <w:color w:val="auto"/>
              </w:rPr>
            </w:pPr>
          </w:p>
        </w:tc>
      </w:tr>
      <w:tr>
        <w:trPr>
          <w:trHeight w:val="238"/>
        </w:trPr>
        <w:tc>
          <w:tcPr>
            <w:tcW w:w="320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95.0%</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160"/>
          </w:cols>
          <w:pgMar w:left="300" w:top="121" w:right="439" w:bottom="1440" w:gutter="0" w:footer="0" w:header="0"/>
        </w:sectPr>
      </w:pPr>
    </w:p>
    <w:p>
      <w:pPr>
        <w:ind w:left="116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1320" w:right="400"/>
        <w:spacing w:after="0" w:line="200" w:lineRule="auto"/>
        <w:rPr>
          <w:sz w:val="20"/>
          <w:szCs w:val="20"/>
          <w:color w:val="auto"/>
        </w:rPr>
      </w:pPr>
      <w:r>
        <w:rPr>
          <w:rFonts w:ascii="Times New Roman" w:cs="Times New Roman" w:eastAsia="Times New Roman" w:hAnsi="Times New Roman"/>
          <w:sz w:val="17"/>
          <w:szCs w:val="17"/>
          <w:color w:val="auto"/>
        </w:rPr>
        <w:t xml:space="preserve">Cost of merchandise sold - retail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Cost of merchandise sold - commercial</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(1)</w:t>
      </w:r>
    </w:p>
    <w:p>
      <w:pPr>
        <w:spacing w:after="0" w:line="5" w:lineRule="exact"/>
        <w:rPr>
          <w:sz w:val="20"/>
          <w:szCs w:val="20"/>
          <w:color w:val="auto"/>
        </w:rPr>
      </w:pPr>
    </w:p>
    <w:p>
      <w:pPr>
        <w:ind w:left="1320" w:right="340"/>
        <w:spacing w:after="0" w:line="185" w:lineRule="auto"/>
        <w:rPr>
          <w:sz w:val="20"/>
          <w:szCs w:val="20"/>
          <w:color w:val="auto"/>
        </w:rPr>
      </w:pPr>
      <w:r>
        <w:rPr>
          <w:rFonts w:ascii="Times New Roman" w:cs="Times New Roman" w:eastAsia="Times New Roman" w:hAnsi="Times New Roman"/>
          <w:sz w:val="18"/>
          <w:szCs w:val="18"/>
          <w:color w:val="auto"/>
        </w:rPr>
        <w:t xml:space="preserve">Cost of merchandise sold - international franchising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47.7</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48.0</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48.5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392"/>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46.8</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38.6</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46.7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418"/>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77.0</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65.2</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67.4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-788035</wp:posOffset>
            </wp:positionV>
            <wp:extent cx="570039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-513715</wp:posOffset>
            </wp:positionV>
            <wp:extent cx="5700395" cy="248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248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540" w:space="720"/>
            <w:col w:w="5900"/>
          </w:cols>
          <w:pgMar w:left="300" w:top="121" w:right="43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32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Total cost of merchandise sold</w:t>
            </w:r>
          </w:p>
        </w:tc>
        <w:tc>
          <w:tcPr>
            <w:tcW w:w="14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48.0</w:t>
            </w:r>
          </w:p>
        </w:tc>
        <w:tc>
          <w:tcPr>
            <w:tcW w:w="14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47.9</w:t>
            </w:r>
          </w:p>
        </w:tc>
        <w:tc>
          <w:tcPr>
            <w:tcW w:w="14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48.6</w:t>
            </w:r>
          </w:p>
        </w:tc>
        <w:tc>
          <w:tcPr>
            <w:tcW w:w="138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47.3</w:t>
            </w:r>
          </w:p>
        </w:tc>
      </w:tr>
      <w:tr>
        <w:trPr>
          <w:trHeight w:val="20"/>
        </w:trPr>
        <w:tc>
          <w:tcPr>
            <w:tcW w:w="3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52.0</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52.1</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w:t>
            </w: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42.5</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r>
      <w:tr>
        <w:trPr>
          <w:trHeight w:val="197"/>
        </w:trPr>
        <w:tc>
          <w:tcPr>
            <w:tcW w:w="32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32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52.3%</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bl>
    <w:p>
      <w:pPr>
        <w:spacing w:after="0" w:line="198" w:lineRule="exact"/>
        <w:rPr>
          <w:sz w:val="20"/>
          <w:szCs w:val="20"/>
          <w:color w:val="auto"/>
        </w:rPr>
      </w:pPr>
    </w:p>
    <w:p>
      <w:pPr>
        <w:ind w:left="400" w:right="40" w:hanging="372"/>
        <w:spacing w:after="0" w:line="261" w:lineRule="auto"/>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00" w:right="400" w:hanging="372"/>
        <w:spacing w:after="0" w:line="260" w:lineRule="auto"/>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00" w:top="121"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October 29, 2022 compared to thirteen weeks ended October 30, 2021</w:t>
      </w:r>
    </w:p>
    <w:p>
      <w:pPr>
        <w:spacing w:after="0" w:line="205"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9.8%, primarily driven by an 13.7% increase in North America and partially offset by a 12.9%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Europe. The overall revenue growth was primarily driven by increased retail transactions in North American brick and mortar stores resulting from an increase in consumer traffic, as well as increases in the commercial and international franchising segments' revenue.</w:t>
      </w:r>
    </w:p>
    <w:p>
      <w:pPr>
        <w:spacing w:after="0" w:line="175"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Net retail sales for the thirteen weeks ended October 29, 2022 were $99.2 million, compared to $91.6 million for the thirteen weeks ended October 30, 2021, an increase of $7.6 million, or 8.3%, compared to the prior year period. The components of this increase are as follows (dollars in millions):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October 29, 2022</w:t>
            </w: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17,203</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retail revenue increase was primarily the result of an increase in demand for our product and in-person interactive experience (partially offset by a decrease in digital sales), select strategic price increases, and lower promotional activity. The negative foreign currency translation effect is due to the British Pound weakening against the US Dollar during the fiscal 2022 third quarter. This negative foreign currency effect has, in turn, decreased European revenue compared to the fiscal 2021 third quarter.</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$4.2 million for the thirteen weeks ended October 29, 2022 compared to $2.8 million for the thirteen weeks ended October 30, 2021. The $1.4 million increase is primarily the result of increased sales volume from our commercial accounts through our third-party retail model.</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$1.1 million for the thirteen weeks ended October 29, 2022 compared to $0.8 million for the thirteen weeks ended October 30, 2021. The $0.3 million increase is primarily due to an overall increase in sales from franchisees.</w:t>
      </w:r>
    </w:p>
    <w:p>
      <w:pPr>
        <w:spacing w:after="0" w:line="160"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$4.3 million to $51.9 million from $47.6 million for the thirteen weeks ended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2021. The retail gross margin rate increased 30 basis points compared to the prior year primarily driven by increased leverage of fixed occupancy, distribution, and labor costs driven by higher sales.</w:t>
      </w:r>
    </w:p>
    <w:p>
      <w:pPr>
        <w:spacing w:after="0" w:line="173" w:lineRule="exact"/>
        <w:rPr>
          <w:sz w:val="20"/>
          <w:szCs w:val="20"/>
          <w:color w:val="auto"/>
        </w:rPr>
      </w:pPr>
    </w:p>
    <w:p>
      <w:pPr>
        <w:jc w:val="both"/>
        <w:ind w:right="5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("SG&amp;A") expenses were $44.4 million, or 42.5% of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thirteen weeks ended October 29, 2022, compared to $41.7 million, or 43.8% of consolidated revenue, for the thirteen weeks ended October 30, 2021. The increase in overall expense was driven by higher store labor costs to service the increased sales demand within the quarter. Additionally, the change reflects an increase in variable costs driven by sales growth initiatives inclusive of higher marketing spend.</w:t>
      </w:r>
    </w:p>
    <w:p>
      <w:pPr>
        <w:spacing w:after="0" w:line="180" w:lineRule="exact"/>
        <w:rPr>
          <w:sz w:val="20"/>
          <w:szCs w:val="20"/>
          <w:color w:val="auto"/>
        </w:rPr>
      </w:pPr>
    </w:p>
    <w:p>
      <w:pPr>
        <w:jc w:val="both"/>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$6,000 for the thirteen weeks ended October 29, 2022 compared to interest income of $2,000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October 30, 2021, an immaterial difference.</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$2.4 million with a tax rate of 24.6% for the thirteen weeks ended October 29, 2022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 million with a tax rate of 25.1% for the thirteen weeks ended October 30, 2021. In the third quarter of fiscal 2022, the effective tax rate differed from the statutory rate of 21% primarily due to state income tax expense partially offset by the tax impact of equity awards vesting. In addition, the Company remains in a full valuation allowance in certain foreign jurisdictions. In the third quarter of fiscal 2021, the effective tax rate differed from the statutory rate of 21% primarily due to state income tax expense partially offset by the tax impact of equity awards vesting. In addition, while the Company was still in a full valuation allowance globally, it recorded tax expense on the pretax income earned based on its project current tax expense.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October 29, 2022 compared to thirty-nine weeks ended October 30, 2021</w:t>
      </w:r>
    </w:p>
    <w:p>
      <w:pPr>
        <w:spacing w:after="0" w:line="2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14.6%, primarily driven by a 14.2% increase in North America and partially offset by</w:t>
      </w:r>
    </w:p>
    <w:p>
      <w:pPr>
        <w:spacing w:after="0" w:line="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 2.2% decrease in Europe. The overall revenue growth was primarily driven by increased retail transactions in brick and mortar stores which benefitted from higher consumer traffic, as well as an increase in the commercial and international franchising segments' revenue.</w:t>
      </w:r>
    </w:p>
    <w:p>
      <w:pPr>
        <w:spacing w:after="0" w:line="1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retail sales for the thirty-nine weeks ended October 29, 2022 were $308.0 million, compared to $272.1 million for the thirty-nine weeks ended October 30, 2021, an increase of $35.9 million, or 13.2%, compared to the prior year period. The components of this increase are as follows (dollars in millions):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Thirty-nine weeks</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October 29, 2022</w:t>
            </w:r>
          </w:p>
        </w:tc>
        <w:tc>
          <w:tcPr>
            <w:tcW w:w="0" w:type="dxa"/>
            <w:vAlign w:val="bottom"/>
          </w:tcPr>
          <w:p>
            <w:pPr>
              <w:spacing w:after="0"/>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retail revenue increase was primarily the result of an increase in demand for our product and in-person interactive experience (partially offset by a decrease in digital sales), select strategic price increases, and lower promotional activity. The negative foreign currency translation effect is due to the British Pound weakening against the US Dollar for the thirty-nine weeks ended October 29, 2022.</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$12.5 million for the thirty-nine weeks ended October 29, 2022 compared to $7.8 million for the thirty-nine weeks ended October 30, 2021. The $4.7 million increase is primarily the result of increased sales volume from our commercial accounts through our third-party retail model.</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$2.4 million for the thirty-nine weeks ended October 29, 2022 compared to $1.7 million for the thirty-nine weeks ended October 30, 2021. The $0.7 million increase is primarily due to an overall increase in sales from franchisees.</w:t>
      </w:r>
    </w:p>
    <w:p>
      <w:pPr>
        <w:spacing w:after="0" w:line="16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$15.3 million to $158.7 million from $143.4 million for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30, 2021. The retail gross margin rate decreased 120 basis points compared to the prior year primarily driven by an increase in inflationary pressures mostly shown in significant freight increases, while being partially offset by increased leverage of fixed occupancy, distribution, and labor costs driven by higher sales.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("SG&amp;A") expenses were $130.3 million, or 40.4% of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thirty-nine weeks ended October 29, 2022, compared to $117.9 million, or 41.9% of consolidated revenue, for the thirty-nine weeks ended October 30, 2021. The increase in overall expense was driven by higher store labor costs to service the increased retail sales demand for the year to date. Additionally, the change reflects an increase in variable costs driven by sales growth initiatives inclusive of higher marketing spend.</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$27,000 for the thirty-nine weeks ended October 29, 2022 compared to interest expense of $11,000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thirty-nine weeks ended October 30, 2021, an immaterial difference.</w:t>
      </w:r>
    </w:p>
    <w:p>
      <w:pPr>
        <w:spacing w:after="0" w:line="15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$8.2 million with a tax rate of 23.1% for the thirty-nine weeks ended October 29, 2022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$7.4 million with a tax rate of 24.3% for the thirty-nine weeks ended October 30, 2021. In the first thirty-nine weeks of fiscal 2022, the effective tax rate differed from the statutory rate of 21% primarily due to state income tax expense partially offset by the tax impact of equity awards vesting. In addition, the Company remains in a full valuation allowance in certain foreign jurisdictions. In the first thirty-nine weeks of fiscal 2021, the effective tax rate differed from the statutory rate of 21% primarily due to state income tax expense partially offset by the tax impact of equity awards vesting. In addition, while the Company was still in a full valuation allowance globally, it recorded tax expense on the pretax income earned based on its project current tax expense.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p>
    <w:p>
      <w:pPr>
        <w:spacing w:after="0" w:line="22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 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69"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Thirty-nine weeks ended</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19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October 29, October 30,</w:t>
            </w:r>
          </w:p>
        </w:tc>
        <w:tc>
          <w:tcPr>
            <w:tcW w:w="19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October 29, October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9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Earnings before interest, taxes,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$ 12,911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$ 10,938</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$ 45,044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$ 39,724</w:t>
            </w:r>
          </w:p>
        </w:tc>
        <w:tc>
          <w:tcPr>
            <w:tcW w:w="0" w:type="dxa"/>
            <w:vAlign w:val="bottom"/>
          </w:tcPr>
          <w:p>
            <w:pPr>
              <w:spacing w:after="0"/>
              <w:rPr>
                <w:sz w:val="1"/>
                <w:szCs w:val="1"/>
                <w:color w:val="auto"/>
              </w:rPr>
            </w:pPr>
          </w:p>
        </w:tc>
      </w:tr>
      <w:tr>
        <w:trPr>
          <w:trHeight w:val="194"/>
        </w:trPr>
        <w:tc>
          <w:tcPr>
            <w:tcW w:w="29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EBITDA for the thirteen weeks ended October 29, 2022 increased $2.0 million to $12.9 million from $10.9 million in the fiscal 2021 third quarter. The increase in EBITDA is primarily driven by an increase in consolidated revenues, allowing for a leverage of fixed occupancy and payroll costs compared to the prior period.</w:t>
      </w:r>
    </w:p>
    <w:p>
      <w:pPr>
        <w:spacing w:after="0" w:line="176"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EBITDA for the thirty-nine weeks ended October 29, 20222 was $45.0 million, compared to $39.7 million for the thirty-nine weeks ended October 30, 2021, an increase of $5.3 million compared to the prior year period. The overall increase in EBITDA was due to increased consolidated revenues, allowing for a leverage of fixed occupancy and payroll costs compared to the prior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5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October 29, 2022, we had a consolidated cash balance of $12.0 million, 33%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5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17,235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(6,752)</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(26,135)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13,661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decreased $6.0 million for the thirty-nine weeks ended October 29, 2022,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thirty-nine weeks ended October 30, 2021. This decrease in cash from operating activities was primarily driven by an increase in cash spent on inventory purchases, as we proactively and strategically accelerated the timing of our order placement to mitigate the continuing inflationary pressures that were experienced during the thirty-nine weeks ended October 29, 2022, which was offset by increased sales volume, resulting in higher net income.</w:t>
      </w:r>
    </w:p>
    <w:p>
      <w:pPr>
        <w:spacing w:after="0" w:line="180"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$2.1 million for the thirty-nine weeks ended October 29, 2022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thirty-nine weeks ended October 30, 2021. This increase in cash used in investing activities was primarily driven by an increase in spending on capital expenditures related to information technology projects and new store openings.</w:t>
      </w:r>
    </w:p>
    <w:p>
      <w:pPr>
        <w:spacing w:after="0" w:line="17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increased $27.1 million for the thirty-nine weeks ended October 29, 2022,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thirty-nine weeks ended October 30, 2021. This increase in cash used in financing activities was driven primarily by repurchases of our common stock for $24.2 million for the thirty-nine weeks ended October 29, 2022.</w:t>
      </w:r>
    </w:p>
    <w:p>
      <w:pPr>
        <w:spacing w:after="0" w:line="173"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of up to $25.0 million, subject to a borrowing base formula. As of October 29, 2022, borrowings under the agreement bore interest at</w:t>
      </w:r>
    </w:p>
    <w:p>
      <w:pPr>
        <w:ind w:firstLine="8"/>
        <w:spacing w:after="0" w:line="251"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determined under the agreement, or (b) the borrower's option, at a rate based on LIBOR, plus in either case a margin based on average undrawn availability as determined in accordance with the agreement. As of October 29, 2022, our borrowing base was $25.0 million. As a result of a $500,000 letter of credit against the line of credit at the end of the fiscal 2022 third quarter, approximately $24.5 million was available for borrowing. We had no outstanding borrowings as of October 29, 2022. On November 21, 2022, we entered into a Second Amendment to the Revolving Credit and Security Agreement with PNC Bank. In light of the upcoming cessation of LIBOR, the Second Amendment (i) changed the interest calculation from a LIBOR based reference rate to a SOFR based reference rate, (ii) updated the mechanics to use a future reference rate in the event that SOFR is no longer available, (iii) updated various provisions regarding compliance with sanctions and anti-money laundering laws, and (iv) implemented certain other technical amendments. As a result, any borrowings under the Credit Agreement will bear interest by reference to, at the Borrower’s option, either (a) a base rate determined under the Credit Agreement, or (b) at a rate based on SOFR, plus in either case a margin based on average undrawn availability as determined in accordance with the Credit Agreement, as such rates and floor were reduced by the First Amendment.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Most of our corporately-managed retail stores are located within shopping malls and all are operated under leases classified as operating leases. Extensions or modifications of existing leases in North America have shifted to shorter term leases, many of which include variable rent structures,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new leases contain incentives to help defray the cost of construction of a new store. Typically, a portion of the incentive must be repaid to the landlord if we choose to terminate the lease before the end of its initial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8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ten years and generally contain a provision whereby every fifth year the rental rate can be adjusted upward to reflect the current market rates if they have increased. The leases typically provide the lessee with the first right for renewal at the end of the lease term. Real estate taxes also change according to government time schedules to reflect current market rental rates for the locations we lease. Rents are invoiced monthly or quarterly and paid in advance.</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thirty-nine weeks ended October 29, 2022 totaled $6.8 million for information technology projects and new store openings, and we expect to spend approximately $12 to $14 million on capital expenditures in fiscal 2022.</w:t>
      </w:r>
    </w:p>
    <w:p>
      <w:pPr>
        <w:spacing w:after="0" w:line="162" w:lineRule="exact"/>
        <w:rPr>
          <w:sz w:val="20"/>
          <w:szCs w:val="20"/>
          <w:color w:val="auto"/>
        </w:rPr>
      </w:pPr>
    </w:p>
    <w:p>
      <w:pPr>
        <w:ind w:left="160" w:right="600" w:firstLine="486"/>
        <w:spacing w:after="0" w:line="266" w:lineRule="auto"/>
        <w:rPr>
          <w:sz w:val="20"/>
          <w:szCs w:val="20"/>
          <w:color w:val="auto"/>
        </w:rPr>
      </w:pPr>
      <w:r>
        <w:rPr>
          <w:rFonts w:ascii="Times New Roman" w:cs="Times New Roman" w:eastAsia="Times New Roman" w:hAnsi="Times New Roman"/>
          <w:sz w:val="18"/>
          <w:szCs w:val="18"/>
          <w:color w:val="auto"/>
        </w:rPr>
        <w:t>We note that total inventory at quarter end was $88.3 million, an increase of $26.4 million from the end of the fiscal 2021 third quarter. We are comfortable with the composition and level of its inventory which supports increased consumer demand and critical seasonal products. We continue to expect to end the year with total inventory below the 2021 fiscal year-end level.</w:t>
      </w:r>
    </w:p>
    <w:p>
      <w:pPr>
        <w:spacing w:after="0" w:line="176" w:lineRule="exact"/>
        <w:rPr>
          <w:sz w:val="20"/>
          <w:szCs w:val="20"/>
          <w:color w:val="auto"/>
        </w:rPr>
      </w:pPr>
    </w:p>
    <w:p>
      <w:pPr>
        <w:ind w:left="160" w:firstLine="486"/>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October 29, 2022, we had purchase obligations totaling approximately $92.9 million, of which $27.9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utilized $4.8 million in cash to repurchase 336,935 shares in the thirteen weeks ended October 29, 2022 and utilized $24.2 million in cash to repurchase 1,540,220 shares in the thirty-nine weeks ended October 29, 2022. On August 9, 2022, we completed the $25.0 million share repurchase program that was approved by the Board of Directors on November 30, 2021.</w:t>
      </w:r>
    </w:p>
    <w:p>
      <w:pPr>
        <w:spacing w:after="0" w:line="17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On August 31, 2022, we announced that our Board of Directors authorized a share repurchase program of up to $50.0 million. The primary source of funding for the share repurchase program is expected to be cash on hand. The timing and amount of share repurchases, if any, will depend on price, market conditions, applicable regulatory requirements, and other factors. The program authorizes us to repurchase shares through August 31, 2025,</w:t>
      </w:r>
    </w:p>
    <w:p>
      <w:pPr>
        <w:spacing w:after="0" w:line="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does not require us to repurchase any specific number of shares, and may be modified, suspended or terminated at any time without prior notice. Shares repurchased under the program will be subsequently retired. We believe that the multi-year, multi-million dollar share repurchase program is reflective of the strong confidence that the Board of Directors has in the strategy and future of the Company. As of October 29, 2022, the Company has utilized $3.5 million in cash to repurchase 256,377 shares under this new share repurchase program. Completion of the stock repurchase program that was adopted in November 2021 along with the commencement of the stock repurchase program that was adopted in August 2022 resulted in the Company repurchasing nearly 11% of the shares outstanding at the end of the fiscal 2021 third quarter.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impact of inflation on the Company's business operations was seen throughout fiscal 2021 and began to have an adverse impact on our business in the second quarter of fiscal 2022, mainly in freight and other supply chain related costs. However, we continue to take mitigating actions, such as select strategic price increases on highly sought-after products, accelerated purchases of inventory, and leveraging occupancy and distribution costs. We expect the inflationary pressures experienced in the third quarter of fiscal 2022 to continue for the rest of fiscal 2022. We continue to monitor the impact of inflation on our business operations on an ongoing basis and may need to adjust our prices further to mitigate the impacts of changes to the rate of inflation during 2022 or in future years. Future volatility of general price inflation and the impact of inflation on costs and availability of materials, costs for shipping and warehousing and other operational overhead could adversely affect our financial results. Inflationary pressures may be exacerbated by higher transportation costs due to war and other geopolitical conflicts, such as the current China-Taiwan conflict. We cannot provide an estimate or range of impact that such inflations may have our future results of operations. However, if we are unable to recover the impact of these costs through price increases to our guests, or if consumer spending decreases as a result of inflation, our business, results of operations, financial condition and cash flows may be adversely affected. In addition, ongoing inflation in product costs may result in lower gross margin rates due to the need to maintain higher inventory reserves.</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January 29, 2022 as filed with the SEC on April 14, 2022, which includes audited consolidated financial statements for our 2021 and 2020 fiscal years. There have been no material changes to the critical accounting estimates disclosed in the 2021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January 29, 2022 as filed with the SEC on April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January 29, 2022 as filed with the SEC on April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October 29, 2022,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January 29, 2022 as filed with the SEC on April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July 31, 2022 - August 27, 2022</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15.96</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80,558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August 28, 2022 - October 1,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256,377</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46,498,084</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 2022 - October 29,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46,498,084</w:t>
            </w:r>
          </w:p>
        </w:tc>
      </w:tr>
      <w:tr>
        <w:trPr>
          <w:trHeight w:val="20"/>
        </w:trPr>
        <w:tc>
          <w:tcPr>
            <w:tcW w:w="33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336,935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14.21</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336,935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46,498,084</w:t>
            </w:r>
          </w:p>
        </w:tc>
      </w:tr>
      <w:tr>
        <w:trPr>
          <w:trHeight w:val="20"/>
        </w:trPr>
        <w:tc>
          <w:tcPr>
            <w:tcW w:w="3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080" w:hanging="349"/>
        <w:spacing w:after="0" w:line="261" w:lineRule="auto"/>
        <w:tabs>
          <w:tab w:leader="none" w:pos="1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160"/>
        <w:spacing w:after="0" w:line="282" w:lineRule="auto"/>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Agreement and Plan of Merger dated April 3, 2000 between Build-A-Bear Workshop, L.L.C. and the Registrant (incorporated by reference</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from Exhibit 2.1 to our Registration Statement on Form S-1, filed on August 12, 2004, Registration No. 333-118142)</w:t>
        </w:r>
      </w:hyperlink>
    </w:p>
    <w:p>
      <w:pPr>
        <w:spacing w:after="0" w:line="162"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EE"/>
        </w:rPr>
      </w:pPr>
      <w:hyperlink r:id="rId45">
        <w:r>
          <w:rPr>
            <w:rFonts w:ascii="Times New Roman" w:cs="Times New Roman" w:eastAsia="Times New Roman" w:hAnsi="Times New Roman"/>
            <w:sz w:val="18"/>
            <w:szCs w:val="18"/>
            <w:u w:val="single" w:color="auto"/>
            <w:color w:val="0000EE"/>
          </w:rPr>
          <w:t>Third Amended and Restated Certificate of Incorporation (incorporated by reference from Exhibit 3.1 of our Current Report on Form 8-K,</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filed on November 11, 2004)</w:t>
        </w:r>
      </w:hyperlink>
    </w:p>
    <w:p>
      <w:pPr>
        <w:spacing w:after="0" w:line="162"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Amended and Restated Bylaws, as amended through February 23, 2016 (incorporated by reference from Exhibit 3.1 of our Current Report on</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Form 8-K, filed on February 24, 2016)</w:t>
        </w:r>
      </w:hyperlink>
    </w:p>
    <w:p>
      <w:pPr>
        <w:spacing w:after="0" w:line="162" w:lineRule="exact"/>
        <w:rPr>
          <w:sz w:val="20"/>
          <w:szCs w:val="20"/>
          <w:color w:val="auto"/>
        </w:rPr>
      </w:pPr>
    </w:p>
    <w:p>
      <w:pPr>
        <w:ind w:right="300"/>
        <w:spacing w:after="0" w:line="282" w:lineRule="auto"/>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Specimen Stock Certificate (incorporated by reference from Exhibit 4.1 to Amendment No. 3 to our Registration Statement on Form S-1,</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filed on October 1, 2004, Registration No. 333-118142)</w:t>
        </w:r>
      </w:hyperlink>
    </w:p>
    <w:p>
      <w:pPr>
        <w:spacing w:after="0" w:line="148" w:lineRule="exact"/>
        <w:rPr>
          <w:sz w:val="20"/>
          <w:szCs w:val="20"/>
          <w:color w:val="auto"/>
        </w:rPr>
      </w:pPr>
    </w:p>
    <w:p>
      <w:pPr>
        <w:sectPr>
          <w:pgSz w:w="11900" w:h="16838" w:orient="portrait"/>
          <w:cols w:equalWidth="0" w:num="2">
            <w:col w:w="300" w:space="720"/>
            <w:col w:w="1018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Second Amendment to Revolving Credit and Security Agreement dated as of November 21, 2022 among the Company and Build-A-Bear</w:t>
              </w:r>
            </w:hyperlink>
          </w:p>
        </w:tc>
        <w:tc>
          <w:tcPr>
            <w:tcW w:w="2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Retail Management, Inc., as borrowers; Build-A-Bear Workshop Franchise Holdings, Inc., Build-A-Bear Entertainment, LLC, Build-A-Bear</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1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Card Services LLC and Build-A-Bear Workshop Canada, Ltd., as guarantors; the lenders party thereto; and PNC Bank, National Association,</w:t>
              </w:r>
            </w:hyperlink>
          </w:p>
        </w:tc>
      </w:tr>
      <w:tr>
        <w:trPr>
          <w:trHeight w:val="196"/>
        </w:trPr>
        <w:tc>
          <w:tcPr>
            <w:tcW w:w="102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as agent for lenders (incorporated by reference from Exhibit 10.1 of our Current Report on Form 8-K, filed on November 23, 2022)</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38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3"/>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00" w:type="dxa"/>
            <w:vAlign w:val="bottom"/>
            <w:gridSpan w:val="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1020" w:type="dxa"/>
            <w:vAlign w:val="bottom"/>
          </w:tcPr>
          <w:p>
            <w:pPr>
              <w:spacing w:after="0" w:line="20" w:lineRule="exact"/>
              <w:rPr>
                <w:sz w:val="1"/>
                <w:szCs w:val="1"/>
                <w:color w:val="auto"/>
              </w:rPr>
            </w:pPr>
          </w:p>
        </w:tc>
        <w:tc>
          <w:tcPr>
            <w:tcW w:w="9260" w:type="dxa"/>
            <w:vAlign w:val="bottom"/>
            <w:gridSpan w:val="3"/>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02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198" w:lineRule="exact"/>
        <w:rPr>
          <w:sz w:val="20"/>
          <w:szCs w:val="20"/>
          <w:color w:val="auto"/>
        </w:rPr>
      </w:pPr>
    </w:p>
    <w:p>
      <w:pPr>
        <w:ind w:left="140" w:right="3640" w:hanging="132"/>
        <w:spacing w:after="0" w:line="500" w:lineRule="auto"/>
        <w:tabs>
          <w:tab w:leader="none" w:pos="10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2022</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121"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2022</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2022</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October 29, 2022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2022</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October 29, 2022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lvl w:ilvl="1">
      <w:lvlJc w:val="left"/>
      <w:lvlText w:val="(%2)"/>
      <w:numFmt w:val="decimal"/>
      <w:start w:val="1"/>
    </w:lvl>
  </w:abstractNum>
  <w:abstractNum w:abstractNumId="6">
    <w:nsid w:val="41A7C4C9"/>
    <w:multiLevelType w:val="hybridMultilevel"/>
    <w:lvl w:ilvl="0">
      <w:lvlJc w:val="left"/>
      <w:lvlText w:val="%1."/>
      <w:numFmt w:val="decimal"/>
      <w:start w:val="6"/>
    </w:lvl>
    <w:lvl w:ilvl="1">
      <w:lvlJc w:val="left"/>
      <w:lvlText w:val="%2"/>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2"/>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44" Type="http://schemas.openxmlformats.org/officeDocument/2006/relationships/hyperlink" Target="http://www.sec.gov/Archives/edgar/data/1113809/000095013704006634/c86750exv2w1.txt" TargetMode="External"/><Relationship Id="rId45" Type="http://schemas.openxmlformats.org/officeDocument/2006/relationships/hyperlink" Target="http://www.sec.gov/Archives/edgar/data/1113809/000095013804000748/exh3-1.htm" TargetMode="External"/><Relationship Id="rId46" Type="http://schemas.openxmlformats.org/officeDocument/2006/relationships/hyperlink" Target="http://www.sec.gov/Archives/edgar/data/1113809/000115752316004713/a51286063ex3_1.htm" TargetMode="External"/><Relationship Id="rId47" Type="http://schemas.openxmlformats.org/officeDocument/2006/relationships/hyperlink" Target="http://www.sec.gov/Archives/edgar/data/1113809/000095013704008227/c86750a3exv4w1.txt" TargetMode="External"/><Relationship Id="rId48" Type="http://schemas.openxmlformats.org/officeDocument/2006/relationships/hyperlink" Target="http://www.sec.gov/Archives/edgar/data/1113809/000143774922027942/ex_44967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2022-12-08T08:19:23Z</dcterms:created>
  <dcterms:modified xsi:type="dcterms:W3CDTF">2022-12-08T08:19:23Z</dcterms:modified>
</cp:coreProperties>
</file>