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210820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100965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4400" w:hanging="492"/>
        <w:spacing w:after="0" w:line="261"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29, 2012</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-20320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257810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BUILD-A-BEAR WORKSHOP,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73025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9"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476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7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4760" w:type="dxa"/>
            <w:vAlign w:val="bottom"/>
          </w:tcPr>
          <w:p>
            <w:pPr>
              <w:jc w:val="center"/>
              <w:ind w:right="167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14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4760" w:type="dxa"/>
            <w:vAlign w:val="bottom"/>
          </w:tcPr>
          <w:p>
            <w:pPr>
              <w:jc w:val="center"/>
              <w:ind w:right="167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140" w:type="dxa"/>
            <w:vAlign w:val="bottom"/>
          </w:tcPr>
          <w:p>
            <w:pPr>
              <w:jc w:val="center"/>
              <w:ind w:left="1670"/>
              <w:spacing w:after="0"/>
              <w:rPr>
                <w:sz w:val="20"/>
                <w:szCs w:val="20"/>
                <w:color w:val="auto"/>
              </w:rPr>
            </w:pPr>
            <w:r>
              <w:rPr>
                <w:rFonts w:ascii="Arial" w:cs="Arial" w:eastAsia="Arial" w:hAnsi="Arial"/>
                <w:sz w:val="18"/>
                <w:szCs w:val="18"/>
                <w:b w:val="1"/>
                <w:bCs w:val="1"/>
                <w:i w:val="1"/>
                <w:iCs w:val="1"/>
                <w:color w:val="auto"/>
                <w:w w:val="90"/>
              </w:rPr>
              <w:t>Identification No.)</w:t>
            </w:r>
          </w:p>
        </w:tc>
      </w:tr>
      <w:tr>
        <w:trPr>
          <w:trHeight w:val="265"/>
        </w:trPr>
        <w:tc>
          <w:tcPr>
            <w:tcW w:w="476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3140" w:type="dxa"/>
            <w:vAlign w:val="bottom"/>
          </w:tcPr>
          <w:p>
            <w:pPr>
              <w:spacing w:after="0"/>
              <w:rPr>
                <w:sz w:val="23"/>
                <w:szCs w:val="23"/>
                <w:color w:val="auto"/>
              </w:rPr>
            </w:pPr>
          </w:p>
        </w:tc>
      </w:tr>
      <w:tr>
        <w:trPr>
          <w:trHeight w:val="220"/>
        </w:trPr>
        <w:tc>
          <w:tcPr>
            <w:tcW w:w="476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St. Louis, Missouri</w:t>
            </w:r>
          </w:p>
        </w:tc>
        <w:tc>
          <w:tcPr>
            <w:tcW w:w="314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0"/>
        </w:trPr>
        <w:tc>
          <w:tcPr>
            <w:tcW w:w="4760" w:type="dxa"/>
            <w:vAlign w:val="bottom"/>
          </w:tcPr>
          <w:p>
            <w:pPr>
              <w:jc w:val="center"/>
              <w:ind w:right="1670"/>
              <w:spacing w:after="0"/>
              <w:rPr>
                <w:sz w:val="20"/>
                <w:szCs w:val="20"/>
                <w:color w:val="auto"/>
              </w:rPr>
            </w:pPr>
            <w:r>
              <w:rPr>
                <w:rFonts w:ascii="Arial" w:cs="Arial" w:eastAsia="Arial" w:hAnsi="Arial"/>
                <w:sz w:val="18"/>
                <w:szCs w:val="18"/>
                <w:b w:val="1"/>
                <w:bCs w:val="1"/>
                <w:i w:val="1"/>
                <w:iCs w:val="1"/>
                <w:color w:val="auto"/>
                <w:w w:val="87"/>
              </w:rPr>
              <w:t>(Address of Principal Executive Offices)</w:t>
            </w:r>
          </w:p>
        </w:tc>
        <w:tc>
          <w:tcPr>
            <w:tcW w:w="314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89"/>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423-8000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74295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3"/>
          </w:tcPr>
          <w:p>
            <w:pPr>
              <w:jc w:val="center"/>
              <w:ind w:right="670"/>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34"/>
        </w:trPr>
        <w:tc>
          <w:tcPr>
            <w:tcW w:w="5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40" w:type="dxa"/>
            <w:vAlign w:val="bottom"/>
            <w:gridSpan w:val="3"/>
          </w:tcPr>
          <w:p>
            <w:pPr>
              <w:jc w:val="center"/>
              <w:ind w:right="670"/>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468"/>
        </w:trPr>
        <w:tc>
          <w:tcPr>
            <w:tcW w:w="8620" w:type="dxa"/>
            <w:vAlign w:val="bottom"/>
            <w:gridSpan w:val="5"/>
          </w:tcPr>
          <w:p>
            <w:pPr>
              <w:ind w:left="3300"/>
              <w:spacing w:after="0"/>
              <w:rPr>
                <w:sz w:val="20"/>
                <w:szCs w:val="20"/>
                <w:color w:val="auto"/>
              </w:rPr>
            </w:pPr>
            <w:r>
              <w:rPr>
                <w:rFonts w:ascii="Arial" w:cs="Arial" w:eastAsia="Arial" w:hAnsi="Arial"/>
                <w:sz w:val="18"/>
                <w:szCs w:val="18"/>
                <w:b w:val="1"/>
                <w:bCs w:val="1"/>
                <w:color w:val="auto"/>
                <w:w w:val="97"/>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1720" w:type="dxa"/>
            <w:vAlign w:val="bottom"/>
            <w:tcBorders>
              <w:bottom w:val="single" w:sz="8" w:color="808080"/>
            </w:tcBorders>
            <w:gridSpan w:val="3"/>
          </w:tcPr>
          <w:p>
            <w:pPr>
              <w:spacing w:after="0"/>
              <w:rPr>
                <w:sz w:val="9"/>
                <w:szCs w:val="9"/>
                <w:color w:val="auto"/>
              </w:rPr>
            </w:pPr>
          </w:p>
        </w:tc>
        <w:tc>
          <w:tcPr>
            <w:tcW w:w="2040" w:type="dxa"/>
            <w:vAlign w:val="bottom"/>
          </w:tcPr>
          <w:p>
            <w:pPr>
              <w:spacing w:after="0"/>
              <w:rPr>
                <w:sz w:val="9"/>
                <w:szCs w:val="9"/>
                <w:color w:val="auto"/>
              </w:rPr>
            </w:pPr>
          </w:p>
        </w:tc>
        <w:tc>
          <w:tcPr>
            <w:tcW w:w="72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20" w:type="dxa"/>
            <w:vAlign w:val="bottom"/>
            <w:vMerge w:val="continue"/>
          </w:tcPr>
          <w:p>
            <w:pPr>
              <w:spacing w:after="0"/>
              <w:rPr>
                <w:sz w:val="23"/>
                <w:szCs w:val="23"/>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x No</w:t>
            </w:r>
          </w:p>
        </w:tc>
        <w:tc>
          <w:tcPr>
            <w:tcW w:w="0" w:type="dxa"/>
            <w:vAlign w:val="bottom"/>
          </w:tcPr>
          <w:p>
            <w:pPr>
              <w:spacing w:after="0"/>
              <w:rPr>
                <w:sz w:val="1"/>
                <w:szCs w:val="1"/>
                <w:color w:val="auto"/>
              </w:rPr>
            </w:pPr>
          </w:p>
        </w:tc>
      </w:tr>
      <w:tr>
        <w:trPr>
          <w:trHeight w:val="265"/>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Yes</w:t>
            </w:r>
          </w:p>
        </w:tc>
        <w:tc>
          <w:tcPr>
            <w:tcW w:w="2080" w:type="dxa"/>
            <w:vAlign w:val="bottom"/>
          </w:tcPr>
          <w:p>
            <w:pPr>
              <w:ind w:left="200"/>
              <w:spacing w:after="0"/>
              <w:rPr>
                <w:sz w:val="20"/>
                <w:szCs w:val="20"/>
                <w:color w:val="auto"/>
              </w:rPr>
            </w:pPr>
            <w:r>
              <w:rPr>
                <w:rFonts w:ascii="Arial" w:cs="Arial" w:eastAsia="Arial" w:hAnsi="Arial"/>
                <w:sz w:val="18"/>
                <w:szCs w:val="18"/>
                <w:color w:val="auto"/>
              </w:rPr>
              <w:t>x No</w:t>
            </w:r>
          </w:p>
        </w:tc>
        <w:tc>
          <w:tcPr>
            <w:tcW w:w="0" w:type="dxa"/>
            <w:vAlign w:val="bottom"/>
          </w:tcPr>
          <w:p>
            <w:pPr>
              <w:spacing w:after="0"/>
              <w:rPr>
                <w:sz w:val="1"/>
                <w:szCs w:val="1"/>
                <w:color w:val="auto"/>
              </w:rPr>
            </w:pPr>
          </w:p>
        </w:tc>
      </w:tr>
    </w:tbl>
    <w:p>
      <w:pPr>
        <w:ind w:right="48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x</w:t>
      </w:r>
    </w:p>
    <w:p>
      <w:pPr>
        <w:spacing w:after="0" w:line="2" w:lineRule="exact"/>
        <w:rPr>
          <w:sz w:val="24"/>
          <w:szCs w:val="24"/>
          <w:color w:val="auto"/>
        </w:rPr>
      </w:pPr>
    </w:p>
    <w:p>
      <w:pPr>
        <w:ind w:right="140"/>
        <w:spacing w:after="0" w:line="29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3" w:lineRule="exact"/>
        <w:rPr>
          <w:sz w:val="24"/>
          <w:szCs w:val="24"/>
          <w:color w:val="auto"/>
        </w:rPr>
      </w:pPr>
    </w:p>
    <w:p>
      <w:pPr>
        <w:ind w:left="1800"/>
        <w:spacing w:after="0" w:line="207" w:lineRule="exact"/>
        <w:tabs>
          <w:tab w:leader="none" w:pos="3820" w:val="left"/>
          <w:tab w:leader="none" w:pos="5380" w:val="left"/>
          <w:tab w:leader="none" w:pos="73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x</w:t>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76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  x  No</w:t>
      </w:r>
    </w:p>
    <w:p>
      <w:pPr>
        <w:spacing w:after="0" w:line="58" w:lineRule="exact"/>
        <w:rPr>
          <w:sz w:val="24"/>
          <w:szCs w:val="24"/>
          <w:color w:val="auto"/>
        </w:rPr>
      </w:pPr>
    </w:p>
    <w:p>
      <w:pPr>
        <w:ind w:right="120"/>
        <w:spacing w:after="0" w:line="249" w:lineRule="auto"/>
        <w:rPr>
          <w:sz w:val="20"/>
          <w:szCs w:val="20"/>
          <w:color w:val="auto"/>
        </w:rPr>
      </w:pPr>
      <w:r>
        <w:rPr>
          <w:rFonts w:ascii="Arial" w:cs="Arial" w:eastAsia="Arial" w:hAnsi="Arial"/>
          <w:sz w:val="18"/>
          <w:szCs w:val="18"/>
          <w:color w:val="auto"/>
        </w:rPr>
        <w:t>There is no non-voting common equity. The aggregate market value of the common stock held by nonaffiliates (based upon the closing price of $4.78 for the shares on the New York Stock Exchange on June 29, 2012) was $58,084,108 as of June 30, 2012.</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As of March 8, 2013, there were 17,150,840 issued and outstanding shares of the registrant’s common stock.</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its May 9, 2013 Annual Meeting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95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3460"/>
              <w:spacing w:after="0"/>
              <w:rPr>
                <w:sz w:val="20"/>
                <w:szCs w:val="20"/>
                <w:color w:val="auto"/>
              </w:rPr>
            </w:pPr>
            <w:r>
              <w:rPr>
                <w:rFonts w:ascii="Arial" w:cs="Arial" w:eastAsia="Arial" w:hAnsi="Arial"/>
                <w:sz w:val="18"/>
                <w:szCs w:val="18"/>
                <w:b w:val="1"/>
                <w:bCs w:val="1"/>
                <w:color w:val="auto"/>
              </w:rPr>
              <w:t>BUILD-A-BEAR WORKSHOP, INC.</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180" w:type="dxa"/>
            <w:vAlign w:val="bottom"/>
          </w:tcPr>
          <w:p>
            <w:pPr>
              <w:ind w:left="3960"/>
              <w:spacing w:after="0"/>
              <w:rPr>
                <w:sz w:val="20"/>
                <w:szCs w:val="20"/>
                <w:color w:val="auto"/>
              </w:rPr>
            </w:pPr>
            <w:r>
              <w:rPr>
                <w:rFonts w:ascii="Arial" w:cs="Arial" w:eastAsia="Arial" w:hAnsi="Arial"/>
                <w:sz w:val="18"/>
                <w:szCs w:val="18"/>
                <w:b w:val="1"/>
                <w:bCs w:val="1"/>
                <w:color w:val="auto"/>
              </w:rPr>
              <w:t>INDEX TO FORM 10-K</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460" w:type="dxa"/>
            <w:vAlign w:val="bottom"/>
            <w:gridSpan w:val="3"/>
          </w:tcPr>
          <w:p>
            <w:pPr>
              <w:ind w:left="10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Forward-Looking Statements</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Part I</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1.</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Business</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tcPr>
          <w:p>
            <w:pPr>
              <w:ind w:left="40"/>
              <w:spacing w:after="0"/>
              <w:rPr>
                <w:sz w:val="20"/>
                <w:szCs w:val="20"/>
                <w:color w:val="auto"/>
              </w:rPr>
            </w:pPr>
            <w:r>
              <w:rPr>
                <w:rFonts w:ascii="Arial" w:cs="Arial" w:eastAsia="Arial" w:hAnsi="Arial"/>
                <w:sz w:val="18"/>
                <w:szCs w:val="18"/>
                <w:color w:val="auto"/>
              </w:rPr>
              <w:t>Risk Factors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1B.</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Unresolved Staff Comments</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40"/>
              <w:spacing w:after="0"/>
              <w:rPr>
                <w:sz w:val="20"/>
                <w:szCs w:val="20"/>
                <w:color w:val="auto"/>
              </w:rPr>
            </w:pPr>
            <w:r>
              <w:rPr>
                <w:rFonts w:ascii="Arial" w:cs="Arial" w:eastAsia="Arial" w:hAnsi="Arial"/>
                <w:sz w:val="18"/>
                <w:szCs w:val="18"/>
                <w:color w:val="auto"/>
              </w:rPr>
              <w:t>Properties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3.</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Legal Proceedings</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40"/>
              <w:spacing w:after="0"/>
              <w:rPr>
                <w:sz w:val="20"/>
                <w:szCs w:val="20"/>
                <w:color w:val="auto"/>
              </w:rPr>
            </w:pPr>
            <w:r>
              <w:rPr>
                <w:rFonts w:ascii="Arial" w:cs="Arial" w:eastAsia="Arial" w:hAnsi="Arial"/>
                <w:sz w:val="18"/>
                <w:szCs w:val="18"/>
                <w:color w:val="auto"/>
              </w:rPr>
              <w:t>Mine Safety Disclosure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9180" w:type="dxa"/>
            <w:vAlign w:val="bottom"/>
            <w:shd w:val="clear" w:color="auto" w:fill="C0FFFF"/>
          </w:tcPr>
          <w:p>
            <w:pPr>
              <w:jc w:val="center"/>
              <w:spacing w:after="0"/>
              <w:rPr>
                <w:sz w:val="20"/>
                <w:szCs w:val="20"/>
                <w:color w:val="auto"/>
              </w:rPr>
            </w:pPr>
            <w:r>
              <w:rPr>
                <w:rFonts w:ascii="Arial" w:cs="Arial" w:eastAsia="Arial" w:hAnsi="Arial"/>
                <w:sz w:val="18"/>
                <w:szCs w:val="18"/>
                <w:b w:val="1"/>
                <w:bCs w:val="1"/>
                <w:color w:val="auto"/>
              </w:rPr>
              <w:t>Part II</w:t>
            </w:r>
          </w:p>
        </w:tc>
        <w:tc>
          <w:tcPr>
            <w:tcW w:w="108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tcPr>
          <w:p>
            <w:pPr>
              <w:ind w:left="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6.</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Selected Financial Data</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918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7A.</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9180" w:type="dxa"/>
            <w:vAlign w:val="bottom"/>
          </w:tcPr>
          <w:p>
            <w:pPr>
              <w:ind w:left="40"/>
              <w:spacing w:after="0"/>
              <w:rPr>
                <w:sz w:val="20"/>
                <w:szCs w:val="20"/>
                <w:color w:val="auto"/>
              </w:rPr>
            </w:pPr>
            <w:r>
              <w:rPr>
                <w:rFonts w:ascii="Arial" w:cs="Arial" w:eastAsia="Arial" w:hAnsi="Arial"/>
                <w:sz w:val="18"/>
                <w:szCs w:val="18"/>
                <w:color w:val="auto"/>
              </w:rPr>
              <w:t>Financial Statements and Supplementary Data</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9.</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08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918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9B.</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Other Information</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10.</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Directors, Executive Officers and Corporate Governance</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9180" w:type="dxa"/>
            <w:vAlign w:val="bottom"/>
          </w:tcPr>
          <w:p>
            <w:pPr>
              <w:ind w:left="40"/>
              <w:spacing w:after="0"/>
              <w:rPr>
                <w:sz w:val="20"/>
                <w:szCs w:val="20"/>
                <w:color w:val="auto"/>
              </w:rPr>
            </w:pPr>
            <w:r>
              <w:rPr>
                <w:rFonts w:ascii="Arial" w:cs="Arial" w:eastAsia="Arial" w:hAnsi="Arial"/>
                <w:sz w:val="18"/>
                <w:szCs w:val="18"/>
                <w:color w:val="auto"/>
              </w:rPr>
              <w:t>Executive Compensation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12.</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9180" w:type="dxa"/>
            <w:vAlign w:val="bottom"/>
          </w:tcPr>
          <w:p>
            <w:pPr>
              <w:ind w:left="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14.</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Principal Accountant Fees and Services</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Part IV</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0FFFF"/>
          </w:tcPr>
          <w:p>
            <w:pPr>
              <w:spacing w:after="0"/>
              <w:rPr>
                <w:sz w:val="20"/>
                <w:szCs w:val="20"/>
                <w:color w:val="auto"/>
              </w:rPr>
            </w:pPr>
            <w:r>
              <w:rPr>
                <w:rFonts w:ascii="Arial" w:cs="Arial" w:eastAsia="Arial" w:hAnsi="Arial"/>
                <w:sz w:val="18"/>
                <w:szCs w:val="18"/>
                <w:color w:val="auto"/>
              </w:rPr>
              <w:t>Item 15.</w:t>
            </w:r>
          </w:p>
        </w:tc>
        <w:tc>
          <w:tcPr>
            <w:tcW w:w="9180" w:type="dxa"/>
            <w:vAlign w:val="bottom"/>
            <w:shd w:val="clear" w:color="auto" w:fill="C0FFFF"/>
          </w:tcPr>
          <w:p>
            <w:pPr>
              <w:ind w:left="40"/>
              <w:spacing w:after="0"/>
              <w:rPr>
                <w:sz w:val="20"/>
                <w:szCs w:val="20"/>
                <w:color w:val="auto"/>
              </w:rPr>
            </w:pPr>
            <w:r>
              <w:rPr>
                <w:rFonts w:ascii="Arial" w:cs="Arial" w:eastAsia="Arial" w:hAnsi="Arial"/>
                <w:sz w:val="18"/>
                <w:szCs w:val="18"/>
                <w:color w:val="auto"/>
              </w:rPr>
              <w:t>Exhibits and Financial Statement Schedules</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Exhibit Index</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Signatures</w:t>
            </w:r>
          </w:p>
        </w:tc>
        <w:tc>
          <w:tcPr>
            <w:tcW w:w="91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2"/>
        </w:trPr>
        <w:tc>
          <w:tcPr>
            <w:tcW w:w="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ind w:right="220" w:firstLine="486"/>
        <w:spacing w:after="0" w:line="297" w:lineRule="auto"/>
        <w:rPr>
          <w:sz w:val="20"/>
          <w:szCs w:val="20"/>
          <w:color w:val="auto"/>
        </w:rPr>
      </w:pPr>
      <w:r>
        <w:rPr>
          <w:rFonts w:ascii="Arial" w:cs="Arial" w:eastAsia="Arial" w:hAnsi="Arial"/>
          <w:sz w:val="16"/>
          <w:szCs w:val="16"/>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212"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and growth strategies;</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rate of store closures, relocations and openings;</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closures, relocations and openings, and</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franchisees’ anticipated rate of international store openings.</w:t>
      </w:r>
    </w:p>
    <w:p>
      <w:pPr>
        <w:spacing w:after="0" w:line="27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22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204" w:lineRule="exact"/>
        <w:rPr>
          <w:sz w:val="20"/>
          <w:szCs w:val="20"/>
          <w:color w:val="auto"/>
        </w:rPr>
      </w:pPr>
    </w:p>
    <w:p>
      <w:pPr>
        <w:jc w:val="both"/>
        <w:ind w:right="60" w:firstLine="486"/>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20" w:firstLine="486"/>
        <w:spacing w:after="0" w:line="273" w:lineRule="auto"/>
        <w:rPr>
          <w:sz w:val="20"/>
          <w:szCs w:val="20"/>
          <w:color w:val="auto"/>
        </w:rPr>
      </w:pPr>
      <w:r>
        <w:rPr>
          <w:rFonts w:ascii="Arial" w:cs="Arial" w:eastAsia="Arial" w:hAnsi="Arial"/>
          <w:sz w:val="16"/>
          <w:szCs w:val="16"/>
          <w:color w:val="auto"/>
        </w:rPr>
        <w:t>Build-A-Bear Workshop, Inc., a Delaware corporation, was formed in 1997 and is the leading, and only international company providing a “make your own stuffed animal” interactive retail-entertainment experience. As of December 29, 2012, we operated 351 company-owned retail stores in the United States, Canada, the United Kingdom and Ireland, including 283 traditional and eight non-traditional Build-A-Bear Workshop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stores in the United States and Canada and 60 traditional Build-A-Bear Workshop stores in the United Kingdom and Ireland. In addition, franchisees operated 91 Build-A-Bear Workshop stores in other international locations. Our core concept is based on our guests making, personalizing and customizing their own stuffed animals, and capitalizes on what we believe is the relatively untapped demand for experience-based shopping as well as the widespread appeal of stuffed animals.</w:t>
      </w:r>
    </w:p>
    <w:p>
      <w:pPr>
        <w:spacing w:after="0" w:line="23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offer an extensive and coordinated selection of merchandise, including over 30 different styles of animals to be stuffed, sounds and scents that can be added to the stuffed animals and a wide variety of clothing, shoes and accessories, as well as other brand appropriate toy and novelty items. Our concept appeals to a broad range of age groups and demographics, including children, teens, parents and grandparents. We believe that our stores, which are primarily located in malls, are destination locations and draw guests from a large geographic reach. Our stores average approximately 2,600 square feet in size and have a highly visual and colorful appearance, including custom-designed fixtures featuring teddy bears and other themes relating to the Build-A-Bear Workshop experience. In 2012 we opened the first six stores in our new highly interactive design, which features a bold new look and enhanced experience.</w:t>
      </w:r>
    </w:p>
    <w:p>
      <w:pPr>
        <w:spacing w:after="0" w:line="219" w:lineRule="exact"/>
        <w:rPr>
          <w:sz w:val="20"/>
          <w:szCs w:val="20"/>
          <w:color w:val="auto"/>
        </w:rPr>
      </w:pPr>
    </w:p>
    <w:p>
      <w:pPr>
        <w:ind w:right="40" w:firstLine="486"/>
        <w:spacing w:after="0" w:line="281" w:lineRule="auto"/>
        <w:rPr>
          <w:sz w:val="20"/>
          <w:szCs w:val="20"/>
          <w:color w:val="auto"/>
        </w:rPr>
      </w:pPr>
      <w:r>
        <w:rPr>
          <w:rFonts w:ascii="Arial" w:cs="Arial" w:eastAsia="Arial" w:hAnsi="Arial"/>
          <w:sz w:val="17"/>
          <w:szCs w:val="17"/>
          <w:color w:val="auto"/>
        </w:rPr>
        <w:t>We also market our products and build our brand awareness and equity in our countries of operation through national multi-media marketing programs that target our core demographic guests, principally children and their parents. The programs incorporate consistent messaging across a variety of media, and are designed to increase our brand awareness and store traffic and attract more first-time and repeat guests. In addition to supporting our e-commerce, our Web sites, buildabear.com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bearville.com</w:t>
      </w:r>
      <w:r>
        <w:rPr>
          <w:rFonts w:ascii="Arial" w:cs="Arial" w:eastAsia="Arial" w:hAnsi="Arial"/>
          <w:sz w:val="24"/>
          <w:szCs w:val="24"/>
          <w:color w:val="auto"/>
          <w:vertAlign w:val="superscript"/>
        </w:rPr>
        <w:t>TM</w:t>
      </w:r>
      <w:r>
        <w:rPr>
          <w:rFonts w:ascii="Arial" w:cs="Arial" w:eastAsia="Arial" w:hAnsi="Arial"/>
          <w:sz w:val="17"/>
          <w:szCs w:val="17"/>
          <w:color w:val="auto"/>
        </w:rPr>
        <w:t>, promote brand connection and in-store products and events.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opening our first store in St. Louis, Missouri in October 1997, we have sold over 110 million stuffed animals.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Operations</w:t>
      </w:r>
    </w:p>
    <w:p>
      <w:pPr>
        <w:spacing w:after="0" w:line="283" w:lineRule="exact"/>
        <w:rPr>
          <w:sz w:val="20"/>
          <w:szCs w:val="20"/>
          <w:color w:val="auto"/>
        </w:rPr>
      </w:pPr>
    </w:p>
    <w:p>
      <w:pPr>
        <w:ind w:right="180" w:firstLine="486"/>
        <w:spacing w:after="0" w:line="267" w:lineRule="auto"/>
        <w:rPr>
          <w:sz w:val="20"/>
          <w:szCs w:val="20"/>
          <w:color w:val="auto"/>
        </w:rPr>
      </w:pPr>
      <w:r>
        <w:rPr>
          <w:rFonts w:ascii="Arial" w:cs="Arial" w:eastAsia="Arial" w:hAnsi="Arial"/>
          <w:sz w:val="16"/>
          <w:szCs w:val="16"/>
          <w:color w:val="auto"/>
        </w:rPr>
        <w:t>Guests who visit Build-A-Bear Workshop stores enter a teddy bear themed environment consisting of eight stuffed animal making stations: Choose Me, Hear Me, Stuff Me, Stitch Me, Fluff Me, Dress Me, Name Me, and Take Me Home</w:t>
      </w:r>
      <w:r>
        <w:rPr>
          <w:rFonts w:ascii="Arial" w:cs="Arial" w:eastAsia="Arial" w:hAnsi="Arial"/>
          <w:sz w:val="22"/>
          <w:szCs w:val="22"/>
          <w:color w:val="auto"/>
          <w:vertAlign w:val="superscript"/>
        </w:rPr>
        <w:t>®</w:t>
      </w:r>
      <w:r>
        <w:rPr>
          <w:rFonts w:ascii="Arial" w:cs="Arial" w:eastAsia="Arial" w:hAnsi="Arial"/>
          <w:sz w:val="16"/>
          <w:szCs w:val="16"/>
          <w:color w:val="auto"/>
        </w:rPr>
        <w:t>. In our new store design, we have added an additional Love Me station to our signature process. To attract our target guests, we have designed stores that are open and inviting, with an entryway that spans the majority of our storefront, and highly visual with colorful teddy bear themes and displays that create a “theme park” destination in the mall. The duration of a guest’s experience can vary greatly depending on his or her preferences. While most guests choose to participate in the full animal-making process and all eight stations, a process which we believe averages 45 minutes, guests can also visit a Build-A-Bear Workshop store and purchase items such as clothing, accessories, our Bear Buck$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Cub Cash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gift cards, Bearville Outfitters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game cards or pre-made animals in only a few minutes. We also offer a wide variety of animals and accessories on our e-commerce Web site, buildabear.com</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131" w:lineRule="exact"/>
        <w:rPr>
          <w:sz w:val="20"/>
          <w:szCs w:val="20"/>
          <w:color w:val="auto"/>
        </w:rPr>
      </w:pPr>
    </w:p>
    <w:p>
      <w:pPr>
        <w:ind w:firstLine="486"/>
        <w:spacing w:after="0" w:line="216" w:lineRule="auto"/>
        <w:rPr>
          <w:sz w:val="20"/>
          <w:szCs w:val="20"/>
          <w:color w:val="auto"/>
        </w:rPr>
      </w:pPr>
      <w:r>
        <w:rPr>
          <w:rFonts w:ascii="Arial" w:cs="Arial" w:eastAsia="Arial" w:hAnsi="Arial"/>
          <w:sz w:val="18"/>
          <w:szCs w:val="18"/>
          <w:color w:val="auto"/>
        </w:rPr>
        <w:t>We offer an extensive and coordinated selection of merchandise including over 30 varieties of animals to be stuffed, as well as a wide variety of other clothing and accessory items for the animals. Our clothing is inspired by human fashion and includes authentic details such as functional buttons, working pockets, belt loops and zippers and has child-friendly, easy-to-dress details such as an opening for the stuffed animal’s tail and adjustable closures to help fit any size animal. We enhance the authentic nature of a number of our products with strategic product licensing relationships with brands that are in demand with our guests such as officially sanctioned NFL</w:t>
      </w:r>
      <w:r>
        <w:rPr>
          <w:rFonts w:ascii="Arial" w:cs="Arial" w:eastAsia="Arial" w:hAnsi="Arial"/>
          <w:sz w:val="25"/>
          <w:szCs w:val="25"/>
          <w:color w:val="auto"/>
          <w:vertAlign w:val="superscript"/>
        </w:rPr>
        <w:t>®</w:t>
      </w:r>
      <w:r>
        <w:rPr>
          <w:rFonts w:ascii="Arial" w:cs="Arial" w:eastAsia="Arial" w:hAnsi="Arial"/>
          <w:sz w:val="18"/>
          <w:szCs w:val="18"/>
          <w:color w:val="auto"/>
        </w:rPr>
        <w:t>, NBA</w:t>
      </w:r>
      <w:r>
        <w:rPr>
          <w:rFonts w:ascii="Arial" w:cs="Arial" w:eastAsia="Arial" w:hAnsi="Arial"/>
          <w:sz w:val="25"/>
          <w:szCs w:val="25"/>
          <w:color w:val="auto"/>
          <w:vertAlign w:val="superscript"/>
        </w:rPr>
        <w:t>®</w:t>
      </w:r>
      <w:r>
        <w:rPr>
          <w:rFonts w:ascii="Arial" w:cs="Arial" w:eastAsia="Arial" w:hAnsi="Arial"/>
          <w:sz w:val="18"/>
          <w:szCs w:val="18"/>
          <w:color w:val="auto"/>
        </w:rPr>
        <w:t>, MLB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the NHL™ team apparel, Skechers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shoes and Justice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clothing. We also tap into pop culture that is relevant to our guests by featuring merchandise such as a Victoria Justice bear and accessories and Alvin and the Chipmunks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Smurf</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stuffed characters.</w:t>
      </w:r>
    </w:p>
    <w:p>
      <w:pPr>
        <w:spacing w:after="0" w:line="261" w:lineRule="exact"/>
        <w:rPr>
          <w:sz w:val="20"/>
          <w:szCs w:val="20"/>
          <w:color w:val="auto"/>
        </w:rPr>
      </w:pPr>
    </w:p>
    <w:p>
      <w:pPr>
        <w:jc w:val="both"/>
        <w:ind w:right="400" w:firstLine="486"/>
        <w:spacing w:after="0" w:line="226" w:lineRule="auto"/>
        <w:rPr>
          <w:sz w:val="20"/>
          <w:szCs w:val="20"/>
          <w:color w:val="auto"/>
        </w:rPr>
      </w:pPr>
      <w:r>
        <w:rPr>
          <w:rFonts w:ascii="Arial" w:cs="Arial" w:eastAsia="Arial" w:hAnsi="Arial"/>
          <w:sz w:val="18"/>
          <w:szCs w:val="18"/>
          <w:color w:val="auto"/>
        </w:rPr>
        <w:t>While our concept is a unique combination of experience and product, we selectively promote seasonal products with special offers and discounts intended to maximize sales at peak traffic periods in the year. We also offer frequent shopper discounts associated with our Stuff Fur Stuff</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club loyalty program and strategically use coupons and gift-with-purchase promotions to drive traffic to our stores.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4" w:name="page5"/>
    <w:bookmarkEnd w:id="4"/>
    <w:p>
      <w:pPr>
        <w:ind w:right="60" w:firstLine="486"/>
        <w:spacing w:after="0" w:line="259" w:lineRule="auto"/>
        <w:rPr>
          <w:sz w:val="20"/>
          <w:szCs w:val="20"/>
          <w:color w:val="auto"/>
        </w:rPr>
      </w:pPr>
      <w:r>
        <w:rPr>
          <w:rFonts w:ascii="Arial" w:cs="Arial" w:eastAsia="Arial" w:hAnsi="Arial"/>
          <w:sz w:val="18"/>
          <w:szCs w:val="18"/>
          <w:color w:val="auto"/>
        </w:rPr>
        <w:t>As a retailer whose signature product is a stuffed animal that is typically purchased as a toy or gift, our sales are highest in our fourth quarter which ends on the Saturday nearest December 31 each year, followed by the first quarter. The timing of holidays and school vacations can impact our quarterly results. Our European-based stores have historically been more heavily weighted in the fourth quarter as compared to our North American stores. We cannot ensure that this will continue to be the case.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83"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We are in the midst of a multi-year turnaround plan that builds on a strong base of profitable stores. In 2012, our top 200 company-owned stores had an average 20 percent store level contribution. We believe that our store base will be more profitable by the end of 2014 as we benefit from our initiatives.</w:t>
      </w:r>
    </w:p>
    <w:p>
      <w:pPr>
        <w:spacing w:after="0" w:line="178"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To improve the productivity of our company-owned stores, we have three key strategic initiatives to improve our store sales and profitability: first, in North America, we are closing stores, primarily in multi-store markets where we can transfer a portion of sales to other stores in the same markets; second, also in North America, we are updating our brand experience by remodeling additional stores in our newly imagined design; and third, in both North America and in Europe, we plan to grow our base store business with improved merchandise selection and availability as well as rebalancing our marketing messaging to speak to our brand experience and product vs. product and promotion.</w:t>
      </w:r>
    </w:p>
    <w:p>
      <w:pPr>
        <w:spacing w:after="0" w:line="227"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expect to build the appeal of our stores and improve our store productivity and profitability by closing select stores, relocating and downsizing other stores and remodeling and opening select stores in a new design. We believe that we can optimize stores in multi-store markets with fewer locations that have higher sales volumes. In fiscal 2012, we closed ten stores in accordance with natural lease events such as expirations and lease termination options, primarily in multi-store markets, transferring a percentage of sales to other stores in the same markets. We also relocated and downsized 11 stores within existing malls which we anticipate will lead to higher productivity metrics in these locations. We opened five new stores across geographies, compared to 2011 when we opened nine new stores across geographies. We currently expect to close an additional 50 to 60 stores in in fiscal 2013 and 2014 to reach an optimal store count of 225 to 250 Build-A-Bear Workshop stores in North America. We believe our potential in the United Kingdom and Ireland is 60 to 70 stores. In 2012, we also introduced a new store design which we believe enhances our interactive experience and better showcases our products. In 2012, we successfully opened six locations in the new design and expect to have 40 to 50 additional locations by the end of 2014, primarily through remodels and relocations.</w:t>
      </w:r>
    </w:p>
    <w:p>
      <w:pPr>
        <w:spacing w:after="0" w:line="23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concept is a unique combination of experience and product, both of which are keys to our growth. In terms of product innovation, we believe that the focus on larger, limited edition animal introductions that launch approximately once a month creates a sense of urgency to shop and drives traffic to our stores, increases conversion and improves sales. We plan to further increase conversion and average transaction value by offering additional toy products and other branded products that are in demand with our core demographics yet consistent with our brand attributes of creativity and imaginative play. We will use our national multi-media marketing programs to increase store traffic by promoting our interactive experience and seasonal product launches and to increase shopping frequency with guests who are members in our loyalty program. We believe our signature store experience is a competitive advantage and the full integration of product, marketing and operations enhances our guests’ brand interaction. We will continue to grow online engagement at bearville.com, as well as grow our e-commerce business. We also plan to drive sales increases related to gift-giving occasions, such as birthdays and Christmas, by promoting our products and gift cards.</w:t>
      </w:r>
    </w:p>
    <w:p>
      <w:pPr>
        <w:spacing w:after="0" w:line="236" w:lineRule="exact"/>
        <w:rPr>
          <w:sz w:val="20"/>
          <w:szCs w:val="20"/>
          <w:color w:val="auto"/>
        </w:rPr>
      </w:pPr>
    </w:p>
    <w:p>
      <w:pPr>
        <w:ind w:right="260" w:firstLine="486"/>
        <w:spacing w:after="0" w:line="237" w:lineRule="auto"/>
        <w:rPr>
          <w:sz w:val="20"/>
          <w:szCs w:val="20"/>
          <w:color w:val="auto"/>
        </w:rPr>
      </w:pPr>
      <w:r>
        <w:rPr>
          <w:rFonts w:ascii="Arial" w:cs="Arial" w:eastAsia="Arial" w:hAnsi="Arial"/>
          <w:sz w:val="18"/>
          <w:szCs w:val="18"/>
          <w:color w:val="auto"/>
        </w:rPr>
        <w:t>In response to an emerging trend of kids’ interaction and play in the online space, we maintain our virtual world, bearville.com. The website is designed to complement and continue our in-store experience and enhance our core brand values. By the end of 2012, there have been nearly 24 million accounts created. This site drives interaction with core demographic segments and creates loyalty with these guests while also encouraging and promoting future store visits. As kid’s play patterns have evolved into mobile technology, we launched the Build-A-Bear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App for mobile devices where users gain access to mobile-exclusive content and bearville.com games. To date, there have been over 1.2 million downloads. In 2013, we plan to continue to update and enhance our mobile App presence.</w:t>
      </w: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Development</w:t>
      </w:r>
    </w:p>
    <w:p>
      <w:pPr>
        <w:spacing w:after="0" w:line="28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Through our in-house design and product development team, we have developed a coordinated, creative and broad merchandise assortment, including a variety of animals, clothing, shoes and accessories. We believe our merchandise is an integral part of our concept and that the proprietary design of many of the products we offer is a critical element of our success, while the authentic and fashionable nature of our products greatly enhances our brand’s appeal to our guests. Our product development team regularly monitors current fashion and cultural trends in order to create products that are most appealing to our guests, often reflecting similar styling to the clothes our guests wear themselves. We test our products on an ongoing basis to ensure guest demand supports order quantities. Through our focused vendor relationships, we are able to source our merchandise in a manner that is cost-effective, maximizes our speed to market and facilitates rapid reorder of our best-selling items.</w:t>
      </w:r>
    </w:p>
    <w:p>
      <w:pPr>
        <w:spacing w:after="0" w:line="23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stuffed animal skins and clothing are produced from high quality man-made materials or natural fibers such as cotton, and the stuffing is made of a high-grade polyester fiber. We believe all of our products in our stores and online at buildabear.com meet Consumer Product Safety Commission requirements including the Consumer Product Safety Improvement Act (CPSIA) for Children’s Products. We also comply with American Society for Testing and Materials (ASTM), EN71 (European standards) and Canadian specifications for toy safety in all material respects. Our products are tested through independent third-party testing labs for compliance with toy safety standards. We believe we comply with governmental toy safety requirements specific to each country where we have stores. Packaging and labels for each product indicate to our guests the age grading for the product and any special warnings in accordance with guidelines established by the Consumer Product Safety Commission.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both"/>
        <w:ind w:firstLine="486"/>
        <w:spacing w:after="0" w:line="264" w:lineRule="auto"/>
        <w:rPr>
          <w:sz w:val="20"/>
          <w:szCs w:val="20"/>
          <w:color w:val="auto"/>
        </w:rPr>
      </w:pPr>
      <w:r>
        <w:rPr>
          <w:rFonts w:ascii="Arial" w:cs="Arial" w:eastAsia="Arial" w:hAnsi="Arial"/>
          <w:sz w:val="18"/>
          <w:szCs w:val="18"/>
          <w:color w:val="auto"/>
        </w:rPr>
        <w:t>Our products have earned the Good Housekeeping Seal of Approval. The Good Housekeeping Seal, introduced in 1909, is earned by products that pass Good Housekeeping Institute review and is one of America’s most trusted consumer icons assuring consumers of a quality product. Seal-backed products are covered by Good Housekeeping’s two-year money-back warranty.</w:t>
      </w:r>
    </w:p>
    <w:p>
      <w:pPr>
        <w:spacing w:after="0" w:line="235"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In order to increase store visits and give guests additional reasons for purchasing at our stores, we expect to expand our product assortment and our leadership in the toy industry by offering additional products other than our core plush animals and related items that are consistent with our interactive and hands-on experience, some of which are proprietarily developed and some that come from other toy and accessory companies. We believe the addition of complementary toy and accessory products will allow us to increase our sales and overall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83"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believe there is value in promoting and advertising the Build-A-Bear Workshop store and brand as a family-friendly destination that provides fun, affordable experiences appealing to a broad range of age groups and demographics. This gives us a competitive advantage and is critical to our business strategy. Our advertising expenditures were $23.0 million (6.1% of net retail sales) in fiscal 2012, $19.3 million (5.0% of net retail sales) in fiscal 2011 and $18.5 million (4.8% of net retail sales) in fiscal 2010, reflecting the continuation and further refinement of marketing initiatives. We believe our adjusted marketing strategies contributed to a significant improvement in sales trend in the fourth quarter of fiscal 2012 in the United States with comparable store sales increasing 2.4%, a significant improvement from the third quarter sales decline of 11.6%. We will continue to adjust our marketing programs and expenditures as we move forward</w:t>
      </w:r>
    </w:p>
    <w:p>
      <w:pPr>
        <w:spacing w:after="0" w:line="18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2013, our goal is to continue to build top of mind brand awareness through fully integrated marketing programs. Television advertising is a key strategy to reach and acquire new guests and gives existing guests new reason to visit. Since February 2004, we have aired nationally televised advertisements in the United States. In the fourth quarter of 2010, we expanded our television advertising to the United Kingdom. In 2012, we rebalanced our advertising strategy in the United States to showcase the unique Build-A-Bear Workshop brand and experience in addition to featuring new products and selected seasonal promotions.</w:t>
      </w:r>
    </w:p>
    <w:p>
      <w:pPr>
        <w:spacing w:after="0" w:line="24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Build-A-Bear Workshop has a community of highly engaged advocates, both adults, primarily moms, and kids. In 2012, we continued to expand our use of social media to reach and market to these brand advocates. As of March 8, 2013, nearly 2.5 million Facebook users have “liked” the Build-A-Bear Workshop brand, we had nearly 40,000 Twitter followers, 8 million views on YouTube and over 1.2 million downloads of our Build-A-Bear App. Digital media and social media have allowed us to measure success of products, events, and other initiatives and to gather their feedback so we can focus on the programs that our guests value most highly. In 2013, the digital space will continue to be an important component in our marketing efforts because it is an important part of where our guests spend time and engage with brands they support. Since the digital space is constantly changing; we continue to evolve our online strategies to maximize our relevance. Our child-centric Web site, bearville.com, is targeted at kids, primarily ages six to fourteen and continues to be a tool to increase brand engagement, promote our brand and raise awareness of in-store products and events. Our mobile app is also an important brand touch point for both moms and kids and we continue to increase our capabilities and presence in mobile technology.</w:t>
      </w:r>
    </w:p>
    <w:p>
      <w:pPr>
        <w:spacing w:after="0" w:line="221" w:lineRule="exact"/>
        <w:rPr>
          <w:sz w:val="20"/>
          <w:szCs w:val="20"/>
          <w:color w:val="auto"/>
        </w:rPr>
      </w:pPr>
    </w:p>
    <w:p>
      <w:pPr>
        <w:ind w:right="180" w:firstLine="528"/>
        <w:spacing w:after="0" w:line="255" w:lineRule="auto"/>
        <w:rPr>
          <w:sz w:val="20"/>
          <w:szCs w:val="20"/>
          <w:color w:val="auto"/>
        </w:rPr>
      </w:pPr>
      <w:r>
        <w:rPr>
          <w:rFonts w:ascii="Arial" w:cs="Arial" w:eastAsia="Arial" w:hAnsi="Arial"/>
          <w:sz w:val="18"/>
          <w:szCs w:val="18"/>
          <w:color w:val="auto"/>
        </w:rPr>
        <w:t>We also leverage our database of nearly 4.5 million active members of our Stuff Fur Stuff club loyalty program. The program offers shoppers the opportunity to earn awards based on purchases as well as receive other member-only benefits. In 2008, we launched a version of the program in the United Kingdom that did not include reward certificates, but served to gather guest data and maintain contact with our guests. In 2012, we refreshed our Stuff Fur Stuff program to increase guest retention metrics. Members earn awards for every 50 points, including, for the first time our guests in the United Kingdom. The guest and transactional data that is collected provides insight into the overall purchasing history of members including visit frequency, items purchased and amounts spent on each visit and cumulatively over time. We continue to leverage this information and our database to market products, promotions and store events.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Strategic Relationships</w:t>
      </w:r>
    </w:p>
    <w:p>
      <w:pPr>
        <w:spacing w:after="0" w:line="28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have developed licensing and strategic relationships with some of the leading retail and cultural organizations in North America and Europe. We believe that our guest base and brand strength make us an attractive partner and our customer research and insight allow us to focus on strategic relationships with other companies. We plan to continue to add partnerships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 w:name="page7"/>
    <w:bookmarkEnd w:id="6"/>
    <w:p>
      <w:pPr>
        <w:ind w:right="180" w:firstLine="486"/>
        <w:spacing w:after="0" w:line="257" w:lineRule="auto"/>
        <w:rPr>
          <w:sz w:val="20"/>
          <w:szCs w:val="20"/>
          <w:color w:val="auto"/>
        </w:rPr>
      </w:pPr>
      <w:r>
        <w:rPr>
          <w:rFonts w:ascii="Arial" w:cs="Arial" w:eastAsia="Arial" w:hAnsi="Arial"/>
          <w:sz w:val="18"/>
          <w:szCs w:val="18"/>
          <w:i w:val="1"/>
          <w:iCs w:val="1"/>
          <w:color w:val="auto"/>
        </w:rPr>
        <w:t>Product and Merchandise Licensing</w:t>
      </w:r>
      <w:r>
        <w:rPr>
          <w:rFonts w:ascii="Arial" w:cs="Arial" w:eastAsia="Arial" w:hAnsi="Arial"/>
          <w:sz w:val="18"/>
          <w:szCs w:val="18"/>
          <w:color w:val="auto"/>
        </w:rPr>
        <w:t>. We have key strategic relationships with select companies, including Disney®, Sanrio®, Skechers, Justice, Star</w:t>
      </w:r>
      <w:r>
        <w:rPr>
          <w:rFonts w:ascii="Arial" w:cs="Arial" w:eastAsia="Arial" w:hAnsi="Arial"/>
          <w:sz w:val="18"/>
          <w:szCs w:val="18"/>
          <w:i w:val="1"/>
          <w:iCs w:val="1"/>
          <w:color w:val="auto"/>
        </w:rPr>
        <w:t xml:space="preserve"> </w:t>
      </w:r>
      <w:r>
        <w:rPr>
          <w:rFonts w:ascii="Arial" w:cs="Arial" w:eastAsia="Arial" w:hAnsi="Arial"/>
          <w:sz w:val="18"/>
          <w:szCs w:val="18"/>
          <w:color w:val="auto"/>
        </w:rPr>
        <w:t>Wars, MLB, NBA, NFL, the NHL®, and World Wildlife Fund US and Canada, in which we feature their brands on products sold in our stores. These strategic relationships allow both parties to generate awareness of their brands. We have also offered selected character and media-oriented products including Sanrio’s Hello Kitty, Disney’s Muppets, Minnie Mouse and Shake It Up themed bears, Fremantle’s Rebecca Bonbon, Fox Studio’s Ice Age, and holiday classics Rudolph the Red-Nosed Reindeer and the Grinch.</w:t>
      </w:r>
    </w:p>
    <w:p>
      <w:pPr>
        <w:spacing w:after="0" w:line="188"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i w:val="1"/>
          <w:iCs w:val="1"/>
          <w:color w:val="auto"/>
        </w:rPr>
        <w:t>Promotional Arrangements</w:t>
      </w:r>
      <w:r>
        <w:rPr>
          <w:rFonts w:ascii="Arial" w:cs="Arial" w:eastAsia="Arial" w:hAnsi="Arial"/>
          <w:sz w:val="17"/>
          <w:szCs w:val="17"/>
          <w:color w:val="auto"/>
        </w:rPr>
        <w:t>. We have also developed promotional arrangements with select organizations. Our arrangements with Major League</w:t>
      </w:r>
      <w:r>
        <w:rPr>
          <w:rFonts w:ascii="Arial" w:cs="Arial" w:eastAsia="Arial" w:hAnsi="Arial"/>
          <w:sz w:val="17"/>
          <w:szCs w:val="17"/>
          <w:i w:val="1"/>
          <w:iCs w:val="1"/>
          <w:color w:val="auto"/>
        </w:rPr>
        <w:t xml:space="preserve"> </w:t>
      </w:r>
      <w:r>
        <w:rPr>
          <w:rFonts w:ascii="Arial" w:cs="Arial" w:eastAsia="Arial" w:hAnsi="Arial"/>
          <w:sz w:val="17"/>
          <w:szCs w:val="17"/>
          <w:color w:val="auto"/>
        </w:rPr>
        <w:t>Baseball teams, including the Chicago Cubs®, St. Louis Cardinals™ and Pittsburg Pirates® have featured stuffed animal giveaways at each club’s ballpark on a day in which our brand is highly promoted within the stadium. In 2012, we partnered with McDonald’s® for the fourth time to feature limited edition, collectible mini Build-A-Bear Workshop animals in Happy Meals®. We also have had arrangements featuring product sampling, cross promotions and shared media with companies such as Dairy Queen in North America and Betty Crocker’s Fruit Roll-ups. We continued to partner with teen celebrity, Victoria Justice, who was our brand ambassador through July 2012. The arrangement also featured Victoria Justice 4 BABW branded merchandise available in our stores. In October 2012, we announced our next brand ambassador, pop star, Cody Simpson.</w:t>
      </w:r>
    </w:p>
    <w:p>
      <w:pPr>
        <w:spacing w:after="0" w:line="17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i w:val="1"/>
          <w:iCs w:val="1"/>
          <w:color w:val="auto"/>
        </w:rPr>
        <w:t xml:space="preserve">Third Party Licensing. </w:t>
      </w:r>
      <w:r>
        <w:rPr>
          <w:rFonts w:ascii="Arial" w:cs="Arial" w:eastAsia="Arial" w:hAnsi="Arial"/>
          <w:sz w:val="17"/>
          <w:szCs w:val="17"/>
          <w:color w:val="auto"/>
        </w:rPr>
        <w:t>We have continued a series of licensing arrangements with leading manufacturers to develop a collection of lifestyle Build-A-Bear Workshop branded products including children’s furniture, fruit snacks, girls play sets and novelty toys. We believe that each of these initiatives has the potential to enhance our brand, raise brand awareness, and drive increased revenues and profitability. We select companies for licensing relationships that we believe are leaders in their respective sectors and that understand and share our strategic vision for offering guests exciting and interactive merchandise. We have policies and practices in place intended to ensure that the products manufactured under the Build-A-Bear Workshop brand adhere to our quality, value and usability standards. We have entered into or maintained licensing arrangements for our branded products with leading manufacturers including Playmates Toys, Pulaski Furniture, ConAgra Foods and Enterplay.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Guest Demographics</w:t>
      </w:r>
    </w:p>
    <w:p>
      <w:pPr>
        <w:spacing w:after="0" w:line="283"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While Build-A-Bear Workshop offers consumers an interactive and personalized experience, our tangible products are stuffed animals, including our flagship product, the teddy bear, a widely adored icon for over 100 years. According to data published by the Toy Industry Association and The NPD Group, sales of the traditional toy market were $21.2 billion in the United States (excluding video games) in 2010 with plush and doll sales having a combined 18.7% share of the traditional toy market. According to further estimates provided by The NPD Group, worldwide toy sales topped $83.3 billion dollars in 2010.</w:t>
      </w:r>
    </w:p>
    <w:p>
      <w:pPr>
        <w:spacing w:after="0" w:line="20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guests are diverse, spanning broad age ranges and socio-economic categories. Major guest segments include families with children, primarily ages three to twelve, grandparents, aunts and uncles, teen girls who occasionally bring along their boyfriends, and child-centric organizations looking for interactive entertainment options such as scouting organizations and schools. Based on information compiled from our guest database for 2012, the average age of the recipient of our stuffed animals at the time of purchase is nine years old and children aged one to fourteen are the recipients of approximately 80% of our stuffed animals.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According to the estimates by the United States Census Bureau, in 2009 there were over 62 million children age 14 and under in the United</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States. The size of this population group is projected to remain relatively stable over the next decade. Industry sources estimate direct spending by children in the United States at over $50 billion annually and that parents and family members spend an additional $170 billion annually on children. In addition, children influence billions of dollars in other family spending.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Training</w:t>
      </w:r>
    </w:p>
    <w:p>
      <w:pPr>
        <w:spacing w:after="0" w:line="283" w:lineRule="exact"/>
        <w:rPr>
          <w:sz w:val="20"/>
          <w:szCs w:val="20"/>
          <w:color w:val="auto"/>
        </w:rPr>
      </w:pPr>
    </w:p>
    <w:p>
      <w:pPr>
        <w:ind w:right="320" w:firstLine="486"/>
        <w:spacing w:after="0" w:line="297" w:lineRule="auto"/>
        <w:rPr>
          <w:sz w:val="20"/>
          <w:szCs w:val="20"/>
          <w:color w:val="auto"/>
        </w:rPr>
      </w:pPr>
      <w:r>
        <w:rPr>
          <w:rFonts w:ascii="Arial" w:cs="Arial" w:eastAsia="Arial" w:hAnsi="Arial"/>
          <w:sz w:val="16"/>
          <w:szCs w:val="16"/>
          <w:color w:val="auto"/>
        </w:rPr>
        <w:t>In January 2013, we were recognized by FORTUNE Magazine for the fifth consecutive year as one of the 100 Best Companies to Work For in the United States. We believe that this honor is the result of our commitment to providing a great experience for our diverse team of associates as well as our guests. We have a distinctive culture that we believe encourages contribution and collaboration. We take great pride in our culture and feel it is critical in encouraging creativity, communication, and strong store performance. All store managers receive comprehensive training through our Bear University program, which is designed to promote a friendly and personable environment in our stores and a consistent experience across our stores.</w:t>
      </w:r>
    </w:p>
    <w:p>
      <w:pPr>
        <w:spacing w:after="0" w:line="212"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We extensively train our associates on the bear-building process and the guest experience. In fiscal 2012, we hired approximately 3.5% of applicants for store manager positions. We focus on employing and retaining people who are friendly and committed to guest service. Our high employee retention rates contribute to the consistency and quality of the guest experience. Our store teams are evaluated and compensated not only on sales results but also the results from our regular guest satisfaction surveys. Each store has a recognition fund so that exceptional guest service can be immediately recognized and rewarded. We are committed to providing compensation structures that recognize individual accomplishments as well as overall team success.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p>
      <w:pPr>
        <w:ind w:right="60" w:firstLine="486"/>
        <w:spacing w:after="0" w:line="259" w:lineRule="auto"/>
        <w:rPr>
          <w:sz w:val="20"/>
          <w:szCs w:val="20"/>
          <w:color w:val="auto"/>
        </w:rPr>
      </w:pPr>
      <w:r>
        <w:rPr>
          <w:rFonts w:ascii="Arial" w:cs="Arial" w:eastAsia="Arial" w:hAnsi="Arial"/>
          <w:sz w:val="17"/>
          <w:szCs w:val="17"/>
          <w:color w:val="auto"/>
        </w:rPr>
        <w:t>As of December 29, 2012, we employed approximately 1,000 full-time and 3,400 part-time employees. We divide our store base into three geographic regions, with the United Kingdom and Ireland representing one of those regions. The regions are led by our Chief Operations and Financial Bear; our North American operations are led by our Chief Workshop Bear – North America and there are three Regional Workshop Managing Directors. Bearitory Leaders are responsible for each of our 31 store districts, or bearitories, consisting of on average, 11 stores. Historically, our stores generally have had a full-time Chief Workshop Manager, and three additional managers who are full-time or part-time, depending upon the volume at the specific location, in addition to part-time hourly Bear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associates. In 2011 and 2012, as part of our cost savings initiatives, we adjusted our store staffing model to reduce fixed costs and provide flexibility to better match staffing levels to peak sales times. This resulted in significant savings in store payroll, while still maintaining our high levels of overall guest satisfaction. In addition to the approximately 4,000 employees at our store locations, we employ approximately 230 associates in general administrative functions at our World Bearquarters in St. Louis, Missouri, approximately 70 associates at our Bearhouse distribution center in Groveport, Ohio, and approximately 20 associates in our European Bearquarters in Windsor, England. The number of part-time employees at all locations fluctuates depending on our seasonal needs. We are committed to innovation and invention and generally have confidentiality agreements with our employees and consultants. Store managers and Bearquarters associates pass specific profile assessments. None of our employees are represented by a labor union, and we believe our relationship with our employees is good.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Franchises</w:t>
      </w:r>
    </w:p>
    <w:p>
      <w:pPr>
        <w:spacing w:after="0" w:line="283"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In 2003, we began to expand Build-A-Bear Workshop stores outside of the United States, opening company-owned stores in Canada and our first franchised location in the United Kingdom. As of December 29, 2012, there were 91 Build-A-Bear Workshop franchised stores located in 14 countries. All stores outside of the U.S., Canada, the United Kingdom and Ireland are currently operated by third party franchisees under separate master franchise agreements covering each territory. Master franchise rights are typically granted to a franchisee for an entire country or group of countries for a specified term. The terms of these master franchise agreements vary by country but typically provide that we receive an initial, one-time development fee and continuing royalties based on a percentage of the franchisees’ stores sales. The terms of these agreements range up to 25 years with a franchisee option to renew for an additional term if certain conditions are met. All franchised stores have similar signage, store layout and merchandise characteristics to our company-owned stores.</w:t>
      </w:r>
    </w:p>
    <w:p>
      <w:pPr>
        <w:spacing w:after="0" w:line="246"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Our goal is to have well-capitalized franchisees with expertise in retail operations or franchising and real estate in their respective country. We collaborate with our franchisees in the development of their business, marketing and store growth plans. We review all franchisees’ orders for merchandise which are made in the same factories that produce products for our company-owned stores and advise our franchisees concerning their operational and business practices in an effort to ensure they are in compliance with our standards. We expect our current franchisees to open approximately eight to twelve new stores in fiscal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Inventory Management</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do not own or operate any manufacturing facilities. Our animal skins, stuffing, clothing and accessories are produced by factories located primarily in China. We purchased approximately 80% of our inventory in fiscal 2012, approximately 81% in fiscal 2011 and approximately 73% in fiscal 2010 from three long standing vendors. After specifying the details and requirements for our products, our vendors contract orders with multiple manufacturing facilities in China that are approved by us in accordance with our quality control and labor standards. We believe that our supplier factories are compliant with the International Council of Toy Industries (ICTI) CARE certification.</w:t>
      </w:r>
    </w:p>
    <w:p>
      <w:pPr>
        <w:spacing w:after="0" w:line="24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CARE (Caring, Awareness, Responsible, Ethical) Process is the ICTI program to promote ethical manufacturing, in the form of fair labor treatment, as well as employee health and safety, in the toy industry supply chain worldwide. The program’s initial focus is in China, where 70 percent of the world’s toy volume is manufactured. In order to obtain this certification, each factory completed a rigorous evaluation performed by an accredited ICTI agent. Our vendors can be used interchangeably as each has a sourcing network for multiple product categories and can expand its factory network as needed. Our relationships with our vendors generally are on a purchase order basis and do not provide a contractual obligation to provide adequate supply or acceptable pricing on a long-term basis.</w:t>
      </w:r>
    </w:p>
    <w:p>
      <w:pPr>
        <w:spacing w:after="0" w:line="24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average time from the beginning of production to arrival of the products into our stores is approximately 90 to 120 days. Our weekly tracking and reporting tools give us the capability to adjust to shifts in demand. Through an ongoing analysis of selling trends, we regularly update our product assortment by increasing quantities of productive styles and eliminating less productive items. Our distribution centers provide further logistical efficiencies for delivering merchandise to our stores.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Distribution and Logistics</w:t>
      </w:r>
    </w:p>
    <w:p>
      <w:pPr>
        <w:spacing w:after="0" w:line="28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own our 350,000 square-foot distribution center near Columbus, Ohio which serves the majority of our stores in the United States and Canada. We also engage a third-party warehouse in southern California to service our West Coast stores. The contract has a one year term and is renewable. In Europe, we contract with a third-party distribution center in Selby, England under an agreement that ends in December 2014. This agreement contains clauses that allow for termination if certain performance criteria are not met.</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Transportation from the warehouses to the stores is managed by several third-party logistics providers. In the United States, Canada and Europe,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merchandise is shipped by a variety of distribution methods, depending on the store and seasonal inventory demand. Key delivery methods are direct trucks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third-party pool points, ‘LTL’ (less-than truck load) deliveries, and direct parcel deliveries. Shipments from our third-party distribution centers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scheduled throughout the week in order to smooth workflow and stores that are part of the same shipping route are grouped together to reduce freight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costs. All items in our assortment are eligible for distribution, depending on allocation and fulfillment requirements, and we typically distribute merchandise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supplies to each store once a week on a regular schedule, which allows us to consolidate shipments in order to reduce distribution and shipping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costs. Back-up supplies, such as Cub Condo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carrying cases and stuffing for the animals, are often stored in limited amounts at local pool points.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 and Technology</w:t>
      </w:r>
    </w:p>
    <w:p>
      <w:pPr>
        <w:spacing w:after="0" w:line="283"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Optimizing technology is a key business strategy. We are committed to utilizing and leveraging digital advancements to gain a competitive edge and improve guest experiences. We regularly evaluate strategic information technology initiatives focused on competitive differentiation, support of corporate strategy and reinforcement of our internal support systems. In 2012, we launched our new store design that combines our signature in-store experience with innovative digital technology that enhances our guests’ experiences and adds interactive and customization features to our stuffed animal making process.</w:t>
      </w:r>
    </w:p>
    <w:p>
      <w:pPr>
        <w:spacing w:after="0" w:line="208" w:lineRule="exact"/>
        <w:rPr>
          <w:sz w:val="20"/>
          <w:szCs w:val="20"/>
          <w:color w:val="auto"/>
        </w:rPr>
      </w:pPr>
    </w:p>
    <w:p>
      <w:pPr>
        <w:ind w:right="20" w:firstLine="486"/>
        <w:spacing w:after="0" w:line="241" w:lineRule="auto"/>
        <w:rPr>
          <w:sz w:val="20"/>
          <w:szCs w:val="20"/>
          <w:color w:val="auto"/>
        </w:rPr>
      </w:pPr>
      <w:r>
        <w:rPr>
          <w:rFonts w:ascii="Arial" w:cs="Arial" w:eastAsia="Arial" w:hAnsi="Arial"/>
          <w:sz w:val="18"/>
          <w:szCs w:val="18"/>
          <w:color w:val="auto"/>
        </w:rPr>
        <w:t>We have developed award-winning, proprietary software including our new Digital Sound Station, party scheduling system and domestic and international versions of our Name Me kiosk, which populates our Find-A-Bear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identification system. Data from these systems are used to support key decisions in all areas of our business, including merchandising, allocation and operations. Our innovation continues in our new store design which begins with an interactive storefront where guests can engage and play with the digital signage. The new Love Me station gives our guests the ability to customize the inside of their animal with special personality attributes displayed as emoticons on an interactive table. The redesigned Fluff Me station, includes a digital bath tub that recognizes items as they are placed on it and reacts with sensory effects such as virtual bubbles that appear when play soap is placed on the surface. Finally, at our updated Name Me station guests use a viewfinder that reveals the customized attributes that have been added to the animal throughout the process.</w:t>
      </w:r>
    </w:p>
    <w:p>
      <w:pPr>
        <w:spacing w:after="0" w:line="255"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We believe our information and operational systems to be best in class that incorporate a broad range of purchased and internally developed technologies; each is built on a foundation of sound business processes and supports guest relationship management, marketing, financial, retail operations, real estate, merchandising, e-commerce and inventory management processes, with a goal to deliver solid business results. Our employees can securely access these systems over a company-wide network. Sales, daily deposit and guest information are automatically collected from the stores’ point-of-sale terminals and kiosks on a near real time basis. All data captured is secured, Payment Card Industry compliant and protected by a solid disaster recovery plan. Our critical systems are reviewed on a regular basis to evaluate security and disaster recovery.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view the Build-A-Bear Workshop experience as a distinctive combination of entertainment and retail with limited direct competition. Because our signature product is a stuffed animal, we compete with toy retailers, such as Wal-Mart, Toys “R” Us, Target, Kmart and other discount chains. Build-A-Bear Workshop was ranked by Playthings Magazine as the ninth largest toy retailer for retailers with continuing operations, based on 2008 revenues. Since we develop proprietary products, we also compete indirectly with a number of companies that sell stuffed animals in the United States, including, but not limited to, Ty, Fisher Price, Mattel, Ganz, Russ Berrie, Applause, Boyd’s, Hasbro, Commonwealth, Gund and Vermont Teddy Bear.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Being a mall-based retailer, we also compete with other mall-based retailers for prime mall locations, including various apparel, footwear and specialty retailers.</w:t>
      </w:r>
    </w:p>
    <w:p>
      <w:pPr>
        <w:spacing w:after="0" w:line="220"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We are aware of several small companies that operate “make your own” teddy bear and stuffed animal stores or kiosks in retail locations, but we believe none of those companies offer the breadth and depth of the Build-A-Bear Workshop experience or operate as a national or international retail company.</w:t>
      </w:r>
    </w:p>
    <w:p>
      <w:pPr>
        <w:spacing w:after="0" w:line="235"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We also believe that there is an emerging trend within children’s play patterns towards mobile internet and online play. According to Emarketer.com, kids aged 8 to 11 reported that they spend between one and two hours online each day. We believe our bearville.com Web site competes with other companies and internet sites that vie for children’s attention in the online space including webkinz.com, clubpenguin.com and neopets.com.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8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As of December 29, 2012, we had obtained over 206 U.S. trademark registrations, including Build-A-Bear Workshop for stuffed animals and accessories for the animals, retail store services and other goods and services, 36 issued U.S. patents with expirations ranging from 2013 through 2020 and over 381 copyright registrations. In addition, we have five U.S. trademark applications pending. We have exclusive patent rights from a third party in association with our BUILD-A-SOUND message device and system. We were granted exclusive licenses to use the device and system covered by the patents in retail stores similar to ours. While we have the right to sublicense the patent, the licensor has agreed not to grant competing license rights to any of our competitors. In the event that we or the licensor has reason to believe that a third party is infringing upon the patents, the licensor is generally required to bear the expenses required to maintain and defend the patents. Our exclusive rights will last until the expiration of the latest patent covered by the agreement, calculated to be 2017, unless the agreement is terminated.</w:t>
      </w:r>
    </w:p>
    <w:p>
      <w:pPr>
        <w:spacing w:after="0" w:line="233"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and the registrations for the intellectual property. We rely on trademark, copyright and other intellectual property law to protect our proprietary rights to the extent available in any relevant jurisdiction. We also depend on trade secret protection through confidentiality and license agreements with our employees, subsidiaries, licensees, licensors and others. We may not have agreements containing adequate protective provisions in every case, and the contractual provisions that are in place may not provide us with adequate protection in all circumstances. Any infringement or misappropriation of our intellectual property rights or breach of our confidentiality or license agreements could result in significant litigation costs, and any failure to adequately protect our proprietary rights could result in our competitors offering similar products, potentially resulting in loss of one or more competitive advantages and decreased revenues. In addition, intellectual property litigation or claims could force us to do one or more of the following: cease selling or using any of our products that incorporate the challenged intellectual property, which would adversely affect our revenue; obtain a license from the holder of the intellectual property right alleged to have been infringed, which license may not be available on reasonable terms, if at all; and redesign or, in the case of trademark claims, rename our products to avoid infringing the intellectual property rights of third parties, which may not be possible and time-consuming if it is possible to do so.</w:t>
      </w:r>
    </w:p>
    <w:p>
      <w:pPr>
        <w:spacing w:after="0" w:line="223"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Despite our efforts to protect our intellectual property rights, intellectual property laws afford us only limited protection. A third party could copy or otherwise obtain information from us without authorization. Accordingly, we may not be able to prevent misappropriation of our intellectual property or to deter others from developing similar products or services. Further, monitoring the unauthorized use of our intellectual property is difficult. Litigation has been and may continue to be necessary to enforce our intellectual property rights or to determine the validity and scope of the proprietary rights of others. Litigation of this type could result in substantial costs and diversion of resources, may result in counterclaims or other claims against us and could significantly harm our results of operations. In addition, the laws of some foreign countries do not protect our proprietary rights to the same extent as do the laws of the United States.</w:t>
      </w:r>
    </w:p>
    <w:p>
      <w:pPr>
        <w:spacing w:after="0" w:line="24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also conduct business in foreign countries to the extent our merchandise is manufactured or sold outside the United States and we have opened stores outside the United States either directly or indirectly through franchisees. We filed, obtained or plan to file for registration of marks in foreign countries to the degree necessary to protect these marks, although our efforts may not be successful and there may be restrictions on the use of these marks in some jurisdictions.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8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conduct our operations through three reportable segments consisting of retail, international franchising, and commercial. The retail segment includes the operating activities of company-owned stores in the United States, Canada, the United Kingdom and Ireland, and other retail operations, including our web-store and non-traditional store locations such as tourist venues, temporary locations and ballpark stores. The commercial segment includes our transactions with other business partners, mainly comprised of licensing our intellectual property, including entertainment properties, for third-party use and wholesale product sales. The international franchising segment includes the activities under our franchise agreements with locations in Asia, Australia, Africa, the Middle East, Europe, Mexico and South America.</w:t>
      </w:r>
    </w:p>
    <w:p>
      <w:pPr>
        <w:spacing w:after="0" w:line="24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reportable segments are primarily determined by the types of customers they serve and the types of products and services that they offer. Each reportable segment may operate in many geographic areas. See the financial statements included elsewhere in this Annual Report on Form 10-K for further discussion and financial information related to our segments and the geographic areas in which we operate.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Availability of Information</w:t>
      </w:r>
    </w:p>
    <w:p>
      <w:pPr>
        <w:spacing w:after="0" w:line="28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make certain filings with the Securities and Exchange Commission (the “SEC”), including our Annual Report on Form 10-K, Quarterly Reports on Form 10-Q, Current Reports on Form 8-K, and all amendments and exhibits to those reports, available free of charge in the Investor Relations section of our corporate website, http://ir.buildabear.com, as soon as reasonably practicable after they are filed with the SEC. The filings are also available through the SEC at the SEC’s Public Reference Room at 100 F Street, N.E., Washington, D.C. 20549 or by calling 1-800-SEC-0330. Also, these filings are available on the internet at http://www.sec.gov. Our Annual Reports to shareholders, press releases and investor updates are also available on our website, free of charge, in the Investor Relations section or by writing to the Investor Relations department at World Bearquarters, 1954 Innerbelt Business Center Dr., St. Louis, MO 63114.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 decline in general global economic conditions could lead to disproportionately reduced consumer demand for our products, which represent relatively discretionary spending, and have an adverse effect on our liquidity and profitability.</w:t>
      </w:r>
    </w:p>
    <w:p>
      <w:pPr>
        <w:spacing w:after="0" w:line="224"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continued slowdown in the United States, Canadian or European economies or uncertainty as to the economic outlook could reduce discretionary spending or cause a shift in consumer discretionary spending to other products. Any of these factors would likely result in lower net sales and could also result in excess inventories, which could, in turn, lead to increased merchandise markdowns and related costs associated with higher levels of inventory and adversely affect our liquidity and profitability. For example, the slower economy in the United States and Europe has caused our sales to decline and led us to slow our growth plans.</w:t>
      </w:r>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decrease in the customer traffic generated by the shopping malls in which we are located, which we depend upon to attract guests to our stores, could adversely affect our financial condition and profitability.</w:t>
      </w:r>
    </w:p>
    <w:p>
      <w:pPr>
        <w:spacing w:after="0" w:line="224"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While we invest heavily in integrated marketing efforts and believe we are more of a destination location than traditional retailers, we rely to a great extent on customer traffic in the malls in which our stores are located. In order to generate guest traffic, we generally attempt to locate our stores in prominent locations within high traffic shopping malls. We rely on the ability of the malls’ anchor tenants, generally large department stores, and on the continuing popularity of malls as shopping destinations. We cannot control the development of new shopping malls, the addition or loss of anchors and co-tenants, the availability or cost of appropriate locations within existing or new shopping malls or the desirability, safety or success of shopping malls. In addition, customer mall traffic may be reduced due to a loss of consumer confidence because of the economy, terrorism or war. If we are unable to generate sufficient guest traffic, our sales and results of operations will be harmed. A significant decrease in shopping mall traffic could have a material adverse effect on our financial condition and profitability. For example, we have experienced a decline in transactions at comparable locations over the past several years.</w:t>
      </w:r>
    </w:p>
    <w:p>
      <w:pPr>
        <w:spacing w:after="0" w:line="22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are unable to generate interest in and demand for our interactive retail experience, including being able to identify and respond to consumer preferences in a timely manner, our financial condition and profitability could be adversely affected.</w:t>
      </w:r>
    </w:p>
    <w:p>
      <w:pPr>
        <w:spacing w:after="0" w:line="22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believe that our success depends in large part upon our ability to continue to attract guests with our interactive shopping experience and our ability to anticipate, gauge and respond in a timely manner to changing consumer preferences and fashion trends. We cannot assure you that our past success will be sustained or there will continue to be a demand for our “make-your-own stuffed animal” interactive experience, or for our stuffed animals, animal apparel and accessories. A decline in demand for our interactive shopping experience, our animals, animal apparel or accessories, or a misjudgment of consumer preferences or fashion trends, could have a negative impact on our business, financial condition and results of operations. For example, in 2008 we announced plans to close the Friends 2B Made concept. The closure was completed by the end of the fiscal 2009 third quarter with pre-tax charges totaling $3.9 million.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 For example, in 2007, we wrote-off $1.6 million, net of tax, of inventory, including excess Shrek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merchandise.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1" w:name="page12"/>
    <w:bookmarkEnd w:id="11"/>
    <w:p>
      <w:pPr>
        <w:ind w:right="240"/>
        <w:spacing w:after="0" w:line="277" w:lineRule="auto"/>
        <w:rPr>
          <w:sz w:val="20"/>
          <w:szCs w:val="20"/>
          <w:color w:val="auto"/>
        </w:rPr>
      </w:pPr>
      <w:r>
        <w:rPr>
          <w:rFonts w:ascii="Arial" w:cs="Arial" w:eastAsia="Arial" w:hAnsi="Arial"/>
          <w:sz w:val="18"/>
          <w:szCs w:val="18"/>
          <w:b w:val="1"/>
          <w:bCs w:val="1"/>
          <w:i w:val="1"/>
          <w:iCs w:val="1"/>
          <w:color w:val="auto"/>
        </w:rPr>
        <w:t>Our future growth and profitability could be adversely affected if our marketing and online initiatives are not effective in generating sufficient levels of brand awareness and guest traffic or if consumer preferences change significantly.</w:t>
      </w:r>
    </w:p>
    <w:p>
      <w:pPr>
        <w:spacing w:after="0" w:line="22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continue to update and evaluate our marketing initiatives, focusing on brand awareness, new product news, timely promotions and rapidly changing consumer preferences. We may not be able to successfully engage children in our virtual world website, bearville.com, achieve high enough traffic levels nor be able to leverage the site to drive traffic to our stores and choose to discontinue operating the site. Our future growth and profitability will depend in large part upon the effectiveness and efficiency of our marketing and advertising programs and future marketing and advertising efforts that we undertake, including our ability to:</w:t>
      </w:r>
    </w:p>
    <w:p>
      <w:pPr>
        <w:spacing w:after="0" w:line="242"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greater awareness of our brand, interactive shopping experience and products;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expenditures;</w:t>
      </w:r>
    </w:p>
    <w:p>
      <w:pPr>
        <w:spacing w:after="0" w:line="279" w:lineRule="exact"/>
        <w:rPr>
          <w:rFonts w:ascii="Arial" w:cs="Arial" w:eastAsia="Arial" w:hAnsi="Arial"/>
          <w:sz w:val="18"/>
          <w:szCs w:val="18"/>
          <w:color w:val="auto"/>
        </w:rPr>
      </w:pPr>
    </w:p>
    <w:p>
      <w:pPr>
        <w:ind w:left="500" w:right="72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in order to maintain acceptable operating margins and return on marketing investment;</w:t>
      </w:r>
    </w:p>
    <w:p>
      <w:pPr>
        <w:spacing w:after="0" w:line="224"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 consumer awareness into actual store visits and product purchases; and</w:t>
      </w:r>
    </w:p>
    <w:p>
      <w:pPr>
        <w:spacing w:after="0" w:line="279" w:lineRule="exact"/>
        <w:rPr>
          <w:rFonts w:ascii="Arial" w:cs="Arial" w:eastAsia="Arial" w:hAnsi="Arial"/>
          <w:sz w:val="18"/>
          <w:szCs w:val="18"/>
          <w:color w:val="auto"/>
        </w:rPr>
      </w:pPr>
    </w:p>
    <w:p>
      <w:pPr>
        <w:ind w:left="500" w:right="20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reach a level of engagement on the virtual world Web site with large numbers of unique visitors with frequent visitation that drives visits to our retail stores resulting in purchases.</w:t>
      </w:r>
    </w:p>
    <w:p>
      <w:pPr>
        <w:spacing w:after="0" w:line="17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Our planned marketing expenditures may not result in increased total or comparable store sales or generate sufficient levels of product and brand awareness. We may not be able to manage our marketing expenditures on a cost-effective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increase our comparable store sales trends, our results of operations and financial condition could be adversely affected.</w:t>
      </w:r>
    </w:p>
    <w:p>
      <w:pPr>
        <w:spacing w:after="0" w:line="29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comparable store sales for 2012 declined 3.3% following a 2.1% decline in 2011, following a 2.0% decline in 2010, a 13.4% decline in fiscal 2009 and a 14.0% decline in fiscal 2008. We believe that the decrease in 2012 was primarily attributable to a decline in transactions compared to 2011, specifically in the third quarter and the negative economic conditions in the UK that we believe contributed to a decline in consumer spending. We believe that the decrease in 2011 was primarily attributable to the underperformance of certain licensed movie products in the fourth quarter. We believe that global economic conditions continued to impact our comparable store sales in 2010. We believe that the decrease in fiscal 2009 was primarily attributable to the continued economic recession and dramatic decrease in consumer sentiment and the decline in North American shopping mall traffic. We believe that the decrease in 2008 was primarily attributable to the economic recession and decrease in consumer disposable income, a continued decline in shopping mall customer traffic and changes in media strategies, online entertainment, children’s media consumption and play patterns. We believe the principal factors that will affect comparable store results include the following:</w:t>
      </w:r>
    </w:p>
    <w:p>
      <w:pPr>
        <w:spacing w:after="0" w:line="236"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appeal of our concept;</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marketing efforts to attract new and repeat guests;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confidence and general economic conditions;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changes in governmental policies on consumer sentiment and discretionary spending levels as happened in the UK</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store closures, relocations and openings in existing markets;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new store design;</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anticipate and to respond, in a timely manner, to consumer trends;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introduction and expansion of our merchandise offerings;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mall traffic;</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for product offerings including in the online space;</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79"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As a result of these and other factors, we may not be able to generate or achieve comparable stores sales growth in the future. If we are unable to do so, our results of operations could be significantly harmed and we may be required to record significant impairment charges.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4763"/>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64" w:lineRule="auto"/>
        <w:rPr>
          <w:sz w:val="20"/>
          <w:szCs w:val="20"/>
          <w:color w:val="auto"/>
        </w:rPr>
      </w:pPr>
      <w:r>
        <w:rPr>
          <w:rFonts w:ascii="Arial" w:cs="Arial" w:eastAsia="Arial" w:hAnsi="Arial"/>
          <w:sz w:val="18"/>
          <w:szCs w:val="18"/>
          <w:b w:val="1"/>
          <w:bCs w:val="1"/>
          <w:i w:val="1"/>
          <w:iCs w:val="1"/>
          <w:color w:val="auto"/>
        </w:rPr>
        <w:t>Our strategy requires us to operate a significant number of stores in the United States, Canada, the United Kingdom and Ireland, as well as close, relocate and open store locations in these countries. If we are not able to operate these stores or to effectively manage the overall portfolio of our stores, it could adversely affect our ability to grow and could significantly harm our profitability.</w:t>
      </w:r>
    </w:p>
    <w:p>
      <w:pPr>
        <w:spacing w:after="0" w:line="235"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Our future results will largely depend on our ability to operate our stores successfully in the United States, Canada, the United Kingdom and Ireland and optimizing store productivity and profitability by closing select stores, relocating and downsizing other stores and remodeling and opening select stores in a new design. Through 2008 we had opened over 300 stores and acquired 40 in the UK. Since then we slowed net store growth considerably with one net closure in both 2009 and 2010 and three net closures in 2011, exclusive of temporary locations. In 2012, we announced a plan to reduce our store count in North America to 225 to 250 stores. We plan to achieve this with 50 to 60 additional closures by the end of 2014. This is in addition to the 10 locations closed in 2012 and 12 locations closed in 2011. Our ability to manage our portfolio of stores in future years in desirable locations and operate stores profitably, particularly in multi-store markets, is a key factor in our ability to grow successfully. We cannot assure you as to when or whether desirable locations will become available, the number of Build-A-Bear Workshop stores that we can or will ultimately open, or whether any such new or relocated stores can be profitably operated. We have not always succeeded in identifying desirable locations or in operating our stores successfully in those locations. For example, in 2012, 2011 and 2010, we closed two, five and four locations, respectively, prior to the expiration of their respective leases. Prior to 2010, we had closed four stores since our inception (excluding four stores that we closed in connection with our 2006 acquisition of Amsbra and The Bear Factory in the UK). We may decide to close other stores in the future. Our ability to successfully manage our portfolio of stores also depends on our ability to:</w:t>
      </w:r>
    </w:p>
    <w:p>
      <w:pPr>
        <w:spacing w:after="0" w:line="242"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225" w:lineRule="exact"/>
        <w:rPr>
          <w:rFonts w:ascii="Arial" w:cs="Arial" w:eastAsia="Arial" w:hAnsi="Arial"/>
          <w:sz w:val="18"/>
          <w:szCs w:val="18"/>
          <w:color w:val="auto"/>
        </w:rPr>
      </w:pPr>
    </w:p>
    <w:p>
      <w:pPr>
        <w:ind w:left="500" w:right="30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finance the costs of closing, relocating and opening stores, including, severance and termination fees for store closures and capital expenditures and working capital requirements of the new and relocated stores;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 inventory to meet the needs of new and existing stores on a timely basis;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train and retain qualified store personnel;</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cooperative relationships with our landlords;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w:t>
      </w:r>
    </w:p>
    <w:p>
      <w:pPr>
        <w:spacing w:after="0" w:line="27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July 2005, we opened our flagship store in New York City. This store is much larger than our typical mall-based stores and as such, we may be unable to generate revenues from this store at a level that justifies keeping the store open. Closing this store could not only have an adverse impact on our sales if we are unable to establish other retail locations within the market, but, as our flagship store, it could also have an adverse impact on the Build-A-Bear Workshop brand and consumer perception of our brand</w:t>
      </w:r>
      <w:r>
        <w:rPr>
          <w:rFonts w:ascii="Arial" w:cs="Arial" w:eastAsia="Arial" w:hAnsi="Arial"/>
          <w:sz w:val="18"/>
          <w:szCs w:val="18"/>
          <w:i w:val="1"/>
          <w:iCs w:val="1"/>
          <w:color w:val="auto"/>
        </w:rPr>
        <w:t>.</w:t>
      </w:r>
    </w:p>
    <w:p>
      <w:pPr>
        <w:spacing w:after="0" w:line="24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Increased demands on our operational, managerial and administrative resources as a result of our store strategy could cause us to operate our business less effectively, which in turn could cause deterioration in our profitability. Additionally, closing multiple stores could have an adverse impact on the Build-A-Bear Workshop brand and consumer perception of our brand.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operate our foreign company-owned stores in the United Kingdom and Ireland profitably.</w:t>
      </w:r>
    </w:p>
    <w:p>
      <w:pPr>
        <w:spacing w:after="0" w:line="279"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In April 2006, we acquired The Bear Factory Limited, a stuffed animal retailer in the United Kingdom owned by The Hamleys Group Limited, and Amsbra Limited, our former United Kingdom franchisee (the UK Acquisition). Both The Bear Factory and Amsbra had losses prior to our acquisition. Although we have realized some benefits from these operations as part of our larger company, we may be unable to continue to do so on a consistent basis. In particular, we face business, regulatory and cultural differences from our domestic business, such as economic conditions, changes in foreign government policies and regulations and potential restrictions and costs to convert and repatriate currency, as well as other risks that we may not anticipate. We also face difficulties realizing benefits because we have less brand awareness than in the U.S., face higher labor and rent costs, and have different holiday schedules. In 2007, we terminated our French franchise agreement and opened three company-owned stores in France. We were unable to operate the stores in France profitably and in 2010, we closed all three of our company-owned stores in France. Additionally in 2012, we recognized an impairment charge on all of the goodwill associated with our UK acquisition along with the store assets at certain store locations with poor operating results.</w:t>
      </w:r>
    </w:p>
    <w:p>
      <w:pPr>
        <w:spacing w:after="0" w:line="221"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Our leases in the United Kingdom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forecast. For example, past rent reviews have resulted in increases as high as 40% in select locations within the United Kingdom.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b w:val="1"/>
          <w:bCs w:val="1"/>
          <w:i w:val="1"/>
          <w:iCs w:val="1"/>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224" w:lineRule="exact"/>
        <w:rPr>
          <w:sz w:val="20"/>
          <w:szCs w:val="20"/>
          <w:color w:val="auto"/>
        </w:rPr>
      </w:pPr>
    </w:p>
    <w:p>
      <w:pPr>
        <w:jc w:val="both"/>
        <w:ind w:right="60" w:firstLine="486"/>
        <w:spacing w:after="0" w:line="288" w:lineRule="auto"/>
        <w:rPr>
          <w:sz w:val="20"/>
          <w:szCs w:val="20"/>
          <w:color w:val="auto"/>
        </w:rPr>
      </w:pPr>
      <w:r>
        <w:rPr>
          <w:rFonts w:ascii="Arial" w:cs="Arial" w:eastAsia="Arial" w:hAnsi="Arial"/>
          <w:sz w:val="16"/>
          <w:szCs w:val="16"/>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options or</w:t>
      </w:r>
    </w:p>
    <w:p>
      <w:pPr>
        <w:ind w:right="20"/>
        <w:spacing w:after="0" w:line="232" w:lineRule="auto"/>
        <w:rPr>
          <w:sz w:val="20"/>
          <w:szCs w:val="20"/>
          <w:color w:val="auto"/>
        </w:rPr>
      </w:pPr>
      <w:r>
        <w:rPr>
          <w:rFonts w:ascii="Arial" w:cs="Arial" w:eastAsia="Arial" w:hAnsi="Arial"/>
          <w:sz w:val="18"/>
          <w:szCs w:val="18"/>
          <w:color w:val="auto"/>
        </w:rPr>
        <w:t>ours. Furthermore, some of our leases contain various restrictions relating to change of control of our company. Our leases also subject us to risks relating to compliance with changing mall rules and the exercise of discretion by our landlords on various matters within the malls. In addition, the lease for our store in the Downtown Disney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District at the Disneyland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Resort in Anaheim, California currently expires in 2013 and we have not reached agreement on renewal terms. This lease provides that the landlord may terminate the lease at any time, subject to the payment of an early termination fee. As a result, we cannot assure you that the landlord will not exercise its right to terminate this lease.</w:t>
      </w:r>
    </w:p>
    <w:p>
      <w:pPr>
        <w:spacing w:after="0" w:line="258"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addition, most of our other leases will expire within the next ten years and many of our initial leases are near completion and do not contain options to renew. We may not be offered a lease renewal by our landlord, may not be able to renew leases under favorable economic terms or maintain our existing store location thereby requiring additional capital expenditure to move the store location within the mall. Those locations may be in parts of the mall that have less traffic or be positioned further from our desired co-tenants and our ongoing sales and profitability results may be negatively affected. The terms of new leases may not be as favorable, increasing store expenses and impacting overall profitability. If we execute termination rights, we may have expenses and charges associated with those closures which could negatively impact our profitability.</w:t>
      </w:r>
    </w:p>
    <w:p>
      <w:pPr>
        <w:spacing w:after="0" w:line="2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23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purchase our merchandise from domestic vendors who contract with manufacturers in foreign countries, primarily in China. Any event causing a disruption of imports, including the imposition of import restrictions or labor strikes or lock-outs, could adversely affect our business.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 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which would impact our revenue and profit in various markets.</w:t>
      </w:r>
    </w:p>
    <w:p>
      <w:pPr>
        <w:spacing w:after="0" w:line="2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be sued if the manufacturers of our merchandise ship any products that do not meet current safety standards or production requirements or if our products are recalled or cause injuries.</w:t>
      </w:r>
    </w:p>
    <w:p>
      <w:pPr>
        <w:spacing w:after="0" w:line="22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Although we require our manufacturers to meet our product specifications and safety standards and submit our products for testing, we cannot control the materials used by our manufacturers. If one of these manufacturers ships merchandise that does not meet our required standards, we could in turn experience negative publicity or be sued.</w:t>
      </w:r>
    </w:p>
    <w:p>
      <w:pPr>
        <w:spacing w:after="0" w:line="235"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four products in the past four years due to possible safety issues. While the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w:t>
      </w:r>
    </w:p>
    <w:p>
      <w:pPr>
        <w:spacing w:after="0" w:line="2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224"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The success of our business depends upon our senior management closely supervising all aspects of our business, in particular the operation of our stores and the design, procurement and allocation of our merchandise. Also, because guest service is a defining feature of the Build-A-Bear Workshop experience, we must be able to hire and train qualified managers and Bear Builder associates to succeed. The loss of certain key employees, our inability to attract and retain other qualified key employees or a labor shortage that reduces the pool of qualified store associates could have a material adverse effect on our business, financial condition and results of operations. We generally do not maintain key person insurance with respect to our executives.</w:t>
      </w:r>
    </w:p>
    <w:p>
      <w:pPr>
        <w:spacing w:after="0" w:line="212"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For example, in January 2013, we announced that Ms. Maxine Clark, our Founder and Chief Executive Bear (CEB) would be retiring from her position as CEB of Build-A-Bear Workshop, Inc. and that a search would be conducted to identify her replacement. Ms. Clark currently intends to remain with the company until a replacement is hired and intends to remain on our Board of Directors. The success of our business depends on our ability to attract a successor that can continue to drive the execution of the company’s strategic initiatives as well as contribute additional strategic thought leadership to our company. We may not be able to retain all senior management or associates during the transition period and integration period of the new CEB.</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788" w:gutter="0" w:footer="0" w:header="0"/>
        </w:sectPr>
      </w:pPr>
    </w:p>
    <w:bookmarkStart w:id="15" w:name="page16"/>
    <w:bookmarkEnd w:id="15"/>
    <w:p>
      <w:pPr>
        <w:ind w:right="160" w:firstLine="486"/>
        <w:spacing w:after="0" w:line="259" w:lineRule="auto"/>
        <w:rPr>
          <w:sz w:val="20"/>
          <w:szCs w:val="20"/>
          <w:color w:val="auto"/>
        </w:rPr>
      </w:pPr>
      <w:r>
        <w:rPr>
          <w:rFonts w:ascii="Arial" w:cs="Arial" w:eastAsia="Arial" w:hAnsi="Arial"/>
          <w:sz w:val="18"/>
          <w:szCs w:val="18"/>
          <w:color w:val="auto"/>
        </w:rPr>
        <w:t>We have also announced our plans to close 50 to 60 additional stores by the end of 2014. To the extent available, managers and associates will be offered opportunities at nearby stores. This may lead to higher company turnover. In addition, having fewer stores will limit promotion opportunities in the future for current associates, which may have a negative impact on our ability to retain quality employees, which may in turn have a negative impact on our results of operations.</w:t>
      </w:r>
    </w:p>
    <w:p>
      <w:pPr>
        <w:spacing w:after="0" w:line="2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224"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do not own or operate any manufacturing facilities. We purchased approximately 80% of our merchandise in fiscal 2012, approximately 81% in fiscal 2011 and approximately 73% in fiscal 2010 from three vendors. Our 2010 purchases included a significant purchase of non-proprietary toy products that were incremental to our traditional purchasing. Excluding these purchases, we purchased approximately 80% of our merchandise from three vendors. These vendors in turn contract for our orders with multiple manufacturing facilities located primarily in China for the production of merchandise.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For example in 2011, one factory used by one of our vendors closed unexpectedly, causing us to quickly switch factories for one product, affecting the quality and flow of the product.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be adversely affected by high petroleum products prices.</w:t>
      </w:r>
    </w:p>
    <w:p>
      <w:pPr>
        <w:spacing w:after="0" w:line="27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For example, our results in fiscal 2012, 2011, 2008 and 2007 were impacted by significant increases in fuel surcharges due to higher petroleum products prices.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21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are not able to franchise new stores outside of the United States, Canada, the United Kingdom and Ireland, if we are unable to effectively manage our international franchises or if the laws relating to our international franchises change, our growth and profitability could be adversely affected and we could be exposed to additional liability.</w:t>
      </w:r>
    </w:p>
    <w:p>
      <w:pPr>
        <w:spacing w:after="0" w:line="235" w:lineRule="exact"/>
        <w:rPr>
          <w:sz w:val="20"/>
          <w:szCs w:val="20"/>
          <w:color w:val="auto"/>
        </w:rPr>
      </w:pPr>
    </w:p>
    <w:p>
      <w:pPr>
        <w:ind w:right="200" w:firstLine="486"/>
        <w:spacing w:after="0" w:line="284" w:lineRule="auto"/>
        <w:rPr>
          <w:sz w:val="20"/>
          <w:szCs w:val="20"/>
          <w:color w:val="auto"/>
        </w:rPr>
      </w:pPr>
      <w:r>
        <w:rPr>
          <w:rFonts w:ascii="Arial" w:cs="Arial" w:eastAsia="Arial" w:hAnsi="Arial"/>
          <w:sz w:val="16"/>
          <w:szCs w:val="16"/>
          <w:color w:val="auto"/>
        </w:rPr>
        <w:t>In 2003, we began to expand the Build-A-Bear Workshop brand outside of the United States, opening company-owned stores in Canada and our first franchised location in the United Kingdom. We have continued to expand outside of our company-owned regions through franchising in a number of countries. As of December 29, 2012, there were 91 Build-A-Bear Workshop franchised stores located outside of the United States, Canada, the United Kingdom and Ireland. We cannot assure you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North American and European markets, which may cause these stores to be less successful than those in our existing</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markets. Additionally, our franchisees may experience financing, merchandising and distribution expenses and challenges that are different from those we currently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w:t>
      </w:r>
    </w:p>
    <w:p>
      <w:pPr>
        <w:spacing w:after="0" w:line="24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success of our franchising strategy will depend upon our ability to attract and maintain qualified franchisees with sufficient financial resources to develop and grow the franchise operation and upon the ability of those franchisees to successfully develop and operate their franchised stores. Franchisees may not operate stores in a manner consistent with our standards and requirements, may not hire and train qualified managers and other store personnel and may not operate their stores profitably. As a result, our franchising strategy may not be profitable to us. Moreover, our brand image and reputation may suffer. When franchisees perform below expectations we may transfer those agreements to other parties or discontinue the franchise agreement. Furthermore, even if our international franchising strategy is successful, the interests of franchisees might sometimes conflict with our interests. For example, whereas franchisees are concerned with their individual business strategies and objectives, we are responsible for ensuring the success of the Build-A-Bear Workshop brand and all of our stores.</w:t>
      </w:r>
    </w:p>
    <w:p>
      <w:pPr>
        <w:spacing w:after="0" w:line="246"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The laws of the various foreign countries in which our franchisees operate govern our relationships with our franchisees. These laws, and any new laws that may be enacted, may detrimentally affect the rights and obligations between us and our franchisees and could expose us to additional liability.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 w:name="page17"/>
    <w:bookmarkEnd w:id="16"/>
    <w:p>
      <w:pPr>
        <w:ind w:right="480"/>
        <w:spacing w:after="0" w:line="308" w:lineRule="auto"/>
        <w:rPr>
          <w:sz w:val="20"/>
          <w:szCs w:val="20"/>
          <w:color w:val="auto"/>
        </w:rPr>
      </w:pPr>
      <w:r>
        <w:rPr>
          <w:rFonts w:ascii="Arial" w:cs="Arial" w:eastAsia="Arial" w:hAnsi="Arial"/>
          <w:sz w:val="17"/>
          <w:szCs w:val="17"/>
          <w:b w:val="1"/>
          <w:bCs w:val="1"/>
          <w:i w:val="1"/>
          <w:iCs w:val="1"/>
          <w:color w:val="auto"/>
        </w:rPr>
        <w:t>Portions of our business are subject to privacy and security risks. If we improperly obtain, or are unable to protect, information from our guests, in violation of privacy or security laws or expectations, we could be subject to liability and damage to our reputation.</w:t>
      </w:r>
    </w:p>
    <w:p>
      <w:pPr>
        <w:spacing w:after="0" w:line="20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Web site, bearville.com</w:t>
      </w:r>
      <w:r>
        <w:rPr>
          <w:rFonts w:ascii="Arial" w:cs="Arial" w:eastAsia="Arial" w:hAnsi="Arial"/>
          <w:sz w:val="18"/>
          <w:szCs w:val="18"/>
          <w:i w:val="1"/>
          <w:iCs w:val="1"/>
          <w:color w:val="auto"/>
        </w:rPr>
        <w:t>,</w:t>
      </w:r>
      <w:r>
        <w:rPr>
          <w:rFonts w:ascii="Arial" w:cs="Arial" w:eastAsia="Arial" w:hAnsi="Arial"/>
          <w:sz w:val="18"/>
          <w:szCs w:val="18"/>
          <w:color w:val="auto"/>
        </w:rPr>
        <w:t xml:space="preserve"> features children’s games and in world e-mail and chat system. In addition, our e-commerce site, buildabear.com, features e-cards and printable party invitations and thank-you notes and provides an opportunity for children under the age of 13 to sign up, with the consent of their parent or guardian, to receive our online newsletter. We currently obtain and retain personal information about our Web site users, store shoppers and Stuff Fur Stuff loyalty program members. In addition, we obtain personal information about our guests as part of their registration in our Find-A-Bear identification system. Federal, state and foreign governments have enacted or may enact laws or regulations regarding the collection and use of personal information, with particular emphasis on the collection of information regarding minors. Such regulations include or may include requirements that companies establish procedures to:</w:t>
      </w:r>
    </w:p>
    <w:p>
      <w:pPr>
        <w:spacing w:after="0" w:line="243"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give adequate notice regarding information collection and disclosure practices;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consumers to have personal information deleted from a company’s database;</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consumers with access to their personal information and the ability to rectify inaccurate information;</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express parental consent prior to collecting and using personal information from children;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the Federal Children’s Online Privacy Protection Act.</w:t>
      </w:r>
    </w:p>
    <w:p>
      <w:pPr>
        <w:spacing w:after="0" w:line="27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Such regulation may also include enforcement and redress provisions. While we have implemented programs and procedures designed to protect the privacy of people, including children, from whom we collect information, and our websites are designed to be fully compliant with the Federal Children’s Online Privacy Protection Act, there can be no assurance that such programs will conform to all applicable laws or regulations. If we fail to fully comply, we may be subjected to liability and damage to our reputation.</w:t>
      </w:r>
    </w:p>
    <w:p>
      <w:pPr>
        <w:spacing w:after="0" w:line="187"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have a stringent, comprehensive privacy policy covering the information we collect from our guests and have established security features to protect our guest database and website. However, our security measures may not prevent security breaches. We may need to expend significant resources to protect against security breaches or to address problems caused by breaches. If unauthorized third parties were able to penetrate our network security and gain access to, or otherwise misappropriate, our guests’ personal information, it could harm our reputation and, therefore, our business and we could be subject to liability. Such liability could include claims for misuse of personal information or unauthorized use of credit cards. These claims could result in litigation, our involvement in which, regardless of the outcome, could require us to expend significant financial resources. In addition, because our guest database primarily includes personal information of young children and young children frequently interact with our website, we are potentially vulnerable to charges from parents, children’s organizations, governmental entities, and the media of engaging in inappropriate collection, distribution or other use of data collected from children. Such charges could adversely impact guest relationships and ultimately cause a decrease in net sales and also expose us to litigation and possible liability.</w:t>
      </w:r>
    </w:p>
    <w:p>
      <w:pPr>
        <w:spacing w:after="0" w:line="23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virtual world Web site, primarily for children, bearville.com, allows social interaction between users. While we have security features and chat monitoring, our security measures may not protect users’ identities and our online safety measures may be questioned which may result in negative publicity or a decrease in visitors to our site. If site users act inappropriately or seek unauthorized contact with other users of the site, it could harm our reputation and, therefore, our business and we could be subject to liability. Internet privacy is a rapidly changing area and we may be subject to future requirements and legislation that are costly to implement and negatively impact our results.</w:t>
      </w:r>
    </w:p>
    <w:p>
      <w:pPr>
        <w:spacing w:after="0" w:line="2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be sued if the manufacturers of our merchandise violate labor laws or engage in practices that our guests believe are unethical.</w:t>
      </w:r>
    </w:p>
    <w:p>
      <w:pPr>
        <w:spacing w:after="0" w:line="22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United States, we could in turn experience negative publicity or be sued.</w:t>
      </w:r>
    </w:p>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a decrease in sales or profitability if the non-proprietary toy products we sell in our stores do not meet our quality standards or fail to achieve our sales expectations.</w:t>
      </w:r>
    </w:p>
    <w:p>
      <w:pPr>
        <w:spacing w:after="0" w:line="224"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expect to expand our product assortment to include interactive toy products manufactured by other toy companies. If sales of such products do not meet our expectations or are impacted by competitors’ pricing, we may have to take markdowns or employ other strategies to liquidate the product. If other toy companies do not meet quality standards or violate any manufacturing or labor laws, we suffer negative publicity and not realize our sales plans.</w:t>
      </w:r>
    </w:p>
    <w:p>
      <w:pPr>
        <w:spacing w:after="0" w:line="2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a company-owned distribution center to service the majority of our stores in North America, and our third-party distribution center providers used in the western United States and Europe may perform poorly.</w:t>
      </w:r>
    </w:p>
    <w:p>
      <w:pPr>
        <w:spacing w:after="0" w:line="22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efficient operation of our stores is dependent on our ability to distribute merchandise to locations throughout the United States, Canada and Europe in a timely manner. We have a 350,000-square-foot distribution center in Groveport, Ohio. We rely on this company-owned distribution center to receive, store and distribute merchandise for the majority of our North America stores. We rely on third parties to manage all of the warehousing and distribution aspects of our business on the West Coast of the United States and in Europe. Any significant interruption in the operation of the distribution centers due to natural disasters and severe weather, as well as events such as fire, accidents, power outages, system failures or other unforeseen causes could damage a significant portion of our inventory. These factors may also impair our ability to adequately stock our stores and could decrease our sales and increase our costs associated with our supply chain.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44" w:right="259" w:bottom="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market share may be adversely impacted at any time by a significant number of competitors.</w:t>
      </w:r>
    </w:p>
    <w:p>
      <w:pPr>
        <w:spacing w:after="0" w:line="279"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We operate in a highly competitive environment characterized by low barriers to entry. We compete against a diverse group of competitors. Because we are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toy retailers, such as Wal-Mart, Toys “R” Us, Target, Kmart and other discount chains, as well as with a number of manufacturers that sell plush toys in the United States and Canada, including, but not limited to, Ty, Fisher Price, Mattel, Ganz, Russ Berrie, Applause, Boyds, Hasbro, Commonwealth, Gund and Vermont Teddy Bear.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currently none of these companies offers the breadth and depth of the Build-A-Bear Workshop products and experience, we cannot assure you that they will not compete directly with us in the future.</w:t>
      </w:r>
    </w:p>
    <w:p>
      <w:pPr>
        <w:spacing w:after="0" w:line="221" w:lineRule="exact"/>
        <w:rPr>
          <w:sz w:val="20"/>
          <w:szCs w:val="20"/>
          <w:color w:val="auto"/>
        </w:rPr>
      </w:pPr>
    </w:p>
    <w:p>
      <w:pPr>
        <w:ind w:right="300" w:firstLine="486"/>
        <w:spacing w:after="0" w:line="312" w:lineRule="auto"/>
        <w:rPr>
          <w:sz w:val="20"/>
          <w:szCs w:val="20"/>
          <w:color w:val="auto"/>
        </w:rPr>
      </w:pPr>
      <w:r>
        <w:rPr>
          <w:rFonts w:ascii="Arial" w:cs="Arial" w:eastAsia="Arial" w:hAnsi="Arial"/>
          <w:sz w:val="16"/>
          <w:szCs w:val="16"/>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201" w:lineRule="exact"/>
        <w:rPr>
          <w:sz w:val="20"/>
          <w:szCs w:val="20"/>
          <w:color w:val="auto"/>
        </w:rPr>
      </w:pPr>
    </w:p>
    <w:p>
      <w:pPr>
        <w:ind w:right="100" w:firstLine="486"/>
        <w:spacing w:after="0" w:line="239" w:lineRule="auto"/>
        <w:rPr>
          <w:sz w:val="20"/>
          <w:szCs w:val="20"/>
          <w:color w:val="auto"/>
        </w:rPr>
      </w:pPr>
      <w:r>
        <w:rPr>
          <w:rFonts w:ascii="Arial" w:cs="Arial" w:eastAsia="Arial" w:hAnsi="Arial"/>
          <w:sz w:val="18"/>
          <w:szCs w:val="18"/>
          <w:color w:val="auto"/>
        </w:rPr>
        <w:t>We also believe that there is an emerging trend within children’s play patterns towards electronic toys, internet and online play. According to Emarketer.com, kids aged eight to eleven reported that they spend between one and two hours online each day. We believe our Web site, bearville.com, competes with other companies and internet sites that vie for children’s attention in the online space including webkinz.com, clubpenguin.com and neopets.com. A growing number of traditional children’s toy and entertainment companies have also developed their own virtual world online play sites including Barbie.com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McWorld. We cannot assure you that children’s preferences for our products will remain strong or that our on line Web site for children, bearville.com, will be successful in attracting children to our brand. If children decide to engage with other products or Web sites, our sales will be negatively impacted and our results will be materially impacted.</w:t>
      </w:r>
    </w:p>
    <w:p>
      <w:pPr>
        <w:spacing w:after="0" w:line="26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235" w:lineRule="exact"/>
        <w:rPr>
          <w:sz w:val="20"/>
          <w:szCs w:val="20"/>
          <w:color w:val="auto"/>
        </w:rPr>
      </w:pPr>
    </w:p>
    <w:p>
      <w:pPr>
        <w:jc w:val="both"/>
        <w:ind w:right="80" w:firstLine="486"/>
        <w:spacing w:after="0" w:line="302" w:lineRule="auto"/>
        <w:rPr>
          <w:sz w:val="20"/>
          <w:szCs w:val="20"/>
          <w:color w:val="auto"/>
        </w:rPr>
      </w:pPr>
      <w:r>
        <w:rPr>
          <w:rFonts w:ascii="Arial" w:cs="Arial" w:eastAsia="Arial" w:hAnsi="Arial"/>
          <w:sz w:val="16"/>
          <w:szCs w:val="16"/>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20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 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Poor global economic conditions could have a material adverse effect on our liquidity and capital resources.</w:t>
      </w:r>
    </w:p>
    <w:p>
      <w:pPr>
        <w:spacing w:after="0" w:line="27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In 2008 and 2009, the general economic and capital market conditions in the United States and other parts of the world deteriorated significantly. These conditions adversely affected borrowers’ access to capital and increased the cost of capital. Although we believe that our capital structure and credit facilities will provide sufficient liquidity, there can be no assurance that our liquidity will not be affected by changes in the capital markets or that our capital resources will at all times be sufficient to satisfy our liquidity needs. Capital market conditions may affect the renewal or replacement of our credit agreement, which was originally entered into in 2000 and has been extended annually since then and currently expires December 31, 2014.</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quarterly results of operations could cause the price of our common stock to substantially decline.</w:t>
      </w:r>
    </w:p>
    <w:p>
      <w:pPr>
        <w:spacing w:after="0" w:line="279"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224"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or decreases in comparable store sales;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9" w:name="page20"/>
    <w:bookmarkEnd w:id="19"/>
    <w:p>
      <w:pPr>
        <w:ind w:left="500" w:hanging="330"/>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 shopping patterns, including whether the Easter holiday occurs in the first or second quarter and other school holiday schedules;</w:t>
      </w:r>
    </w:p>
    <w:p>
      <w:pPr>
        <w:spacing w:after="0" w:line="290" w:lineRule="exact"/>
        <w:rPr>
          <w:rFonts w:ascii="Arial" w:cs="Arial" w:eastAsia="Arial" w:hAnsi="Arial"/>
          <w:sz w:val="17"/>
          <w:szCs w:val="17"/>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w:t>
      </w:r>
    </w:p>
    <w:p>
      <w:pPr>
        <w:spacing w:after="0" w:line="27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pacing w:after="0" w:line="2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2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Board of Directors has implemented a $50 million share repurchase program. The program does not require the Company to repurchase any specific number of shares of our common stock,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we would like.</w:t>
      </w:r>
    </w:p>
    <w:p>
      <w:pPr>
        <w:spacing w:after="0" w:line="24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91"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279"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spacing w:after="0" w:line="224" w:lineRule="exact"/>
        <w:rPr>
          <w:rFonts w:ascii="Arial" w:cs="Arial" w:eastAsia="Arial" w:hAnsi="Arial"/>
          <w:sz w:val="18"/>
          <w:szCs w:val="18"/>
          <w:color w:val="auto"/>
        </w:rPr>
      </w:pPr>
    </w:p>
    <w:p>
      <w:pPr>
        <w:ind w:left="500" w:right="320" w:hanging="330"/>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200"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These provisions may:</w:t>
      </w:r>
    </w:p>
    <w:p>
      <w:pPr>
        <w:spacing w:after="0" w:line="279" w:lineRule="exact"/>
        <w:rPr>
          <w:rFonts w:ascii="Arial" w:cs="Arial" w:eastAsia="Arial" w:hAnsi="Arial"/>
          <w:sz w:val="17"/>
          <w:szCs w:val="17"/>
          <w:color w:val="auto"/>
        </w:rPr>
      </w:pPr>
    </w:p>
    <w:p>
      <w:pPr>
        <w:ind w:left="50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224"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13" w:gutter="0" w:footer="0" w:header="0"/>
        </w:sectPr>
      </w:pPr>
    </w:p>
    <w:bookmarkStart w:id="20" w:name="page21"/>
    <w:bookmarkEnd w:id="20"/>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8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of December 29, 2012, we operated 291 retail stores located primarily in major malls throughout the United States, Canada and Puerto Rico, 58 stores located in the United Kingdom and two stores in Ireland in our Retail segment. Our North American stores generally range in size from approximately 2,000 to 4,000 gross square feet and average approximately 2,800 square feet, while our tourist location stores currently range up to 7,000 square feet and our flagship store in New York City is approximately 20,000 square feet. Our UK stores range in size from approximately 800 to 2,300 selling square feet and average approximately 1,400 selling square feet. Our stores are highly visual and colorful featuring a teddy bear theme and larger than life details including a “sentry bear” at the front entry, custom-designed fixtures as well as a customized Build-A-Bear Workshop tile logo in our entryway. Our stores are designed to be open and inviting so that guests can fully immerse in the shopping experience and actively participate in the creation and customization of their purchase. Our typical store features one or two stuffing machines, three to five Name Me computer stations and numerous displays of fully-dressed stuffed animals throughout the store. We select malls and make site selections within the mall based upon demographic analysis, market research, site visits and mall dynamics as well as actual past history and mall performance metrics. We have identified additional target sites that meet our criteria for new stores in new and existing markets. We seek to locate our mall-based stores in areas with maximum customer traffic, often near to or in the center of the mall, as well as offering adjacencies to other children, teen and family retailers.</w:t>
      </w:r>
    </w:p>
    <w:p>
      <w:pPr>
        <w:spacing w:after="0" w:line="23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lease all of our store locations. Due to our attraction as a family-oriented entertainment destination concept, we continue to have high interest from mall owners and developers to locate a Build-A-Bear Workshop store in their malls. We believe that we generally have negotiated favorable lease terms including provisions providing for exclusivity of operation of our concept in the mall. Our stores are located in a variety of shopping center types. As of December 29, 2012, the distribution of our stores is as follows:</w:t>
      </w:r>
    </w:p>
    <w:p>
      <w:pPr>
        <w:spacing w:after="0" w:line="200" w:lineRule="exact"/>
        <w:rPr>
          <w:sz w:val="20"/>
          <w:szCs w:val="20"/>
          <w:color w:val="auto"/>
        </w:rPr>
      </w:pP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0FFFF"/>
          </w:tcPr>
          <w:p>
            <w:pPr>
              <w:spacing w:after="0"/>
              <w:rPr>
                <w:sz w:val="20"/>
                <w:szCs w:val="20"/>
                <w:color w:val="auto"/>
              </w:rPr>
            </w:pPr>
            <w:r>
              <w:rPr>
                <w:rFonts w:ascii="Arial" w:cs="Arial" w:eastAsia="Arial" w:hAnsi="Arial"/>
                <w:sz w:val="18"/>
                <w:szCs w:val="18"/>
                <w:color w:val="auto"/>
              </w:rPr>
              <w:t>Super regional center</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Regional center</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0FFFF"/>
          </w:tcPr>
          <w:p>
            <w:pPr>
              <w:spacing w:after="0"/>
              <w:rPr>
                <w:sz w:val="20"/>
                <w:szCs w:val="20"/>
                <w:color w:val="auto"/>
              </w:rPr>
            </w:pPr>
            <w:r>
              <w:rPr>
                <w:rFonts w:ascii="Arial" w:cs="Arial" w:eastAsia="Arial" w:hAnsi="Arial"/>
                <w:sz w:val="18"/>
                <w:szCs w:val="18"/>
                <w:color w:val="auto"/>
              </w:rPr>
              <w:t>Open air lifestyle center</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Outlet center (1)</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 (theme, NYC, concession)</w:t>
            </w:r>
          </w:p>
        </w:tc>
        <w:tc>
          <w:tcPr>
            <w:tcW w:w="11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Total traditional stores</w:t>
            </w: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0FFFF"/>
          </w:tcPr>
          <w:p>
            <w:pPr>
              <w:spacing w:after="0"/>
              <w:rPr>
                <w:sz w:val="20"/>
                <w:szCs w:val="20"/>
                <w:color w:val="auto"/>
              </w:rPr>
            </w:pPr>
            <w:r>
              <w:rPr>
                <w:rFonts w:ascii="Arial" w:cs="Arial" w:eastAsia="Arial" w:hAnsi="Arial"/>
                <w:sz w:val="18"/>
                <w:szCs w:val="18"/>
                <w:color w:val="auto"/>
              </w:rPr>
              <w:t>Temporary locations</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(ballparks, zoo)</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Arial" w:cs="Arial" w:eastAsia="Arial" w:hAnsi="Arial"/>
                <w:sz w:val="18"/>
                <w:szCs w:val="18"/>
                <w:color w:val="auto"/>
              </w:rPr>
              <w:t>Total company-owned retail locations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23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Build-A-Bear Workshop stores in outlet centers are not merchandised with outlet merchandise.</w:t>
      </w:r>
    </w:p>
    <w:p>
      <w:pPr>
        <w:spacing w:after="0" w:line="279"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Most of our leases have an initial term of ten years and do not have renewal options or clauses although our leases in the United Kingdom are typically covered by laws and regulations that give us priority rights of renewal. A number of our leases, primarily in North America, provide a lease termination or “kick out” option, which may be mutual, allowing either party to exercise the option in a pre-determined year or years, typically the third or fourth year and sixth or seventh year of the lease, if we do not meet certain agreed upon minimum sales levels. In addition,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Most of our leases in North America also require the payment of a fixed minimum rent as well as percentage rent based on sales in excess of agreed upon minimum annual sales levels. Our leases in the United Kingdom and Ireland typically have rent reviews every five years in which the base rental rate is adjusted to current market rates if they are higher than the original rent agreed.</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Following is a list of our 351 company-owned stores in the United States, Canada, the United Kingdom and Ireland as of December 29, 2012:</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194"/>
        </w:trPr>
        <w:tc>
          <w:tcPr>
            <w:tcW w:w="78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State</w:t>
            </w:r>
          </w:p>
        </w:tc>
        <w:tc>
          <w:tcPr>
            <w:tcW w:w="1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2"/>
              </w:rPr>
              <w:t>Stores</w:t>
            </w:r>
          </w:p>
        </w:tc>
      </w:tr>
      <w:tr>
        <w:trPr>
          <w:trHeight w:val="28"/>
        </w:trPr>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74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Alabama</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Alaska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Arizona</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California</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Connecticut</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District of Columbia</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Georgia</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Idaho</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Illinois</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Iowa</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Kentucky</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Maine</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Massachusetts</w:t>
            </w:r>
          </w:p>
        </w:tc>
        <w:tc>
          <w:tcPr>
            <w:tcW w:w="13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9</w:t>
            </w:r>
          </w:p>
        </w:tc>
      </w:tr>
    </w:tbl>
    <w:p>
      <w:pPr>
        <w:sectPr>
          <w:pgSz w:w="11900" w:h="16838" w:orient="portrait"/>
          <w:cols w:equalWidth="0" w:num="1">
            <w:col w:w="11380"/>
          </w:cols>
          <w:pgMar w:left="240" w:top="540" w:right="27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300" w:type="dxa"/>
            <w:vAlign w:val="bottom"/>
          </w:tcPr>
          <w:p>
            <w:pPr>
              <w:ind w:left="24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194"/>
        </w:trPr>
        <w:tc>
          <w:tcPr>
            <w:tcW w:w="784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State</w:t>
            </w:r>
          </w:p>
        </w:tc>
        <w:tc>
          <w:tcPr>
            <w:tcW w:w="1300" w:type="dxa"/>
            <w:vAlign w:val="bottom"/>
          </w:tcPr>
          <w:p>
            <w:pPr>
              <w:ind w:left="440"/>
              <w:spacing w:after="0" w:line="194" w:lineRule="exact"/>
              <w:rPr>
                <w:sz w:val="20"/>
                <w:szCs w:val="20"/>
                <w:color w:val="auto"/>
              </w:rPr>
            </w:pPr>
            <w:r>
              <w:rPr>
                <w:rFonts w:ascii="Arial" w:cs="Arial" w:eastAsia="Arial" w:hAnsi="Arial"/>
                <w:sz w:val="18"/>
                <w:szCs w:val="18"/>
                <w:b w:val="1"/>
                <w:bCs w:val="1"/>
                <w:color w:val="auto"/>
              </w:rPr>
              <w:t>Stores</w:t>
            </w:r>
          </w:p>
        </w:tc>
        <w:tc>
          <w:tcPr>
            <w:tcW w:w="0" w:type="dxa"/>
            <w:vAlign w:val="bottom"/>
          </w:tcPr>
          <w:p>
            <w:pPr>
              <w:spacing w:after="0"/>
              <w:rPr>
                <w:sz w:val="1"/>
                <w:szCs w:val="1"/>
                <w:color w:val="auto"/>
              </w:rPr>
            </w:pPr>
          </w:p>
        </w:tc>
      </w:tr>
      <w:tr>
        <w:trPr>
          <w:trHeight w:val="28"/>
        </w:trPr>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Michigan</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Minnesota</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Mississippi</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Missouri</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Montana</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Nebraska</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Nevada</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New Hampshire</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New Jersey</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New Mexico</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New York</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North Carolina</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Ohio</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Oklahoma</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Oregon</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Pennsylvania</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Puerto Rico</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Rhode Island</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South Carolina</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Tennessee</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Texas</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Utah</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Virginia</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Washington</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West Virginia</w:t>
            </w:r>
          </w:p>
        </w:tc>
        <w:tc>
          <w:tcPr>
            <w:tcW w:w="1300" w:type="dxa"/>
            <w:vAlign w:val="bottom"/>
            <w:shd w:val="clear" w:color="auto" w:fill="C0FFFF"/>
          </w:tcPr>
          <w:p>
            <w:pPr>
              <w:jc w:val="center"/>
              <w:ind w:left="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Wisconsin</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891"/>
        </w:trPr>
        <w:tc>
          <w:tcPr>
            <w:tcW w:w="7840" w:type="dxa"/>
            <w:vAlign w:val="bottom"/>
            <w:gridSpan w:val="6"/>
          </w:tcPr>
          <w:p>
            <w:pPr>
              <w:spacing w:after="0"/>
              <w:rPr>
                <w:sz w:val="20"/>
                <w:szCs w:val="20"/>
                <w:color w:val="auto"/>
              </w:rPr>
            </w:pPr>
            <w:r>
              <w:rPr>
                <w:rFonts w:ascii="Arial" w:cs="Arial" w:eastAsia="Arial" w:hAnsi="Arial"/>
                <w:sz w:val="18"/>
                <w:szCs w:val="18"/>
                <w:b w:val="1"/>
                <w:bCs w:val="1"/>
                <w:color w:val="auto"/>
              </w:rPr>
              <w:t>Canadian Province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Alberta</w:t>
            </w:r>
          </w:p>
        </w:tc>
        <w:tc>
          <w:tcPr>
            <w:tcW w:w="1300" w:type="dxa"/>
            <w:vAlign w:val="bottom"/>
            <w:shd w:val="clear" w:color="auto" w:fill="C0FFFF"/>
          </w:tcPr>
          <w:p>
            <w:pPr>
              <w:jc w:val="center"/>
              <w:ind w:left="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British Columbia</w:t>
            </w:r>
          </w:p>
        </w:tc>
        <w:tc>
          <w:tcPr>
            <w:tcW w:w="1300" w:type="dxa"/>
            <w:vAlign w:val="bottom"/>
          </w:tcPr>
          <w:p>
            <w:pPr>
              <w:jc w:val="center"/>
              <w:ind w:left="7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Manitoba</w:t>
            </w:r>
          </w:p>
        </w:tc>
        <w:tc>
          <w:tcPr>
            <w:tcW w:w="1300" w:type="dxa"/>
            <w:vAlign w:val="bottom"/>
            <w:shd w:val="clear" w:color="auto" w:fill="C0FFFF"/>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Nova Scotia</w:t>
            </w:r>
          </w:p>
        </w:tc>
        <w:tc>
          <w:tcPr>
            <w:tcW w:w="1300" w:type="dxa"/>
            <w:vAlign w:val="bottom"/>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Ontario</w:t>
            </w:r>
          </w:p>
        </w:tc>
        <w:tc>
          <w:tcPr>
            <w:tcW w:w="1300" w:type="dxa"/>
            <w:vAlign w:val="bottom"/>
            <w:shd w:val="clear" w:color="auto" w:fill="C0FFFF"/>
          </w:tcPr>
          <w:p>
            <w:pPr>
              <w:jc w:val="center"/>
              <w:ind w:left="7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Quebec</w:t>
            </w:r>
          </w:p>
        </w:tc>
        <w:tc>
          <w:tcPr>
            <w:tcW w:w="1300" w:type="dxa"/>
            <w:vAlign w:val="bottom"/>
          </w:tcPr>
          <w:p>
            <w:pPr>
              <w:jc w:val="center"/>
              <w:ind w:left="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Saskatchewan</w:t>
            </w:r>
          </w:p>
        </w:tc>
        <w:tc>
          <w:tcPr>
            <w:tcW w:w="1300" w:type="dxa"/>
            <w:vAlign w:val="bottom"/>
            <w:shd w:val="clear" w:color="auto" w:fill="C0FFFF"/>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United Kingdom</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England</w:t>
            </w:r>
          </w:p>
        </w:tc>
        <w:tc>
          <w:tcPr>
            <w:tcW w:w="1300" w:type="dxa"/>
            <w:vAlign w:val="bottom"/>
            <w:shd w:val="clear" w:color="auto" w:fill="C0FFFF"/>
          </w:tcPr>
          <w:p>
            <w:pPr>
              <w:jc w:val="center"/>
              <w:ind w:left="70"/>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Scotland</w:t>
            </w:r>
          </w:p>
        </w:tc>
        <w:tc>
          <w:tcPr>
            <w:tcW w:w="1300" w:type="dxa"/>
            <w:vAlign w:val="bottom"/>
          </w:tcPr>
          <w:p>
            <w:pPr>
              <w:jc w:val="center"/>
              <w:ind w:left="7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Wales</w:t>
            </w:r>
          </w:p>
        </w:tc>
        <w:tc>
          <w:tcPr>
            <w:tcW w:w="1300" w:type="dxa"/>
            <w:vAlign w:val="bottom"/>
            <w:shd w:val="clear" w:color="auto" w:fill="C0FFFF"/>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Arial" w:cs="Arial" w:eastAsia="Arial" w:hAnsi="Arial"/>
                <w:sz w:val="18"/>
                <w:szCs w:val="18"/>
                <w:color w:val="auto"/>
              </w:rPr>
              <w:t>Northern Ireland</w:t>
            </w:r>
          </w:p>
        </w:tc>
        <w:tc>
          <w:tcPr>
            <w:tcW w:w="1300" w:type="dxa"/>
            <w:vAlign w:val="bottom"/>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20" w:type="dxa"/>
            <w:vAlign w:val="bottom"/>
            <w:gridSpan w:val="5"/>
            <w:shd w:val="clear" w:color="auto" w:fill="C0FFFF"/>
          </w:tcPr>
          <w:p>
            <w:pPr>
              <w:spacing w:after="0" w:line="176" w:lineRule="exact"/>
              <w:rPr>
                <w:sz w:val="20"/>
                <w:szCs w:val="20"/>
                <w:color w:val="auto"/>
              </w:rPr>
            </w:pPr>
            <w:r>
              <w:rPr>
                <w:rFonts w:ascii="Arial" w:cs="Arial" w:eastAsia="Arial" w:hAnsi="Arial"/>
                <w:sz w:val="18"/>
                <w:szCs w:val="18"/>
                <w:b w:val="1"/>
                <w:bCs w:val="1"/>
                <w:color w:val="auto"/>
              </w:rPr>
              <w:t>Republic of Ireland</w:t>
            </w:r>
          </w:p>
        </w:tc>
        <w:tc>
          <w:tcPr>
            <w:tcW w:w="1300" w:type="dxa"/>
            <w:vAlign w:val="bottom"/>
            <w:shd w:val="clear" w:color="auto" w:fill="C0FFFF"/>
          </w:tcPr>
          <w:p>
            <w:pPr>
              <w:jc w:val="center"/>
              <w:ind w:left="7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C0FFFF"/>
          </w:tcPr>
          <w:p>
            <w:pPr>
              <w:spacing w:after="0" w:line="20" w:lineRule="exact"/>
              <w:rPr>
                <w:sz w:val="1"/>
                <w:szCs w:val="1"/>
                <w:color w:val="auto"/>
              </w:rPr>
            </w:pPr>
          </w:p>
        </w:tc>
        <w:tc>
          <w:tcPr>
            <w:tcW w:w="20" w:type="dxa"/>
            <w:vAlign w:val="bottom"/>
            <w:tcBorders>
              <w:top w:val="single" w:sz="8" w:color="auto"/>
            </w:tcBorders>
            <w:shd w:val="clear" w:color="auto" w:fill="C0FFFF"/>
          </w:tcPr>
          <w:p>
            <w:pPr>
              <w:spacing w:after="0" w:line="20" w:lineRule="exact"/>
              <w:rPr>
                <w:sz w:val="1"/>
                <w:szCs w:val="1"/>
                <w:color w:val="auto"/>
              </w:rPr>
            </w:pPr>
          </w:p>
        </w:tc>
        <w:tc>
          <w:tcPr>
            <w:tcW w:w="6340" w:type="dxa"/>
            <w:vAlign w:val="bottom"/>
            <w:tcBorders>
              <w:top w:val="single" w:sz="8" w:color="C0FFFF"/>
            </w:tcBorders>
            <w:shd w:val="clear" w:color="auto" w:fill="C0FFFF"/>
          </w:tcPr>
          <w:p>
            <w:pPr>
              <w:spacing w:after="0" w:line="20" w:lineRule="exact"/>
              <w:rPr>
                <w:sz w:val="1"/>
                <w:szCs w:val="1"/>
                <w:color w:val="auto"/>
              </w:rPr>
            </w:pPr>
          </w:p>
        </w:tc>
        <w:tc>
          <w:tcPr>
            <w:tcW w:w="13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to leasing all of our store locations, we lease approximately 59,000 square feet for our corporate headquarters, or World Bearquarters, in St. Louis, Missouri. Our World Bearquarters houses our corporate staff, our call center and our on-site training facilities. The lease was amended, effective January 1, 2008 with a six-year term, and may be extended for two additional five-year terms. In September 2006, we completed construction of a company-owned warehouse and distribution center, or Bearhouse, in Groveport, Ohio, which is utilized primarily by our Retail segment. The facility is approximately 350,000 square feet. In 2007, our web fulfillment site moved to the Bearhouse.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3" w:name="page24"/>
    <w:bookmarkEnd w:id="23"/>
    <w:p>
      <w:pPr>
        <w:ind w:firstLine="486"/>
        <w:spacing w:after="0" w:line="308" w:lineRule="auto"/>
        <w:rPr>
          <w:sz w:val="20"/>
          <w:szCs w:val="20"/>
          <w:color w:val="auto"/>
        </w:rPr>
      </w:pPr>
      <w:r>
        <w:rPr>
          <w:rFonts w:ascii="Arial" w:cs="Arial" w:eastAsia="Arial" w:hAnsi="Arial"/>
          <w:sz w:val="17"/>
          <w:szCs w:val="17"/>
          <w:color w:val="auto"/>
        </w:rPr>
        <w:t>In the United Kingdom, we lease approximately 2,000 square feet for our regional headquarters in Windsor, England. The lease commenced in August 2003. The lease can be terminated at any time by either party giving notice of termination six months prior to cancellation.</w:t>
      </w:r>
    </w:p>
    <w:p>
      <w:pPr>
        <w:spacing w:after="0" w:line="1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8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We are involved in several court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Our common stock is listed on the New York Stock Exchange (NYSE) under the symbol “BBW.” Our common stock commenced trading on the NYSE on October 28, 2004. The following table sets forth the high and low sale prices of our common stock for the periods indicated.</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Fiscal 2012</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Fiscal 2011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Low</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0FFFF"/>
          </w:tcPr>
          <w:p>
            <w:pPr>
              <w:spacing w:after="0"/>
              <w:rPr>
                <w:sz w:val="20"/>
                <w:szCs w:val="20"/>
                <w:color w:val="auto"/>
              </w:rPr>
            </w:pPr>
            <w:r>
              <w:rPr>
                <w:rFonts w:ascii="Arial" w:cs="Arial" w:eastAsia="Arial" w:hAnsi="Arial"/>
                <w:sz w:val="18"/>
                <w:szCs w:val="18"/>
                <w:color w:val="auto"/>
              </w:rPr>
              <w:t>First Quarter</w:t>
            </w:r>
          </w:p>
        </w:tc>
        <w:tc>
          <w:tcPr>
            <w:tcW w:w="15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8.73</w:t>
            </w:r>
          </w:p>
        </w:tc>
        <w:tc>
          <w:tcPr>
            <w:tcW w:w="56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5.01</w:t>
            </w:r>
          </w:p>
        </w:tc>
        <w:tc>
          <w:tcPr>
            <w:tcW w:w="4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8.66</w:t>
            </w:r>
          </w:p>
        </w:tc>
        <w:tc>
          <w:tcPr>
            <w:tcW w:w="54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Second Quarter</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0FFFF"/>
          </w:tcPr>
          <w:p>
            <w:pPr>
              <w:spacing w:after="0"/>
              <w:rPr>
                <w:sz w:val="20"/>
                <w:szCs w:val="20"/>
                <w:color w:val="auto"/>
              </w:rPr>
            </w:pPr>
            <w:r>
              <w:rPr>
                <w:rFonts w:ascii="Arial" w:cs="Arial" w:eastAsia="Arial" w:hAnsi="Arial"/>
                <w:sz w:val="18"/>
                <w:szCs w:val="18"/>
                <w:color w:val="auto"/>
              </w:rPr>
              <w:t>Third Quarter</w:t>
            </w:r>
          </w:p>
        </w:tc>
        <w:tc>
          <w:tcPr>
            <w:tcW w:w="15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5.24</w:t>
            </w:r>
          </w:p>
        </w:tc>
        <w:tc>
          <w:tcPr>
            <w:tcW w:w="56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3.82</w:t>
            </w:r>
          </w:p>
        </w:tc>
        <w:tc>
          <w:tcPr>
            <w:tcW w:w="4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6.63</w:t>
            </w:r>
          </w:p>
        </w:tc>
        <w:tc>
          <w:tcPr>
            <w:tcW w:w="54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Fourth Quarter</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of March 8, 2013, the number of holders of record of the Company’s common stock totaled approximately 2,541.</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ind w:firstLine="486"/>
        <w:spacing w:after="0" w:line="250" w:lineRule="auto"/>
        <w:rPr>
          <w:sz w:val="20"/>
          <w:szCs w:val="20"/>
          <w:color w:val="auto"/>
        </w:rPr>
      </w:pPr>
      <w:r>
        <w:rPr>
          <w:rFonts w:ascii="Arial" w:cs="Arial" w:eastAsia="Arial" w:hAnsi="Arial"/>
          <w:sz w:val="17"/>
          <w:szCs w:val="17"/>
          <w:color w:val="auto"/>
        </w:rPr>
        <w:t>The following performance graph compares the 60-month cumulative total stockholder return of our common stock, with the cumulative total return on the Russell 2000</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Index and an SEC-defined peer group of companies identified as SIC Code 5600-5699 (the “Peer Group”). The Peer Group consists of companies whose primary business is the operation of apparel and accessory retail stores. Build-A-Bear Workshop is not strictly a merchandise retailer and there is a strong interactive, entertainment component to our business which differentiates us from retailers in the Peer Group. However, in the absence of any other readily identifiable peer group, we believe the use of the Peer Group is appropriate.</w:t>
      </w:r>
    </w:p>
    <w:p>
      <w:pPr>
        <w:spacing w:after="0" w:line="24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performance graph starts on December 29, 2007 and ends on December 28, 2012, the last trading day prior to December 29, 2012, the end of our fiscal 2012. The graph assumes that $100 was invested on December 29, 2007 in each of our common stock, the Russell 2000 Index and the Peer Group, and that all dividends were reinvested.</w:t>
      </w:r>
    </w:p>
    <w:p>
      <w:pPr>
        <w:spacing w:after="0" w:line="23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These indices are included only for comparative purposes as required by SEC rules and do not necessarily reflect management’s opinion that such indices are an appropriate measure of the relative performance of our common stock. They are not intended to forecast the possible future performance of our common stock.</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5574030" cy="3302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5140" w:type="dxa"/>
            <w:vAlign w:val="bottom"/>
            <w:gridSpan w:val="9"/>
          </w:tcPr>
          <w:p>
            <w:pPr>
              <w:jc w:val="right"/>
              <w:ind w:right="1160"/>
              <w:spacing w:after="0"/>
              <w:rPr>
                <w:sz w:val="20"/>
                <w:szCs w:val="20"/>
                <w:color w:val="auto"/>
              </w:rPr>
            </w:pPr>
            <w:r>
              <w:rPr>
                <w:rFonts w:ascii="Arial" w:cs="Arial" w:eastAsia="Arial" w:hAnsi="Arial"/>
                <w:sz w:val="18"/>
                <w:szCs w:val="18"/>
                <w:b w:val="1"/>
                <w:bCs w:val="1"/>
                <w:color w:val="auto"/>
                <w:w w:val="98"/>
              </w:rPr>
              <w:t>ISSUER PURCHASES OF EQUITY SECURITIES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37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Shares (or Units)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Purchased as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(b)</w:t>
            </w: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Part of Publicly</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(or Units)</w:t>
            </w:r>
          </w:p>
        </w:tc>
        <w:tc>
          <w:tcPr>
            <w:tcW w:w="1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Paid Per Share</w:t>
            </w: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Plans</w:t>
            </w:r>
          </w:p>
        </w:tc>
      </w:tr>
      <w:tr>
        <w:trPr>
          <w:trHeight w:val="241"/>
        </w:trPr>
        <w:tc>
          <w:tcPr>
            <w:tcW w:w="37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5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7"/>
              </w:rPr>
              <w:t>(or Unit)</w:t>
            </w:r>
          </w:p>
        </w:tc>
        <w:tc>
          <w:tcPr>
            <w:tcW w:w="18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20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or Programs (2)</w:t>
            </w:r>
          </w:p>
        </w:tc>
        <w:tc>
          <w:tcPr>
            <w:tcW w:w="100" w:type="dxa"/>
            <w:vAlign w:val="bottom"/>
          </w:tcPr>
          <w:p>
            <w:pPr>
              <w:spacing w:after="0"/>
              <w:rPr>
                <w:sz w:val="20"/>
                <w:szCs w:val="20"/>
                <w:color w:val="auto"/>
              </w:rPr>
            </w:pPr>
          </w:p>
        </w:tc>
      </w:tr>
      <w:tr>
        <w:trPr>
          <w:trHeight w:val="216"/>
        </w:trPr>
        <w:tc>
          <w:tcPr>
            <w:tcW w:w="3720" w:type="dxa"/>
            <w:vAlign w:val="bottom"/>
            <w:shd w:val="clear" w:color="auto" w:fill="C0FFFF"/>
          </w:tcPr>
          <w:p>
            <w:pPr>
              <w:ind w:left="180"/>
              <w:spacing w:after="0"/>
              <w:rPr>
                <w:sz w:val="20"/>
                <w:szCs w:val="20"/>
                <w:color w:val="auto"/>
              </w:rPr>
            </w:pPr>
            <w:r>
              <w:rPr>
                <w:rFonts w:ascii="Arial" w:cs="Arial" w:eastAsia="Arial" w:hAnsi="Arial"/>
                <w:sz w:val="18"/>
                <w:szCs w:val="18"/>
                <w:b w:val="1"/>
                <w:bCs w:val="1"/>
                <w:color w:val="auto"/>
              </w:rPr>
              <w:t>Sep. 30, 2012 – Oct. 27, 2012</w:t>
            </w:r>
          </w:p>
        </w:tc>
        <w:tc>
          <w:tcPr>
            <w:tcW w:w="18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4.03</w:t>
            </w:r>
          </w:p>
        </w:tc>
        <w:tc>
          <w:tcPr>
            <w:tcW w:w="152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8,711,999</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Oct. 28, 2012 – Nov. 24, 2012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366,741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366,700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7,364,562</w:t>
            </w:r>
          </w:p>
        </w:tc>
        <w:tc>
          <w:tcPr>
            <w:tcW w:w="100" w:type="dxa"/>
            <w:vAlign w:val="bottom"/>
          </w:tcPr>
          <w:p>
            <w:pPr>
              <w:spacing w:after="0"/>
              <w:rPr>
                <w:sz w:val="18"/>
                <w:szCs w:val="18"/>
                <w:color w:val="auto"/>
              </w:rPr>
            </w:pPr>
          </w:p>
        </w:tc>
      </w:tr>
      <w:tr>
        <w:trPr>
          <w:trHeight w:val="216"/>
        </w:trPr>
        <w:tc>
          <w:tcPr>
            <w:tcW w:w="3720" w:type="dxa"/>
            <w:vAlign w:val="bottom"/>
            <w:shd w:val="clear" w:color="auto" w:fill="C0FFFF"/>
          </w:tcPr>
          <w:p>
            <w:pPr>
              <w:ind w:left="180"/>
              <w:spacing w:after="0"/>
              <w:rPr>
                <w:sz w:val="20"/>
                <w:szCs w:val="20"/>
                <w:color w:val="auto"/>
              </w:rPr>
            </w:pPr>
            <w:r>
              <w:rPr>
                <w:rFonts w:ascii="Arial" w:cs="Arial" w:eastAsia="Arial" w:hAnsi="Arial"/>
                <w:sz w:val="18"/>
                <w:szCs w:val="18"/>
                <w:b w:val="1"/>
                <w:bCs w:val="1"/>
                <w:color w:val="auto"/>
              </w:rPr>
              <w:t>Nov. 25, 2012 – Dec. 29, 2012</w:t>
            </w:r>
          </w:p>
        </w:tc>
        <w:tc>
          <w:tcPr>
            <w:tcW w:w="520" w:type="dxa"/>
            <w:vAlign w:val="bottom"/>
            <w:shd w:val="clear" w:color="auto" w:fill="C0FFFF"/>
          </w:tcPr>
          <w:p>
            <w:pPr>
              <w:spacing w:after="0"/>
              <w:rPr>
                <w:sz w:val="18"/>
                <w:szCs w:val="18"/>
                <w:color w:val="auto"/>
              </w:rPr>
            </w:pP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FFFF"/>
          </w:tcPr>
          <w:p>
            <w:pPr>
              <w:spacing w:after="0"/>
              <w:rPr>
                <w:sz w:val="18"/>
                <w:szCs w:val="18"/>
                <w:color w:val="auto"/>
              </w:rPr>
            </w:pPr>
          </w:p>
        </w:tc>
        <w:tc>
          <w:tcPr>
            <w:tcW w:w="152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7,364,562</w:t>
            </w:r>
          </w:p>
        </w:tc>
        <w:tc>
          <w:tcPr>
            <w:tcW w:w="100" w:type="dxa"/>
            <w:vAlign w:val="bottom"/>
            <w:shd w:val="clear" w:color="auto" w:fill="C0FFFF"/>
          </w:tcPr>
          <w:p>
            <w:pPr>
              <w:spacing w:after="0"/>
              <w:rPr>
                <w:sz w:val="18"/>
                <w:szCs w:val="18"/>
                <w:color w:val="auto"/>
              </w:rPr>
            </w:pPr>
          </w:p>
        </w:tc>
      </w:tr>
      <w:tr>
        <w:trPr>
          <w:trHeight w:val="27"/>
        </w:trPr>
        <w:tc>
          <w:tcPr>
            <w:tcW w:w="3720" w:type="dxa"/>
            <w:vAlign w:val="bottom"/>
            <w:shd w:val="clear" w:color="auto" w:fill="C0FFFF"/>
          </w:tcPr>
          <w:p>
            <w:pPr>
              <w:spacing w:after="0"/>
              <w:rPr>
                <w:sz w:val="2"/>
                <w:szCs w:val="2"/>
                <w:color w:val="auto"/>
              </w:rPr>
            </w:pPr>
          </w:p>
        </w:tc>
        <w:tc>
          <w:tcPr>
            <w:tcW w:w="520" w:type="dxa"/>
            <w:vAlign w:val="bottom"/>
            <w:shd w:val="clear" w:color="auto" w:fill="C0FF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366,956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366,700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3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23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00" w:hanging="492"/>
        <w:spacing w:after="0" w:line="256"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500" w:right="120" w:hanging="492"/>
        <w:spacing w:after="0" w:line="271"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February 28, 2013, we announced the further extension of our $50 million share repurchase program of our outstanding common stock until March 31, 2014.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 As of March 8, 2013, we had approximately $7.4 million of availability under the program.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No dividends were paid in 2012 or 2011. We anticipate that we will retain any future earnings to support operations, to finance the growth and development of our business and to repurchase shares of our common stock from time to time and we do not expect, at this time, to pay cash dividends in the future. Any future determination relating to our dividend policy will be made at the discretion of our board of directors and will depend on a number of factors, including future earnings, capital requirements, financial conditions, future prospects and other factors that the board of directors may deem relevant. Additionally, under our credit agreement, we are prohibited from declaring dividends without the prior consent of our lender, subject to certain exceptions, as described in “Management’s Discussion and Analysis of Financial Condition and Results of Operations — Liquidity and Capital Resources”.</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3" w:right="279" w:bottom="1440" w:gutter="0" w:footer="0" w:header="0"/>
        </w:sectPr>
      </w:pPr>
    </w:p>
    <w:bookmarkStart w:id="27" w:name="page28"/>
    <w:bookmarkEnd w:id="27"/>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8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Throughout this Annual Report on Form 10-K, we refer to our fiscal years ended December 29, 2012, December 31, 2011, January 1, 2011, January 2, 2010 and January 3, 2009, as fiscal years 2012, 2011, 2010, 2009 and 2008, respectively. Our fiscal year consists of 52 or 53 weeks, and ends on the Saturday nearest December 31 in each year. Fiscal years 2012, 2011, 2010 and 2009 included 52 weeks and fiscal year 2008 included 53 weeks. All of our fiscal quarters presented in this Annual Report on Form 10-K included 13 weeks. When we refer to our fiscal quarters, or any three month period ending as of a specified date, we are referring to the 13-week period prior to that date.</w:t>
      </w:r>
    </w:p>
    <w:p>
      <w:pPr>
        <w:spacing w:after="0" w:line="24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following table sets forth, for the periods and dates indicated, our selected consolidated financial and operating data. The balance sheet data as of December 29, 2012 and December 31, 2011 and the statement of operations and other financial data for our fiscal years ended December 29, 2012, December 31, 2011 and January 1, 2011 are derived from our audited financial statements included elsewhere in this Annual Report on Form 10-K. The balance sheet data as of January 1, 2011, January 2, 2010, and January 3, 2009, and the statement of operations and other financial data for our fiscal years ended January 2, 2010 and January 3, 2009 are derived from our audited consolidated financial statements that are not included in this Annual Report on Form 10-K. You should read our selected consolidated financial and operating data in conjunction with our consolidated financial statements and related notes and with “Management’s Discussion and Analysis of Financial Condition and Results of Operations” appearing elsewhere in this Annual Report on Form 10-K.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6"/>
              </w:rPr>
              <w:t>Fiscal Year</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0" w:type="dxa"/>
            <w:vAlign w:val="bottom"/>
            <w:gridSpan w:val="9"/>
          </w:tcPr>
          <w:p>
            <w:pPr>
              <w:jc w:val="right"/>
              <w:ind w:right="730"/>
              <w:spacing w:after="0"/>
              <w:rPr>
                <w:sz w:val="20"/>
                <w:szCs w:val="20"/>
                <w:color w:val="auto"/>
              </w:rPr>
            </w:pPr>
            <w:r>
              <w:rPr>
                <w:rFonts w:ascii="Arial" w:cs="Arial" w:eastAsia="Arial" w:hAnsi="Arial"/>
                <w:sz w:val="18"/>
                <w:szCs w:val="18"/>
                <w:b w:val="1"/>
                <w:bCs w:val="1"/>
                <w:color w:val="auto"/>
                <w:w w:val="94"/>
              </w:rPr>
              <w:t>(Dollars in thousands, except share, per share, per store and per gross square foot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Statement of income data:</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380,941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394,375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401,452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395,906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Costs and expenses:</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Cost of merchandise sold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230,181</w:t>
            </w:r>
          </w:p>
        </w:tc>
        <w:tc>
          <w:tcPr>
            <w:tcW w:w="4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234,227</w:t>
            </w:r>
          </w:p>
        </w:tc>
        <w:tc>
          <w:tcPr>
            <w:tcW w:w="2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239,556</w:t>
            </w:r>
          </w:p>
        </w:tc>
        <w:tc>
          <w:tcPr>
            <w:tcW w:w="4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247,511</w:t>
            </w:r>
          </w:p>
        </w:tc>
        <w:tc>
          <w:tcPr>
            <w:tcW w:w="4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320"/>
              <w:spacing w:after="0"/>
              <w:rPr>
                <w:sz w:val="20"/>
                <w:szCs w:val="20"/>
                <w:color w:val="auto"/>
              </w:rPr>
            </w:pPr>
            <w:r>
              <w:rPr>
                <w:rFonts w:ascii="Arial" w:cs="Arial" w:eastAsia="Arial" w:hAnsi="Arial"/>
                <w:sz w:val="18"/>
                <w:szCs w:val="18"/>
                <w:color w:val="auto"/>
                <w:w w:val="93"/>
              </w:rPr>
              <w:t>Selling, general and administrative</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165,516</w:t>
            </w:r>
          </w:p>
        </w:tc>
        <w:tc>
          <w:tcPr>
            <w:tcW w:w="42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162,881</w:t>
            </w:r>
          </w:p>
        </w:tc>
        <w:tc>
          <w:tcPr>
            <w:tcW w:w="260" w:type="dxa"/>
            <w:vAlign w:val="bottom"/>
            <w:shd w:val="clear" w:color="auto" w:fill="C0FFFF"/>
          </w:tcPr>
          <w:p>
            <w:pPr>
              <w:spacing w:after="0"/>
              <w:rPr>
                <w:sz w:val="18"/>
                <w:szCs w:val="18"/>
                <w:color w:val="auto"/>
              </w:rPr>
            </w:pPr>
          </w:p>
        </w:tc>
        <w:tc>
          <w:tcPr>
            <w:tcW w:w="14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164,618</w:t>
            </w:r>
          </w:p>
        </w:tc>
        <w:tc>
          <w:tcPr>
            <w:tcW w:w="40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161,782</w:t>
            </w:r>
          </w:p>
        </w:tc>
        <w:tc>
          <w:tcPr>
            <w:tcW w:w="4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188,018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Goodwill impairment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33,670</w:t>
            </w:r>
          </w:p>
        </w:tc>
        <w:tc>
          <w:tcPr>
            <w:tcW w:w="4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Store closing (1)</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FFFF"/>
          </w:tcPr>
          <w:p>
            <w:pPr>
              <w:spacing w:after="0"/>
              <w:rPr>
                <w:sz w:val="18"/>
                <w:szCs w:val="18"/>
                <w:color w:val="auto"/>
              </w:rPr>
            </w:pPr>
          </w:p>
        </w:tc>
        <w:tc>
          <w:tcPr>
            <w:tcW w:w="14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981</w:t>
            </w:r>
          </w:p>
        </w:tc>
        <w:tc>
          <w:tcPr>
            <w:tcW w:w="4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320"/>
              <w:spacing w:after="0" w:line="201" w:lineRule="exact"/>
              <w:rPr>
                <w:sz w:val="20"/>
                <w:szCs w:val="20"/>
                <w:color w:val="auto"/>
              </w:rPr>
            </w:pPr>
            <w:r>
              <w:rPr>
                <w:rFonts w:ascii="Arial" w:cs="Arial" w:eastAsia="Arial" w:hAnsi="Arial"/>
                <w:sz w:val="18"/>
                <w:szCs w:val="18"/>
                <w:color w:val="auto"/>
                <w:w w:val="94"/>
              </w:rPr>
              <w:t>Losses from investment in affiliate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9,615</w:t>
            </w:r>
          </w:p>
        </w:tc>
        <w:tc>
          <w:tcPr>
            <w:tcW w:w="4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Interest expense (income), net</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320" w:type="dxa"/>
            <w:vAlign w:val="bottom"/>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3</w:t>
            </w:r>
          </w:p>
        </w:tc>
        <w:tc>
          <w:tcPr>
            <w:tcW w:w="420" w:type="dxa"/>
            <w:vAlign w:val="bottom"/>
            <w:shd w:val="clear" w:color="auto" w:fill="C0FFFF"/>
          </w:tcPr>
          <w:p>
            <w:pPr>
              <w:spacing w:after="0"/>
              <w:rPr>
                <w:sz w:val="19"/>
                <w:szCs w:val="19"/>
                <w:color w:val="auto"/>
              </w:rPr>
            </w:pP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0FFFF"/>
          </w:tcPr>
          <w:p>
            <w:pPr>
              <w:spacing w:after="0"/>
              <w:rPr>
                <w:sz w:val="19"/>
                <w:szCs w:val="19"/>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0FFFF"/>
          </w:tcPr>
          <w:p>
            <w:pPr>
              <w:spacing w:after="0"/>
              <w:rPr>
                <w:sz w:val="19"/>
                <w:szCs w:val="19"/>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top w:val="single" w:sz="8" w:color="C0FFFF"/>
            </w:tcBorders>
          </w:tcPr>
          <w:p>
            <w:pPr>
              <w:ind w:left="320"/>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top w:val="single" w:sz="8" w:color="C0FF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429,370</w:t>
            </w:r>
          </w:p>
        </w:tc>
        <w:tc>
          <w:tcPr>
            <w:tcW w:w="4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397,027</w:t>
            </w: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403,924</w:t>
            </w: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419,746</w:t>
            </w: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461,089</w:t>
            </w:r>
          </w:p>
        </w:tc>
        <w:tc>
          <w:tcPr>
            <w:tcW w:w="100" w:type="dxa"/>
            <w:vAlign w:val="bottom"/>
            <w:tcBorders>
              <w:top w:val="single" w:sz="8" w:color="C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(48,429)</w:t>
            </w:r>
          </w:p>
        </w:tc>
        <w:tc>
          <w:tcPr>
            <w:tcW w:w="420" w:type="dxa"/>
            <w:vAlign w:val="bottom"/>
            <w:shd w:val="clear" w:color="auto" w:fill="C0FFFF"/>
          </w:tcPr>
          <w:p>
            <w:pPr>
              <w:spacing w:after="0"/>
              <w:rPr>
                <w:sz w:val="18"/>
                <w:szCs w:val="18"/>
                <w:color w:val="auto"/>
              </w:rPr>
            </w:pP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(2,652)</w:t>
            </w:r>
          </w:p>
        </w:tc>
        <w:tc>
          <w:tcPr>
            <w:tcW w:w="260" w:type="dxa"/>
            <w:vAlign w:val="bottom"/>
            <w:shd w:val="clear" w:color="auto" w:fill="C0FFFF"/>
          </w:tcPr>
          <w:p>
            <w:pPr>
              <w:spacing w:after="0"/>
              <w:rPr>
                <w:sz w:val="18"/>
                <w:szCs w:val="18"/>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(2,472)</w:t>
            </w:r>
          </w:p>
        </w:tc>
        <w:tc>
          <w:tcPr>
            <w:tcW w:w="40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(23,840)</w:t>
            </w:r>
          </w:p>
        </w:tc>
        <w:tc>
          <w:tcPr>
            <w:tcW w:w="4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866</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14,410</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(49,295)</w:t>
            </w:r>
          </w:p>
        </w:tc>
        <w:tc>
          <w:tcPr>
            <w:tcW w:w="4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(17,062)</w:t>
            </w:r>
          </w:p>
        </w:tc>
        <w:tc>
          <w:tcPr>
            <w:tcW w:w="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(12,473)</w:t>
            </w:r>
          </w:p>
        </w:tc>
        <w:tc>
          <w:tcPr>
            <w:tcW w:w="40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Earnings (loss) per common share:</w:t>
            </w: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(3.02)</w:t>
            </w:r>
          </w:p>
        </w:tc>
        <w:tc>
          <w:tcPr>
            <w:tcW w:w="4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(0.66)</w:t>
            </w:r>
          </w:p>
        </w:tc>
        <w:tc>
          <w:tcPr>
            <w:tcW w:w="40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1"/>
              </w:rPr>
              <w:t>Shares used in computing common per</w:t>
            </w:r>
          </w:p>
        </w:tc>
        <w:tc>
          <w:tcPr>
            <w:tcW w:w="8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320" w:type="dxa"/>
            <w:vAlign w:val="bottom"/>
            <w:shd w:val="clear" w:color="auto" w:fill="C0FFFF"/>
          </w:tcPr>
          <w:p>
            <w:pPr>
              <w:spacing w:after="0"/>
              <w:rPr>
                <w:sz w:val="17"/>
                <w:szCs w:val="17"/>
                <w:color w:val="auto"/>
              </w:rPr>
            </w:pPr>
          </w:p>
        </w:tc>
        <w:tc>
          <w:tcPr>
            <w:tcW w:w="420" w:type="dxa"/>
            <w:vAlign w:val="bottom"/>
            <w:shd w:val="clear" w:color="auto" w:fill="C0FFFF"/>
          </w:tcPr>
          <w:p>
            <w:pPr>
              <w:spacing w:after="0"/>
              <w:rPr>
                <w:sz w:val="17"/>
                <w:szCs w:val="17"/>
                <w:color w:val="auto"/>
              </w:rPr>
            </w:pPr>
          </w:p>
        </w:tc>
        <w:tc>
          <w:tcPr>
            <w:tcW w:w="1320" w:type="dxa"/>
            <w:vAlign w:val="bottom"/>
            <w:shd w:val="clear" w:color="auto" w:fill="C0FFFF"/>
          </w:tcPr>
          <w:p>
            <w:pPr>
              <w:spacing w:after="0"/>
              <w:rPr>
                <w:sz w:val="17"/>
                <w:szCs w:val="17"/>
                <w:color w:val="auto"/>
              </w:rPr>
            </w:pPr>
          </w:p>
        </w:tc>
        <w:tc>
          <w:tcPr>
            <w:tcW w:w="26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40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40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share amounts:</w:t>
            </w:r>
          </w:p>
        </w:tc>
        <w:tc>
          <w:tcPr>
            <w:tcW w:w="8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320" w:type="dxa"/>
            <w:vAlign w:val="bottom"/>
            <w:shd w:val="clear" w:color="auto" w:fill="C0FFFF"/>
          </w:tcPr>
          <w:p>
            <w:pPr>
              <w:spacing w:after="0"/>
              <w:rPr>
                <w:sz w:val="20"/>
                <w:szCs w:val="20"/>
                <w:color w:val="auto"/>
              </w:rPr>
            </w:pPr>
          </w:p>
        </w:tc>
        <w:tc>
          <w:tcPr>
            <w:tcW w:w="420" w:type="dxa"/>
            <w:vAlign w:val="bottom"/>
            <w:shd w:val="clear" w:color="auto" w:fill="C0FFFF"/>
          </w:tcPr>
          <w:p>
            <w:pPr>
              <w:spacing w:after="0"/>
              <w:rPr>
                <w:sz w:val="20"/>
                <w:szCs w:val="20"/>
                <w:color w:val="auto"/>
              </w:rPr>
            </w:pPr>
          </w:p>
        </w:tc>
        <w:tc>
          <w:tcPr>
            <w:tcW w:w="13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1440" w:type="dxa"/>
            <w:vAlign w:val="bottom"/>
            <w:shd w:val="clear" w:color="auto" w:fill="C0FFFF"/>
          </w:tcPr>
          <w:p>
            <w:pPr>
              <w:spacing w:after="0"/>
              <w:rPr>
                <w:sz w:val="20"/>
                <w:szCs w:val="20"/>
                <w:color w:val="auto"/>
              </w:rPr>
            </w:pPr>
          </w:p>
        </w:tc>
        <w:tc>
          <w:tcPr>
            <w:tcW w:w="400" w:type="dxa"/>
            <w:vAlign w:val="bottom"/>
            <w:shd w:val="clear" w:color="auto" w:fill="C0FFFF"/>
          </w:tcPr>
          <w:p>
            <w:pPr>
              <w:spacing w:after="0"/>
              <w:rPr>
                <w:sz w:val="20"/>
                <w:szCs w:val="20"/>
                <w:color w:val="auto"/>
              </w:rPr>
            </w:pPr>
          </w:p>
        </w:tc>
        <w:tc>
          <w:tcPr>
            <w:tcW w:w="1280" w:type="dxa"/>
            <w:vAlign w:val="bottom"/>
            <w:shd w:val="clear" w:color="auto" w:fill="C0FFFF"/>
          </w:tcPr>
          <w:p>
            <w:pPr>
              <w:spacing w:after="0"/>
              <w:rPr>
                <w:sz w:val="20"/>
                <w:szCs w:val="20"/>
                <w:color w:val="auto"/>
              </w:rPr>
            </w:pPr>
          </w:p>
        </w:tc>
        <w:tc>
          <w:tcPr>
            <w:tcW w:w="400" w:type="dxa"/>
            <w:vAlign w:val="bottom"/>
            <w:shd w:val="clear" w:color="auto" w:fill="C0FFFF"/>
          </w:tcPr>
          <w:p>
            <w:pPr>
              <w:spacing w:after="0"/>
              <w:rPr>
                <w:sz w:val="20"/>
                <w:szCs w:val="20"/>
                <w:color w:val="auto"/>
              </w:rPr>
            </w:pPr>
          </w:p>
        </w:tc>
        <w:tc>
          <w:tcPr>
            <w:tcW w:w="116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16,331,672</w:t>
            </w:r>
          </w:p>
        </w:tc>
        <w:tc>
          <w:tcPr>
            <w:tcW w:w="4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17,371,315</w:t>
            </w:r>
          </w:p>
        </w:tc>
        <w:tc>
          <w:tcPr>
            <w:tcW w:w="2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18,601,465</w:t>
            </w:r>
          </w:p>
        </w:tc>
        <w:tc>
          <w:tcPr>
            <w:tcW w:w="4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18,874,352</w:t>
            </w:r>
          </w:p>
        </w:tc>
        <w:tc>
          <w:tcPr>
            <w:tcW w:w="4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19,153,123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16,331,672</w:t>
            </w:r>
          </w:p>
        </w:tc>
        <w:tc>
          <w:tcPr>
            <w:tcW w:w="42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17,371,315</w:t>
            </w:r>
          </w:p>
        </w:tc>
        <w:tc>
          <w:tcPr>
            <w:tcW w:w="260" w:type="dxa"/>
            <w:vAlign w:val="bottom"/>
            <w:shd w:val="clear" w:color="auto" w:fill="C0FFFF"/>
          </w:tcPr>
          <w:p>
            <w:pPr>
              <w:spacing w:after="0"/>
              <w:rPr>
                <w:sz w:val="18"/>
                <w:szCs w:val="18"/>
                <w:color w:val="auto"/>
              </w:rPr>
            </w:pPr>
          </w:p>
        </w:tc>
        <w:tc>
          <w:tcPr>
            <w:tcW w:w="14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18,653,012</w:t>
            </w:r>
          </w:p>
        </w:tc>
        <w:tc>
          <w:tcPr>
            <w:tcW w:w="40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18,874,352</w:t>
            </w:r>
          </w:p>
        </w:tc>
        <w:tc>
          <w:tcPr>
            <w:tcW w:w="4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19,224,273</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2010</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580" w:type="dxa"/>
            <w:vAlign w:val="bottom"/>
            <w:gridSpan w:val="9"/>
          </w:tcPr>
          <w:p>
            <w:pPr>
              <w:jc w:val="center"/>
              <w:ind w:right="190"/>
              <w:spacing w:after="0"/>
              <w:rPr>
                <w:sz w:val="20"/>
                <w:szCs w:val="20"/>
                <w:color w:val="auto"/>
              </w:rPr>
            </w:pPr>
            <w:r>
              <w:rPr>
                <w:rFonts w:ascii="Arial" w:cs="Arial" w:eastAsia="Arial" w:hAnsi="Arial"/>
                <w:sz w:val="18"/>
                <w:szCs w:val="18"/>
                <w:b w:val="1"/>
                <w:bCs w:val="1"/>
                <w:color w:val="auto"/>
                <w:w w:val="88"/>
              </w:rPr>
              <w:t>(Dollars in thousands, except share, per share, per store and per gross square foot data)</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Retail gross margin ($) (3)</w:t>
            </w:r>
          </w:p>
        </w:tc>
        <w:tc>
          <w:tcPr>
            <w:tcW w:w="4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145,687</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154,468</w:t>
            </w:r>
          </w:p>
        </w:tc>
        <w:tc>
          <w:tcPr>
            <w:tcW w:w="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155,128</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142,572</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190,500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Retail gross margin (%) (3)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38.9%</w:t>
            </w:r>
          </w:p>
        </w:tc>
        <w:tc>
          <w:tcPr>
            <w:tcW w:w="3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 expenditures, net (4)</w:t>
            </w:r>
          </w:p>
        </w:tc>
        <w:tc>
          <w:tcPr>
            <w:tcW w:w="4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17,268</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12,248</w:t>
            </w:r>
          </w:p>
        </w:tc>
        <w:tc>
          <w:tcPr>
            <w:tcW w:w="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14,649</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8,148</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21,422</w:t>
            </w: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24,232</w:t>
            </w:r>
          </w:p>
        </w:tc>
        <w:tc>
          <w:tcPr>
            <w:tcW w:w="22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26,976</w:t>
            </w:r>
          </w:p>
        </w:tc>
        <w:tc>
          <w:tcPr>
            <w:tcW w:w="34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28,487</w:t>
            </w: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28,883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rPr>
              <w:t>Cash flows provided by operating</w:t>
            </w:r>
          </w:p>
        </w:tc>
        <w:tc>
          <w:tcPr>
            <w:tcW w:w="400" w:type="dxa"/>
            <w:vAlign w:val="bottom"/>
            <w:gridSpan w:val="2"/>
            <w:vMerge w:val="restart"/>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14,864</w:t>
            </w:r>
          </w:p>
        </w:tc>
        <w:tc>
          <w:tcPr>
            <w:tcW w:w="34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2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30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0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0FFFF"/>
          </w:tcPr>
          <w:p>
            <w:pPr>
              <w:spacing w:after="0"/>
              <w:rPr>
                <w:sz w:val="20"/>
                <w:szCs w:val="20"/>
                <w:color w:val="auto"/>
              </w:rPr>
            </w:pPr>
            <w:r>
              <w:rPr>
                <w:rFonts w:ascii="Arial" w:cs="Arial" w:eastAsia="Arial" w:hAnsi="Arial"/>
                <w:sz w:val="18"/>
                <w:szCs w:val="18"/>
                <w:color w:val="auto"/>
              </w:rPr>
              <w:t>activities</w:t>
            </w:r>
          </w:p>
        </w:tc>
        <w:tc>
          <w:tcPr>
            <w:tcW w:w="400" w:type="dxa"/>
            <w:vAlign w:val="bottom"/>
            <w:gridSpan w:val="2"/>
            <w:vMerge w:val="continue"/>
            <w:shd w:val="clear" w:color="auto" w:fill="C0FFFF"/>
          </w:tcPr>
          <w:p>
            <w:pPr>
              <w:spacing w:after="0"/>
              <w:rPr>
                <w:sz w:val="20"/>
                <w:szCs w:val="20"/>
                <w:color w:val="auto"/>
              </w:rPr>
            </w:pPr>
          </w:p>
        </w:tc>
        <w:tc>
          <w:tcPr>
            <w:tcW w:w="1320" w:type="dxa"/>
            <w:vAlign w:val="bottom"/>
            <w:vMerge w:val="continue"/>
            <w:shd w:val="clear" w:color="auto" w:fill="C0FFFF"/>
          </w:tcPr>
          <w:p>
            <w:pPr>
              <w:spacing w:after="0"/>
              <w:rPr>
                <w:sz w:val="20"/>
                <w:szCs w:val="20"/>
                <w:color w:val="auto"/>
              </w:rPr>
            </w:pP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16,010</w:t>
            </w:r>
          </w:p>
        </w:tc>
        <w:tc>
          <w:tcPr>
            <w:tcW w:w="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22,021</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23,990</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Cash flows used in investing activities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(15,096)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(13,318)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(13,766)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(8,898)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(26,629)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rPr>
              <w:t>Cash flows provided by (used in)</w:t>
            </w:r>
          </w:p>
        </w:tc>
        <w:tc>
          <w:tcPr>
            <w:tcW w:w="400" w:type="dxa"/>
            <w:vAlign w:val="bottom"/>
            <w:gridSpan w:val="2"/>
            <w:vMerge w:val="restart"/>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0FFFF"/>
          </w:tcPr>
          <w:p>
            <w:pPr>
              <w:jc w:val="right"/>
              <w:ind w:right="150"/>
              <w:spacing w:after="0"/>
              <w:rPr>
                <w:sz w:val="20"/>
                <w:szCs w:val="20"/>
                <w:color w:val="auto"/>
              </w:rPr>
            </w:pPr>
            <w:r>
              <w:rPr>
                <w:rFonts w:ascii="Arial" w:cs="Arial" w:eastAsia="Arial" w:hAnsi="Arial"/>
                <w:sz w:val="18"/>
                <w:szCs w:val="18"/>
                <w:b w:val="1"/>
                <w:bCs w:val="1"/>
                <w:color w:val="auto"/>
              </w:rPr>
              <w:t>(1,224)</w:t>
            </w:r>
          </w:p>
        </w:tc>
        <w:tc>
          <w:tcPr>
            <w:tcW w:w="34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2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30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0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0FFFF"/>
          </w:tcPr>
          <w:p>
            <w:pPr>
              <w:spacing w:after="0"/>
              <w:rPr>
                <w:sz w:val="20"/>
                <w:szCs w:val="20"/>
                <w:color w:val="auto"/>
              </w:rPr>
            </w:pPr>
            <w:r>
              <w:rPr>
                <w:rFonts w:ascii="Arial" w:cs="Arial" w:eastAsia="Arial" w:hAnsi="Arial"/>
                <w:sz w:val="18"/>
                <w:szCs w:val="18"/>
                <w:color w:val="auto"/>
              </w:rPr>
              <w:t>financing activities</w:t>
            </w:r>
          </w:p>
        </w:tc>
        <w:tc>
          <w:tcPr>
            <w:tcW w:w="400" w:type="dxa"/>
            <w:vAlign w:val="bottom"/>
            <w:gridSpan w:val="2"/>
            <w:vMerge w:val="continue"/>
            <w:shd w:val="clear" w:color="auto" w:fill="C0FFFF"/>
          </w:tcPr>
          <w:p>
            <w:pPr>
              <w:spacing w:after="0"/>
              <w:rPr>
                <w:sz w:val="20"/>
                <w:szCs w:val="20"/>
                <w:color w:val="auto"/>
              </w:rPr>
            </w:pPr>
          </w:p>
        </w:tc>
        <w:tc>
          <w:tcPr>
            <w:tcW w:w="1320" w:type="dxa"/>
            <w:vAlign w:val="bottom"/>
            <w:vMerge w:val="continue"/>
            <w:shd w:val="clear" w:color="auto" w:fill="C0FFFF"/>
          </w:tcPr>
          <w:p>
            <w:pPr>
              <w:spacing w:after="0"/>
              <w:rPr>
                <w:sz w:val="20"/>
                <w:szCs w:val="20"/>
                <w:color w:val="auto"/>
              </w:rPr>
            </w:pP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(14,587)</w:t>
            </w:r>
          </w:p>
        </w:tc>
        <w:tc>
          <w:tcPr>
            <w:tcW w:w="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(7,216)</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(14,024)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Store data (5):</w:t>
            </w: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Number of stores at end of period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680"/>
              <w:spacing w:after="0"/>
              <w:rPr>
                <w:sz w:val="20"/>
                <w:szCs w:val="20"/>
                <w:color w:val="auto"/>
              </w:rPr>
            </w:pPr>
            <w:r>
              <w:rPr>
                <w:rFonts w:ascii="Arial" w:cs="Arial" w:eastAsia="Arial" w:hAnsi="Arial"/>
                <w:sz w:val="18"/>
                <w:szCs w:val="18"/>
                <w:color w:val="auto"/>
              </w:rPr>
              <w:t>North America - Traditional</w:t>
            </w: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283</w:t>
            </w: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290</w:t>
            </w: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680"/>
              <w:spacing w:after="0"/>
              <w:rPr>
                <w:sz w:val="20"/>
                <w:szCs w:val="20"/>
                <w:color w:val="auto"/>
              </w:rPr>
            </w:pPr>
            <w:r>
              <w:rPr>
                <w:rFonts w:ascii="Arial" w:cs="Arial" w:eastAsia="Arial" w:hAnsi="Arial"/>
                <w:sz w:val="18"/>
                <w:szCs w:val="18"/>
                <w:color w:val="auto"/>
              </w:rPr>
              <w:t>North America - Non-traditional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840"/>
              <w:spacing w:after="0"/>
              <w:rPr>
                <w:sz w:val="20"/>
                <w:szCs w:val="20"/>
                <w:color w:val="auto"/>
              </w:rPr>
            </w:pPr>
            <w:r>
              <w:rPr>
                <w:rFonts w:ascii="Arial" w:cs="Arial" w:eastAsia="Arial" w:hAnsi="Arial"/>
                <w:sz w:val="18"/>
                <w:szCs w:val="18"/>
                <w:color w:val="auto"/>
              </w:rPr>
              <w:t>Total North America</w:t>
            </w: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291</w:t>
            </w: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305</w:t>
            </w: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296</w:t>
            </w:r>
          </w:p>
        </w:tc>
        <w:tc>
          <w:tcPr>
            <w:tcW w:w="3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68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60</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1300"/>
              <w:spacing w:after="0"/>
              <w:rPr>
                <w:sz w:val="20"/>
                <w:szCs w:val="20"/>
                <w:color w:val="auto"/>
              </w:rPr>
            </w:pPr>
            <w:r>
              <w:rPr>
                <w:rFonts w:ascii="Arial" w:cs="Arial" w:eastAsia="Arial" w:hAnsi="Arial"/>
                <w:sz w:val="18"/>
                <w:szCs w:val="18"/>
                <w:color w:val="auto"/>
              </w:rPr>
              <w:t>Total stores</w:t>
            </w: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351</w:t>
            </w: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Square footage at end of period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680"/>
              <w:spacing w:after="0"/>
              <w:rPr>
                <w:sz w:val="20"/>
                <w:szCs w:val="20"/>
                <w:color w:val="auto"/>
              </w:rPr>
            </w:pPr>
            <w:r>
              <w:rPr>
                <w:rFonts w:ascii="Arial" w:cs="Arial" w:eastAsia="Arial" w:hAnsi="Arial"/>
                <w:sz w:val="18"/>
                <w:szCs w:val="18"/>
                <w:color w:val="auto"/>
              </w:rPr>
              <w:t>North America - Traditional</w:t>
            </w: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805,770</w:t>
            </w: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829,449</w:t>
            </w: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841,600</w:t>
            </w: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846,373</w:t>
            </w:r>
          </w:p>
        </w:tc>
        <w:tc>
          <w:tcPr>
            <w:tcW w:w="3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856,504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680"/>
              <w:spacing w:after="0"/>
              <w:rPr>
                <w:sz w:val="20"/>
                <w:szCs w:val="20"/>
                <w:color w:val="auto"/>
              </w:rPr>
            </w:pPr>
            <w:r>
              <w:rPr>
                <w:rFonts w:ascii="Arial" w:cs="Arial" w:eastAsia="Arial" w:hAnsi="Arial"/>
                <w:sz w:val="18"/>
                <w:szCs w:val="18"/>
                <w:color w:val="auto"/>
              </w:rPr>
              <w:t>North America - Non-traditional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12,610</w:t>
            </w: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18,956</w:t>
            </w:r>
          </w:p>
        </w:tc>
        <w:tc>
          <w:tcPr>
            <w:tcW w:w="22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32,950</w:t>
            </w:r>
          </w:p>
        </w:tc>
        <w:tc>
          <w:tcPr>
            <w:tcW w:w="34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4,533</w:t>
            </w: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840"/>
              <w:spacing w:after="0"/>
              <w:rPr>
                <w:sz w:val="20"/>
                <w:szCs w:val="20"/>
                <w:color w:val="auto"/>
              </w:rPr>
            </w:pPr>
            <w:r>
              <w:rPr>
                <w:rFonts w:ascii="Arial" w:cs="Arial" w:eastAsia="Arial" w:hAnsi="Arial"/>
                <w:sz w:val="18"/>
                <w:szCs w:val="18"/>
                <w:color w:val="auto"/>
              </w:rPr>
              <w:t>Total North America</w:t>
            </w: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818,380</w:t>
            </w: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848,405</w:t>
            </w: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874,550</w:t>
            </w: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850,906</w:t>
            </w:r>
          </w:p>
        </w:tc>
        <w:tc>
          <w:tcPr>
            <w:tcW w:w="3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861,037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680"/>
              <w:spacing w:after="0"/>
              <w:rPr>
                <w:sz w:val="20"/>
                <w:szCs w:val="20"/>
                <w:color w:val="auto"/>
              </w:rPr>
            </w:pPr>
            <w:r>
              <w:rPr>
                <w:rFonts w:ascii="Arial" w:cs="Arial" w:eastAsia="Arial" w:hAnsi="Arial"/>
                <w:sz w:val="18"/>
                <w:szCs w:val="18"/>
                <w:color w:val="auto"/>
              </w:rPr>
              <w:t>Europe (6)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86,331</w:t>
            </w: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83,911</w:t>
            </w:r>
          </w:p>
        </w:tc>
        <w:tc>
          <w:tcPr>
            <w:tcW w:w="22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77,520</w:t>
            </w:r>
          </w:p>
        </w:tc>
        <w:tc>
          <w:tcPr>
            <w:tcW w:w="34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77,520</w:t>
            </w: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1300"/>
              <w:spacing w:after="0"/>
              <w:rPr>
                <w:sz w:val="20"/>
                <w:szCs w:val="20"/>
                <w:color w:val="auto"/>
              </w:rPr>
            </w:pPr>
            <w:r>
              <w:rPr>
                <w:rFonts w:ascii="Arial" w:cs="Arial" w:eastAsia="Arial" w:hAnsi="Arial"/>
                <w:sz w:val="18"/>
                <w:szCs w:val="18"/>
                <w:color w:val="auto"/>
              </w:rPr>
              <w:t>Total square footage</w:t>
            </w: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904,711</w:t>
            </w: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932,316</w:t>
            </w: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952,070</w:t>
            </w: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928,426</w:t>
            </w:r>
          </w:p>
        </w:tc>
        <w:tc>
          <w:tcPr>
            <w:tcW w:w="3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938,557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160"/>
              <w:spacing w:after="0" w:line="201" w:lineRule="exact"/>
              <w:rPr>
                <w:sz w:val="20"/>
                <w:szCs w:val="20"/>
                <w:color w:val="auto"/>
              </w:rPr>
            </w:pPr>
            <w:r>
              <w:rPr>
                <w:rFonts w:ascii="Arial" w:cs="Arial" w:eastAsia="Arial" w:hAnsi="Arial"/>
                <w:sz w:val="18"/>
                <w:szCs w:val="18"/>
                <w:color w:val="auto"/>
                <w:w w:val="93"/>
              </w:rPr>
              <w:t>Average net retail sales per store - North</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1,003</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320"/>
              <w:spacing w:after="0"/>
              <w:rPr>
                <w:sz w:val="20"/>
                <w:szCs w:val="20"/>
                <w:color w:val="auto"/>
              </w:rPr>
            </w:pPr>
            <w:r>
              <w:rPr>
                <w:rFonts w:ascii="Arial" w:cs="Arial" w:eastAsia="Arial" w:hAnsi="Arial"/>
                <w:sz w:val="18"/>
                <w:szCs w:val="18"/>
                <w:color w:val="auto"/>
              </w:rPr>
              <w:t>America (7) (8)</w:t>
            </w:r>
          </w:p>
        </w:tc>
        <w:tc>
          <w:tcPr>
            <w:tcW w:w="400" w:type="dxa"/>
            <w:vAlign w:val="bottom"/>
            <w:gridSpan w:val="2"/>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1,021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1,030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1,044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w w:val="98"/>
              </w:rPr>
              <w:t>Net retail sales per gross square foot -</w:t>
            </w:r>
          </w:p>
        </w:tc>
        <w:tc>
          <w:tcPr>
            <w:tcW w:w="400" w:type="dxa"/>
            <w:vAlign w:val="bottom"/>
            <w:gridSpan w:val="2"/>
            <w:vMerge w:val="restart"/>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350</w:t>
            </w:r>
          </w:p>
        </w:tc>
        <w:tc>
          <w:tcPr>
            <w:tcW w:w="34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2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30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0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North America (8) (9)</w:t>
            </w:r>
          </w:p>
        </w:tc>
        <w:tc>
          <w:tcPr>
            <w:tcW w:w="400" w:type="dxa"/>
            <w:vAlign w:val="bottom"/>
            <w:gridSpan w:val="2"/>
            <w:vMerge w:val="continue"/>
            <w:shd w:val="clear" w:color="auto" w:fill="C0FFFF"/>
          </w:tcPr>
          <w:p>
            <w:pPr>
              <w:spacing w:after="0"/>
              <w:rPr>
                <w:sz w:val="20"/>
                <w:szCs w:val="20"/>
                <w:color w:val="auto"/>
              </w:rPr>
            </w:pPr>
          </w:p>
        </w:tc>
        <w:tc>
          <w:tcPr>
            <w:tcW w:w="1320" w:type="dxa"/>
            <w:vAlign w:val="bottom"/>
            <w:vMerge w:val="continue"/>
            <w:shd w:val="clear" w:color="auto" w:fill="C0FFFF"/>
          </w:tcPr>
          <w:p>
            <w:pPr>
              <w:spacing w:after="0"/>
              <w:rPr>
                <w:sz w:val="20"/>
                <w:szCs w:val="20"/>
                <w:color w:val="auto"/>
              </w:rPr>
            </w:pP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356</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358</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160"/>
              <w:spacing w:after="0" w:line="201" w:lineRule="exact"/>
              <w:rPr>
                <w:sz w:val="20"/>
                <w:szCs w:val="20"/>
                <w:color w:val="auto"/>
              </w:rPr>
            </w:pPr>
            <w:r>
              <w:rPr>
                <w:rFonts w:ascii="Arial" w:cs="Arial" w:eastAsia="Arial" w:hAnsi="Arial"/>
                <w:sz w:val="18"/>
                <w:szCs w:val="18"/>
                <w:color w:val="auto"/>
              </w:rPr>
              <w:t>Consolidated comparable store sales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320"/>
              <w:spacing w:after="0"/>
              <w:rPr>
                <w:sz w:val="20"/>
                <w:szCs w:val="20"/>
                <w:color w:val="auto"/>
              </w:rPr>
            </w:pPr>
            <w:r>
              <w:rPr>
                <w:rFonts w:ascii="Arial" w:cs="Arial" w:eastAsia="Arial" w:hAnsi="Arial"/>
                <w:sz w:val="18"/>
                <w:szCs w:val="18"/>
                <w:color w:val="auto"/>
              </w:rPr>
              <w:t>change (%) (10)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45,171</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46,367</w:t>
            </w:r>
          </w:p>
        </w:tc>
        <w:tc>
          <w:tcPr>
            <w:tcW w:w="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58,755</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60,399</w:t>
            </w:r>
          </w:p>
        </w:tc>
        <w:tc>
          <w:tcPr>
            <w:tcW w:w="34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30,503</w:t>
            </w: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37,610</w:t>
            </w:r>
          </w:p>
        </w:tc>
        <w:tc>
          <w:tcPr>
            <w:tcW w:w="22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51,671</w:t>
            </w:r>
          </w:p>
        </w:tc>
        <w:tc>
          <w:tcPr>
            <w:tcW w:w="34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53,865</w:t>
            </w: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210"/>
              <w:spacing w:after="0"/>
              <w:rPr>
                <w:sz w:val="20"/>
                <w:szCs w:val="20"/>
                <w:color w:val="auto"/>
              </w:rPr>
            </w:pPr>
            <w:r>
              <w:rPr>
                <w:rFonts w:ascii="Arial" w:cs="Arial" w:eastAsia="Arial" w:hAnsi="Arial"/>
                <w:sz w:val="18"/>
                <w:szCs w:val="18"/>
                <w:b w:val="1"/>
                <w:bCs w:val="1"/>
                <w:color w:val="auto"/>
              </w:rPr>
              <w:t>192,102</w:t>
            </w:r>
          </w:p>
        </w:tc>
        <w:tc>
          <w:tcPr>
            <w:tcW w:w="34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241,571</w:t>
            </w:r>
          </w:p>
        </w:tc>
        <w:tc>
          <w:tcPr>
            <w:tcW w:w="220" w:type="dxa"/>
            <w:vAlign w:val="bottom"/>
            <w:shd w:val="clear" w:color="auto" w:fill="C0FFFF"/>
          </w:tcPr>
          <w:p>
            <w:pPr>
              <w:spacing w:after="0"/>
              <w:rPr>
                <w:sz w:val="18"/>
                <w:szCs w:val="18"/>
                <w:color w:val="auto"/>
              </w:rPr>
            </w:pPr>
          </w:p>
        </w:tc>
        <w:tc>
          <w:tcPr>
            <w:tcW w:w="1420" w:type="dxa"/>
            <w:vAlign w:val="bottom"/>
            <w:shd w:val="clear" w:color="auto" w:fill="C0FFFF"/>
          </w:tcPr>
          <w:p>
            <w:pPr>
              <w:jc w:val="right"/>
              <w:ind w:right="170"/>
              <w:spacing w:after="0"/>
              <w:rPr>
                <w:sz w:val="20"/>
                <w:szCs w:val="20"/>
                <w:color w:val="auto"/>
              </w:rPr>
            </w:pPr>
            <w:r>
              <w:rPr>
                <w:rFonts w:ascii="Arial" w:cs="Arial" w:eastAsia="Arial" w:hAnsi="Arial"/>
                <w:sz w:val="18"/>
                <w:szCs w:val="18"/>
                <w:color w:val="auto"/>
              </w:rPr>
              <w:t>275,794</w:t>
            </w:r>
          </w:p>
        </w:tc>
        <w:tc>
          <w:tcPr>
            <w:tcW w:w="340" w:type="dxa"/>
            <w:vAlign w:val="bottom"/>
            <w:shd w:val="clear" w:color="auto" w:fill="C0FFFF"/>
          </w:tcPr>
          <w:p>
            <w:pPr>
              <w:spacing w:after="0"/>
              <w:rPr>
                <w:sz w:val="18"/>
                <w:szCs w:val="18"/>
                <w:color w:val="auto"/>
              </w:rPr>
            </w:pPr>
          </w:p>
        </w:tc>
        <w:tc>
          <w:tcPr>
            <w:tcW w:w="1300" w:type="dxa"/>
            <w:vAlign w:val="bottom"/>
            <w:shd w:val="clear" w:color="auto" w:fill="C0FFFF"/>
          </w:tcPr>
          <w:p>
            <w:pPr>
              <w:jc w:val="right"/>
              <w:ind w:right="190"/>
              <w:spacing w:after="0"/>
              <w:rPr>
                <w:sz w:val="20"/>
                <w:szCs w:val="20"/>
                <w:color w:val="auto"/>
              </w:rPr>
            </w:pPr>
            <w:r>
              <w:rPr>
                <w:rFonts w:ascii="Arial" w:cs="Arial" w:eastAsia="Arial" w:hAnsi="Arial"/>
                <w:sz w:val="18"/>
                <w:szCs w:val="18"/>
                <w:color w:val="auto"/>
              </w:rPr>
              <w:t>284,273</w:t>
            </w:r>
          </w:p>
        </w:tc>
        <w:tc>
          <w:tcPr>
            <w:tcW w:w="3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300,152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83,137</w:t>
            </w:r>
          </w:p>
        </w:tc>
        <w:tc>
          <w:tcPr>
            <w:tcW w:w="34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129,243</w:t>
            </w:r>
          </w:p>
        </w:tc>
        <w:tc>
          <w:tcPr>
            <w:tcW w:w="22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157,713</w:t>
            </w:r>
          </w:p>
        </w:tc>
        <w:tc>
          <w:tcPr>
            <w:tcW w:w="34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164,780</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167,725</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Store closing represents expenses related to the closure of the friends 2B made concept.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2012, $475 of losses from investment in affiliate was included in selling, general and administrative expenses.</w:t>
      </w:r>
    </w:p>
    <w:p>
      <w:pPr>
        <w:spacing w:after="0" w:line="9"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percentage represents retail gross margin divided by net retail sales.</w:t>
      </w:r>
    </w:p>
    <w:p>
      <w:pPr>
        <w:ind w:left="500" w:right="28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 net consist of leasehold improvements, furniture and fixtures, land, buildings, computer equipment and software purchases, as well as trademarks, intellectual property, key money deposits and deferred leasing fees.</w:t>
      </w: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our web store and temporary, seasonal and event-based locations.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Square footage for stores located in Europe is estimated selling square footage and includes stores in the United Kingdom, Ireland and France.</w:t>
      </w:r>
    </w:p>
    <w:p>
      <w:pPr>
        <w:spacing w:after="0" w:line="20" w:lineRule="exact"/>
        <w:rPr>
          <w:rFonts w:ascii="Arial" w:cs="Arial" w:eastAsia="Arial" w:hAnsi="Arial"/>
          <w:sz w:val="17"/>
          <w:szCs w:val="17"/>
          <w:color w:val="auto"/>
        </w:rPr>
      </w:pPr>
    </w:p>
    <w:p>
      <w:pPr>
        <w:ind w:left="500" w:right="24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net retail sales per store represents net retail sales from traditional stores open throughout the entire period in North America divided by the total number of such stores.</w:t>
      </w:r>
    </w:p>
    <w:p>
      <w:pPr>
        <w:ind w:left="500" w:right="14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we refer to average net retail sales per store and net retail sales per gross square foot for any period, we include in those calculations only those traditional stores that have been open for that entire period in North America. European stores are not included.</w:t>
      </w:r>
    </w:p>
    <w:p>
      <w:pPr>
        <w:ind w:left="500" w:right="38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gross square foot represents net retail sales from stores open throughout the entire period in North America divided by the total gross square footage of such stores. European stores are not included.</w:t>
      </w:r>
    </w:p>
    <w:p>
      <w:pPr>
        <w:ind w:left="500" w:right="180" w:hanging="492"/>
        <w:spacing w:after="0" w:line="261"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store sales percentage changes are based on net retail sales. Stores are considered comparable beginning in their thirteenth full month of operation.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 As of December 29, 2012, we operated 283 traditional stores in the United States, Canada and Puerto Rico, 58 stores in the United Kingdom and two stores in Ireland, and had 91 franchised stores operating in international locations under the Build-A-Bear Workshop brand. In addition to our stores, we sell our products on our e-commerce Web site, buildabear.com and market our products and build our brand through our “virtual world” Web site, bearville.com, which complements our interactive shopping experience and positively enhances our core brand value. We also operate non-traditional store locations in a Major League Baseball ballpark, a zoo, a science center, an airport and other temporary locations.</w:t>
      </w:r>
    </w:p>
    <w:p>
      <w:pPr>
        <w:spacing w:after="0" w:line="2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224" w:lineRule="exact"/>
        <w:rPr>
          <w:sz w:val="20"/>
          <w:szCs w:val="20"/>
          <w:color w:val="auto"/>
        </w:rPr>
      </w:pPr>
    </w:p>
    <w:p>
      <w:pPr>
        <w:ind w:left="500" w:right="360" w:hanging="330"/>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Company-owned retail stores located in the United States, Canada, Puerto Rico, the United Kingdom and Ireland, a web store and seasonal, event-based locations;</w:t>
      </w:r>
    </w:p>
    <w:p>
      <w:pPr>
        <w:spacing w:after="0" w:line="224" w:lineRule="exact"/>
        <w:rPr>
          <w:rFonts w:ascii="Arial" w:cs="Arial" w:eastAsia="Arial" w:hAnsi="Arial"/>
          <w:sz w:val="18"/>
          <w:szCs w:val="18"/>
          <w:color w:val="auto"/>
        </w:rPr>
      </w:pPr>
    </w:p>
    <w:p>
      <w:pPr>
        <w:ind w:left="500" w:right="220" w:hanging="330"/>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Transactions with other business partners, mainly comprised of licensing our intellectual property, including entertainment properties, for third-party use and wholesale product sales; and</w:t>
      </w:r>
    </w:p>
    <w:p>
      <w:pPr>
        <w:spacing w:after="0" w:line="224"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stores operated under franchise agreements.</w:t>
      </w:r>
    </w:p>
    <w:p>
      <w:pPr>
        <w:spacing w:after="0" w:line="27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Selected financial data attributable to each segment for fiscal 2012, 2011 and 2010, are set forth in Note 17 to our consolidated financial statements included elsewhere in this Annual Report on Form 10-K.</w:t>
      </w:r>
    </w:p>
    <w:p>
      <w:pPr>
        <w:spacing w:after="0" w:line="22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For a discussion of the key trends and uncertainties that have affected our revenues, income and liquidity, see the “— Revenues,” “— Costs and Expenses” and “— Expansion and Growth Potential” subsections of this Overview.</w:t>
      </w:r>
    </w:p>
    <w:p>
      <w:pPr>
        <w:spacing w:after="0" w:line="224"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We believe that we have developed an appealing retail store concept that, for North American stores open for the entire year, averaged $1.0 million in fiscal 2012, fiscal 2011 and fiscal 2010 in net retail sales per store. For a discussion of the changes in comparable store sales in fiscal years 2012, 2011 and 2010, see “— Revenues” below. Store contribution, which consists of income (loss) before income tax expense (benefit); interest; store depreciation, amortization and impairment; goodwill impairment; losses from investment in affiliate, preopening and general and administrative expense, excluding franchise fees, income from commercial activities and contribution from our web store, temporary and seasonal event-based locations, as a percentage of net retail sales, excluding revenue from our web store, temporary and seasonal and event-based locations, was 13.2% for fiscal 2012, 15.2% for fiscal 2011 and 15.3% for fiscal 2010. Total company net loss as a percentage of total revenues was 12.9% for fiscal 2012 and 4.3% for fiscal 2011. Total company net income as a percentage of total revenues was 0.0% for fiscal 2010. See “— Non-GAAP Financial Measures” for a reconciliation of store contribution to net (loss) income. The net loss in 2012 was primarily attributable to the decrease in comparable store sales and the impairment of the Company’s goodwill related to its UK operations. The net loss in 2011 was primarily attributable to the decrease in comparable store sales and the recording of a valuation allowance on the Company’s US deferred tax assets.</w:t>
      </w:r>
    </w:p>
    <w:p>
      <w:pPr>
        <w:spacing w:after="0" w:line="18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2012, our results were negatively impacted by the declining sales in the UK. In North America, the results reflect the early results of turnaround efforts, increased costs for marketing, newly imagined store design remodels and openings and store closings. In 2011, our results reflect stabilizing economic trends and modest mall traffic increases but continuing low levels of consumer confidence. In 2011, our store contribution percentage was essentially flat with 2010, as declining sales were offset by lower store expenses, specifically payroll and supplies. In 2010, our results reflect the challenging retail environment – economic recession, declining mall traffic, and slowing consumer spending – factors impacting many retailers and particularly our company given the discretionary nature of our products and our experience.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ind w:right="20" w:firstLine="486"/>
        <w:spacing w:after="0" w:line="272" w:lineRule="auto"/>
        <w:rPr>
          <w:sz w:val="20"/>
          <w:szCs w:val="20"/>
          <w:color w:val="auto"/>
        </w:rPr>
      </w:pPr>
      <w:r>
        <w:rPr>
          <w:rFonts w:ascii="Arial" w:cs="Arial" w:eastAsia="Arial" w:hAnsi="Arial"/>
          <w:sz w:val="17"/>
          <w:szCs w:val="17"/>
          <w:color w:val="auto"/>
        </w:rPr>
        <w:t>Our 2013 plan builds on steps taken in 2012 to balance our long term business goals while recognizing the continuing challenges of the retail environment. We plan to improve store productivity and profitability by strategically closing 50 to 60 stores during the next two years and reducing the square footage of an additional 10 to 15 stores by relocating them within the same malls. This initiative will allow us to focus on our business and align all operations around our goals of improving our comparable stores sales performance and store productivity, while also building our long term brand value. We currently expect to transfer, on average, approximately 20% of the sales from the closed stores to other stores in the same markets. In 2013, through March 8, we have closed 15 stores. Our current plans also include the relocation or remodel of approximately 25 locations in 2013 with the complete new design that feature a bold new look and enhanced experience as we continue to lead in the interactive experiential retail space.</w:t>
      </w:r>
    </w:p>
    <w:p>
      <w:pPr>
        <w:spacing w:after="0" w:line="23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While Build-A-Bear Workshop in North America will operate fewer stores that we expect will have higher sales volumes and profitability, we will continue to grow internationally, primarily through our franchisees. We also intend to increase shopping frequency by increasing new guest traffic to its stores, specifically focusing on families with children and intensifying digital engagement to increase visits from our existing guests and by reinforcing our store as a top destination for gifts. In 2009, we implemented cost reduction initiatives that resulted in approximately $25 million in pre-tax savings. We were able to maintain these savings in 2010 and 2011 and saved an additional $3 million in 2011. We achieved an additional $7.5 million in savings in 2012 that were used to support sales-driving marketing initiatives and were partially offset by product cost increases. We ended fiscal 2012 with no borrowings under our bank loan agreement and with $45 million in cash and cash equivalents after investing $17 million in capital projects and $1 million in share repurchases.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8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i w:val="1"/>
          <w:iCs w:val="1"/>
          <w:color w:val="auto"/>
        </w:rPr>
        <w:t xml:space="preserve">Net retail sales: </w:t>
      </w:r>
      <w:r>
        <w:rPr>
          <w:rFonts w:ascii="Arial" w:cs="Arial" w:eastAsia="Arial" w:hAnsi="Arial"/>
          <w:sz w:val="17"/>
          <w:szCs w:val="17"/>
          <w:color w:val="auto"/>
        </w:rPr>
        <w:t>Net retail sales are revenues from retail sales (including our web store and other non-store locations), are net of discounts, exclude</w:t>
      </w:r>
      <w:r>
        <w:rPr>
          <w:rFonts w:ascii="Arial" w:cs="Arial" w:eastAsia="Arial" w:hAnsi="Arial"/>
          <w:sz w:val="17"/>
          <w:szCs w:val="17"/>
          <w:i w:val="1"/>
          <w:iCs w:val="1"/>
          <w:color w:val="auto"/>
        </w:rPr>
        <w:t xml:space="preserve"> </w:t>
      </w:r>
      <w:r>
        <w:rPr>
          <w:rFonts w:ascii="Arial" w:cs="Arial" w:eastAsia="Arial" w:hAnsi="Arial"/>
          <w:sz w:val="17"/>
          <w:szCs w:val="17"/>
          <w:color w:val="auto"/>
        </w:rPr>
        <w:t>sales tax, include shipping and handling costs billed to customers, and are recognized at the time of sale. Revenues from gift cards are recognized at the time of redemption. Our guests use cash, checks, gift cards and third party credit cards to make purchases. We classify stores as new, non-comparable and comparable stores. Stores enter the comparable store calculation in their thirteenth full month of operation. Our web store and temporary, seasonal and event-based locations are not included in our store count or in our comparable store calculations. Non-comparable stores also result from a store relocation or remodel that results in a significant change in square footage. The net retail sales for that location are excluded from comparable store sales calculations until the thirteenth full month of operation after the date of the change.</w:t>
      </w:r>
    </w:p>
    <w:p>
      <w:pPr>
        <w:spacing w:after="0" w:line="232"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have a loyalty program with a frequent shopper reward feature, the Stuff Fur Stuff club. Members of the program receive one point for every dollar spent and receive awards after reaching certain point thresholds. On a quarterly basis, an estimate of the obligation related to the program, based on actual points and awards outstanding and historical point conversion and award redemption patterns, is recorded as an adjustment to deferred revenue and net retail sales. At the time of redemption of the award, the deferred revenue obligation is reduced, and a corresponding amount is recognized in net retail sales. As the awards can be earned or redeemed at any of our store locations, we account for changes in the deferred revenue account at the total company level</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only. Therefore, when we refer to net retail sales by location, such as comparable stores or new stores, these amounts do not include any changes in the deferred revenue amount. See “---Critical Accounting Estimates” for additional details on the accounting for the deferred revenue under our customer loyalty program.</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31" w:name="page32"/>
    <w:bookmarkEnd w:id="31"/>
    <w:p>
      <w:pPr>
        <w:ind w:firstLine="486"/>
        <w:spacing w:after="0" w:line="277" w:lineRule="auto"/>
        <w:rPr>
          <w:sz w:val="20"/>
          <w:szCs w:val="20"/>
          <w:color w:val="auto"/>
        </w:rPr>
      </w:pPr>
      <w:r>
        <w:rPr>
          <w:rFonts w:ascii="Arial" w:cs="Arial" w:eastAsia="Arial" w:hAnsi="Arial"/>
          <w:sz w:val="18"/>
          <w:szCs w:val="18"/>
          <w:color w:val="auto"/>
        </w:rPr>
        <w:t>We use net retail sales per gross square foot and comparable store sales as performance measures for our business. The following table details net retail sales per gross square foot by age of store for the periods presented: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Fiscal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Fiscal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Fiscal</w:t>
            </w: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0FFFF"/>
          </w:tcPr>
          <w:p>
            <w:pPr>
              <w:spacing w:after="0" w:line="216" w:lineRule="exact"/>
              <w:rPr>
                <w:sz w:val="20"/>
                <w:szCs w:val="20"/>
                <w:color w:val="auto"/>
              </w:rPr>
            </w:pPr>
            <w:r>
              <w:rPr>
                <w:rFonts w:ascii="Arial" w:cs="Arial" w:eastAsia="Arial" w:hAnsi="Arial"/>
                <w:sz w:val="18"/>
                <w:szCs w:val="18"/>
                <w:color w:val="auto"/>
                <w:w w:val="98"/>
              </w:rPr>
              <w:t xml:space="preserve">Net retail sales per gross square foot - North America </w:t>
            </w:r>
            <w:r>
              <w:rPr>
                <w:rFonts w:ascii="Arial" w:cs="Arial" w:eastAsia="Arial" w:hAnsi="Arial"/>
                <w:sz w:val="25"/>
                <w:szCs w:val="25"/>
                <w:color w:val="auto"/>
                <w:w w:val="98"/>
                <w:vertAlign w:val="superscript"/>
              </w:rPr>
              <w:t>(1) (2)</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w w:val="91"/>
              </w:rPr>
              <w:t>Store Age &gt; 5 years (247 stores in 2012, 220 stores in 2011)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0FFFF"/>
          </w:tcPr>
          <w:p>
            <w:pPr>
              <w:ind w:left="260"/>
              <w:spacing w:after="0"/>
              <w:rPr>
                <w:sz w:val="20"/>
                <w:szCs w:val="20"/>
                <w:color w:val="auto"/>
              </w:rPr>
            </w:pPr>
            <w:r>
              <w:rPr>
                <w:rFonts w:ascii="Arial" w:cs="Arial" w:eastAsia="Arial" w:hAnsi="Arial"/>
                <w:sz w:val="18"/>
                <w:szCs w:val="18"/>
                <w:color w:val="auto"/>
                <w:w w:val="95"/>
              </w:rPr>
              <w:t>Store Age 3-5 years (19 stores in 2012, 56 stores in 2011)</w:t>
            </w:r>
          </w:p>
        </w:tc>
        <w:tc>
          <w:tcPr>
            <w:tcW w:w="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301</w:t>
            </w:r>
          </w:p>
        </w:tc>
        <w:tc>
          <w:tcPr>
            <w:tcW w:w="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315</w:t>
            </w:r>
          </w:p>
        </w:tc>
        <w:tc>
          <w:tcPr>
            <w:tcW w:w="4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Store Age &lt;3 years (3 stores in 2012, 4 stores in 2011)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0FFFF"/>
          </w:tcPr>
          <w:p>
            <w:pPr>
              <w:ind w:left="260"/>
              <w:spacing w:after="0"/>
              <w:rPr>
                <w:sz w:val="20"/>
                <w:szCs w:val="20"/>
                <w:color w:val="auto"/>
              </w:rPr>
            </w:pPr>
            <w:r>
              <w:rPr>
                <w:rFonts w:ascii="Arial" w:cs="Arial" w:eastAsia="Arial" w:hAnsi="Arial"/>
                <w:sz w:val="18"/>
                <w:szCs w:val="18"/>
                <w:color w:val="auto"/>
              </w:rPr>
              <w:t>All comparable stores</w:t>
            </w:r>
          </w:p>
        </w:tc>
        <w:tc>
          <w:tcPr>
            <w:tcW w:w="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350</w:t>
            </w:r>
          </w:p>
        </w:tc>
        <w:tc>
          <w:tcPr>
            <w:tcW w:w="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354</w:t>
            </w:r>
          </w:p>
        </w:tc>
        <w:tc>
          <w:tcPr>
            <w:tcW w:w="4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0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814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20" w:hanging="492"/>
        <w:spacing w:after="0" w:line="258"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retail sales per gross square foot represents net retail sales from North American stores open throughout the entire period divided by the total gross square footage of such stores. Calculated on an annual basis only.</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our web store, temporary and seasonal and event-based locations.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increase (or decrease) in comparable store sales for the periods presented below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6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Fiscal</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left="230"/>
              <w:spacing w:after="0"/>
              <w:rPr>
                <w:sz w:val="20"/>
                <w:szCs w:val="20"/>
                <w:color w:val="auto"/>
              </w:rPr>
            </w:pPr>
            <w:r>
              <w:rPr>
                <w:rFonts w:ascii="Arial" w:cs="Arial" w:eastAsia="Arial" w:hAnsi="Arial"/>
                <w:sz w:val="18"/>
                <w:szCs w:val="18"/>
                <w:b w:val="1"/>
                <w:bCs w:val="1"/>
                <w:color w:val="auto"/>
                <w:w w:val="86"/>
              </w:rPr>
              <w:t>Fiscal</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w:t>
            </w:r>
          </w:p>
        </w:tc>
        <w:tc>
          <w:tcPr>
            <w:tcW w:w="0" w:type="dxa"/>
            <w:vAlign w:val="bottom"/>
          </w:tcPr>
          <w:p>
            <w:pPr>
              <w:spacing w:after="0"/>
              <w:rPr>
                <w:sz w:val="1"/>
                <w:szCs w:val="1"/>
                <w:color w:val="auto"/>
              </w:rPr>
            </w:pPr>
          </w:p>
        </w:tc>
      </w:tr>
      <w:tr>
        <w:trPr>
          <w:trHeight w:val="241"/>
        </w:trPr>
        <w:tc>
          <w:tcPr>
            <w:tcW w:w="4640" w:type="dxa"/>
            <w:vAlign w:val="bottom"/>
            <w:gridSpan w:val="2"/>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0FFFF"/>
          </w:tcPr>
          <w:p>
            <w:pPr>
              <w:spacing w:after="0" w:line="216" w:lineRule="exact"/>
              <w:rPr>
                <w:sz w:val="20"/>
                <w:szCs w:val="20"/>
                <w:color w:val="auto"/>
              </w:rPr>
            </w:pPr>
            <w:r>
              <w:rPr>
                <w:rFonts w:ascii="Arial" w:cs="Arial" w:eastAsia="Arial" w:hAnsi="Arial"/>
                <w:sz w:val="18"/>
                <w:szCs w:val="18"/>
                <w:color w:val="auto"/>
              </w:rPr>
              <w:t xml:space="preserve">Comparable store sales change - North America (%) </w:t>
            </w:r>
            <w:r>
              <w:rPr>
                <w:rFonts w:ascii="Arial" w:cs="Arial" w:eastAsia="Arial" w:hAnsi="Arial"/>
                <w:sz w:val="25"/>
                <w:szCs w:val="25"/>
                <w:color w:val="auto"/>
                <w:vertAlign w:val="superscript"/>
              </w:rPr>
              <w:t>(1) (2)</w:t>
            </w:r>
          </w:p>
        </w:tc>
        <w:tc>
          <w:tcPr>
            <w:tcW w:w="3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Store Age &gt; 5 years (247 stores in 2012, 220 stores in</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(2.0)%</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2011)</w:t>
            </w:r>
          </w:p>
        </w:tc>
        <w:tc>
          <w:tcPr>
            <w:tcW w:w="86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0FFFF"/>
          </w:tcPr>
          <w:p>
            <w:pPr>
              <w:ind w:left="260"/>
              <w:spacing w:after="0"/>
              <w:rPr>
                <w:sz w:val="20"/>
                <w:szCs w:val="20"/>
                <w:color w:val="auto"/>
              </w:rPr>
            </w:pPr>
            <w:r>
              <w:rPr>
                <w:rFonts w:ascii="Arial" w:cs="Arial" w:eastAsia="Arial" w:hAnsi="Arial"/>
                <w:sz w:val="18"/>
                <w:szCs w:val="18"/>
                <w:color w:val="auto"/>
              </w:rPr>
              <w:t>Store Age 3-5 years (19 stores in 2012, 56 stores in 2011)</w:t>
            </w:r>
          </w:p>
        </w:tc>
        <w:tc>
          <w:tcPr>
            <w:tcW w:w="6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(3.2)%</w:t>
            </w:r>
          </w:p>
        </w:tc>
        <w:tc>
          <w:tcPr>
            <w:tcW w:w="88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(5.1)%</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60"/>
              <w:spacing w:after="0"/>
              <w:rPr>
                <w:sz w:val="20"/>
                <w:szCs w:val="20"/>
                <w:color w:val="auto"/>
              </w:rPr>
            </w:pPr>
            <w:r>
              <w:rPr>
                <w:rFonts w:ascii="Arial" w:cs="Arial" w:eastAsia="Arial" w:hAnsi="Arial"/>
                <w:sz w:val="18"/>
                <w:szCs w:val="18"/>
                <w:color w:val="auto"/>
              </w:rPr>
              <w:t>Store Age &lt;3 years (3 stores in 2012, 4 stores in 2011)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w:t>
            </w:r>
          </w:p>
        </w:tc>
        <w:tc>
          <w:tcPr>
            <w:tcW w:w="8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0FFFF"/>
          </w:tcPr>
          <w:p>
            <w:pPr>
              <w:ind w:left="260"/>
              <w:spacing w:after="0"/>
              <w:rPr>
                <w:sz w:val="20"/>
                <w:szCs w:val="20"/>
                <w:color w:val="auto"/>
              </w:rPr>
            </w:pPr>
            <w:r>
              <w:rPr>
                <w:rFonts w:ascii="Arial" w:cs="Arial" w:eastAsia="Arial" w:hAnsi="Arial"/>
                <w:sz w:val="18"/>
                <w:szCs w:val="18"/>
                <w:color w:val="auto"/>
              </w:rPr>
              <w:t>Total comparable store sales change</w:t>
            </w:r>
          </w:p>
        </w:tc>
        <w:tc>
          <w:tcPr>
            <w:tcW w:w="6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(2.0)%</w:t>
            </w:r>
          </w:p>
        </w:tc>
        <w:tc>
          <w:tcPr>
            <w:tcW w:w="88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(2.5)%</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0FFFF"/>
          </w:tcPr>
          <w:p>
            <w:pPr>
              <w:spacing w:after="0" w:line="216" w:lineRule="exact"/>
              <w:rPr>
                <w:sz w:val="20"/>
                <w:szCs w:val="20"/>
                <w:color w:val="auto"/>
              </w:rPr>
            </w:pPr>
            <w:r>
              <w:rPr>
                <w:rFonts w:ascii="Arial" w:cs="Arial" w:eastAsia="Arial" w:hAnsi="Arial"/>
                <w:sz w:val="18"/>
                <w:szCs w:val="18"/>
                <w:color w:val="auto"/>
              </w:rPr>
              <w:t xml:space="preserve">Comparable store sales change - Europe (%) </w:t>
            </w:r>
            <w:r>
              <w:rPr>
                <w:rFonts w:ascii="Arial" w:cs="Arial" w:eastAsia="Arial" w:hAnsi="Arial"/>
                <w:sz w:val="25"/>
                <w:szCs w:val="25"/>
                <w:color w:val="auto"/>
                <w:vertAlign w:val="superscript"/>
              </w:rPr>
              <w:t>(1) (2)</w:t>
            </w:r>
          </w:p>
        </w:tc>
        <w:tc>
          <w:tcPr>
            <w:tcW w:w="6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(8.4)%</w:t>
            </w:r>
          </w:p>
        </w:tc>
        <w:tc>
          <w:tcPr>
            <w:tcW w:w="88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(0.2)%</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0FFFF"/>
          </w:tcPr>
          <w:p>
            <w:pPr>
              <w:spacing w:after="0" w:line="216" w:lineRule="exact"/>
              <w:rPr>
                <w:sz w:val="20"/>
                <w:szCs w:val="20"/>
                <w:color w:val="auto"/>
              </w:rPr>
            </w:pPr>
            <w:r>
              <w:rPr>
                <w:rFonts w:ascii="Arial" w:cs="Arial" w:eastAsia="Arial" w:hAnsi="Arial"/>
                <w:sz w:val="18"/>
                <w:szCs w:val="18"/>
                <w:color w:val="auto"/>
              </w:rPr>
              <w:t xml:space="preserve">Comparable store sales change - Consolidated (%) </w:t>
            </w:r>
            <w:r>
              <w:rPr>
                <w:rFonts w:ascii="Arial" w:cs="Arial" w:eastAsia="Arial" w:hAnsi="Arial"/>
                <w:sz w:val="25"/>
                <w:szCs w:val="25"/>
                <w:color w:val="auto"/>
                <w:vertAlign w:val="superscript"/>
              </w:rPr>
              <w:t>(1) (2)</w:t>
            </w:r>
          </w:p>
        </w:tc>
        <w:tc>
          <w:tcPr>
            <w:tcW w:w="6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(3.3)%</w:t>
            </w:r>
          </w:p>
        </w:tc>
        <w:tc>
          <w:tcPr>
            <w:tcW w:w="88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(2.1)%</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814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140" w:hanging="492"/>
        <w:spacing w:after="0" w:line="25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Comparable store sales percentage changes are based on net retail sales and stores are considered comparable beginning in their thirteenth full month of operation.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our web store, temporary and seasonal and event-based locations.</w:t>
      </w:r>
    </w:p>
    <w:p>
      <w:pPr>
        <w:spacing w:after="0" w:line="26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Fiscal 2012 consolidated comparable store sales decreased by 3.3%, including an 8.4% decrease in Europe and a 2.0% decrease in North America (full year comparable store sales are compared to the 52 week period ended Dec. 31, 2011). We believe the primary drivers of the overall decline in consolidated comparable store sales for the full year were as follows:</w:t>
      </w:r>
    </w:p>
    <w:p>
      <w:pPr>
        <w:spacing w:after="0" w:line="235" w:lineRule="exact"/>
        <w:rPr>
          <w:sz w:val="20"/>
          <w:szCs w:val="20"/>
          <w:color w:val="auto"/>
        </w:rPr>
      </w:pPr>
    </w:p>
    <w:p>
      <w:pPr>
        <w:ind w:left="820" w:right="160" w:hanging="326"/>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first half of 2012, we had benefit from higher redemption rates and transaction value of our holiday gift cards and from a promotion in the United States with McDonald’s Happy Meals® that drove awareness of our brand and brought traffic to our stores resulting in slightly positive comparable store sales in North American through the first twenty-six weeks.</w:t>
      </w:r>
    </w:p>
    <w:p>
      <w:pPr>
        <w:spacing w:after="0" w:line="235"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fiscal 2012 third quarter, we experienced a decline in the number of transactions compared to the 2011 third quarter which benefitted from a strong product offering that was tied to a major theatrical release supported by studio marketing and advertising.</w:t>
      </w:r>
    </w:p>
    <w:p>
      <w:pPr>
        <w:spacing w:after="0" w:line="224" w:lineRule="exact"/>
        <w:rPr>
          <w:rFonts w:ascii="Arial" w:cs="Arial" w:eastAsia="Arial" w:hAnsi="Arial"/>
          <w:sz w:val="18"/>
          <w:szCs w:val="18"/>
          <w:color w:val="auto"/>
        </w:rPr>
      </w:pPr>
    </w:p>
    <w:p>
      <w:pPr>
        <w:ind w:left="820" w:right="3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fiscal 2012 fourth quarter, we believe our new brand building marketing campaign in the United States along with a return to traditional holiday product offerings resulted in an increase in North American comparable store sales.</w:t>
      </w:r>
    </w:p>
    <w:p>
      <w:pPr>
        <w:spacing w:after="0" w:line="224" w:lineRule="exact"/>
        <w:rPr>
          <w:rFonts w:ascii="Arial" w:cs="Arial" w:eastAsia="Arial" w:hAnsi="Arial"/>
          <w:sz w:val="18"/>
          <w:szCs w:val="18"/>
          <w:color w:val="auto"/>
        </w:rPr>
      </w:pPr>
    </w:p>
    <w:p>
      <w:pPr>
        <w:ind w:left="820" w:right="960" w:hanging="326"/>
        <w:spacing w:after="0" w:line="308"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United Kingdom, we believe the negative economic conditions contributed to a continued decline in consumer sentiment and a corresponding decline in spending that negatively impacted our comparable store sales throughout the year.</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2" w:name="page33"/>
    <w:bookmarkEnd w:id="32"/>
    <w:p>
      <w:pPr>
        <w:jc w:val="both"/>
        <w:ind w:right="140" w:firstLine="486"/>
        <w:spacing w:after="0" w:line="264" w:lineRule="auto"/>
        <w:rPr>
          <w:sz w:val="20"/>
          <w:szCs w:val="20"/>
          <w:color w:val="auto"/>
        </w:rPr>
      </w:pPr>
      <w:r>
        <w:rPr>
          <w:rFonts w:ascii="Arial" w:cs="Arial" w:eastAsia="Arial" w:hAnsi="Arial"/>
          <w:sz w:val="18"/>
          <w:szCs w:val="18"/>
          <w:color w:val="auto"/>
        </w:rPr>
        <w:t>Fiscal 2011 consolidated comparable store sales decreased by 2.1%, including a 0.2% decrease in Europe and a 2.5% decrease in North America (full year comparable store sales are compared to the 52 week period ended Jan. 1, 2011). We believe the overall decline in consolidated comparable store sales for the full year was attributed primarily to the following factors:</w:t>
      </w:r>
    </w:p>
    <w:p>
      <w:pPr>
        <w:spacing w:after="0" w:line="235" w:lineRule="exact"/>
        <w:rPr>
          <w:sz w:val="20"/>
          <w:szCs w:val="20"/>
          <w:color w:val="auto"/>
        </w:rPr>
      </w:pPr>
    </w:p>
    <w:p>
      <w:pPr>
        <w:jc w:val="both"/>
        <w:ind w:left="660" w:right="10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Through the third quarter, we had experienced a 0.9% decrease in consolidated comparable store sale. Growth in third quarter sales, which resulted from improved merchandise assortments and successful promotional events, only partially offset comparable stores sales declines in the first half of the year, which were primarily driven by a decline in transactions and negative consumer sentiment and spending in the UK.</w:t>
      </w:r>
    </w:p>
    <w:p>
      <w:pPr>
        <w:spacing w:after="0" w:line="219"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Further sales declines in the fourth quarter, attributable to underperforming licensed movie product, resulted in a decline for the full year.</w:t>
      </w:r>
    </w:p>
    <w:p>
      <w:pPr>
        <w:spacing w:after="0" w:line="29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Commercial revenue: </w:t>
      </w:r>
      <w:r>
        <w:rPr>
          <w:rFonts w:ascii="Arial" w:cs="Arial" w:eastAsia="Arial" w:hAnsi="Arial"/>
          <w:sz w:val="18"/>
          <w:szCs w:val="18"/>
          <w:color w:val="auto"/>
        </w:rPr>
        <w:t>Commercial revenue includes the company’s transactions with other businesses, mainly through wholesale and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Revenue from licensing activities is generally based on a percentage of sales made by licensees to third parties and is recognized at the time the product is shipped by the licensee or at the point of sale. We have entered into a number of licensing arrangements whereby third parties manufacture and sell to other retailers merchandise carrying the Build-A-Bear Workshop trademark. Revenue from wholesale product sales includes revenue from merchandise sold at stores operated by third parties under licensing agreements like Landry’s restaurants. In 2010, it also includes two transactions totaling $6.4 million with no associated gross margin.</w:t>
      </w:r>
    </w:p>
    <w:p>
      <w:pPr>
        <w:spacing w:after="0" w:line="24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Franchise fees: </w:t>
      </w:r>
      <w:r>
        <w:rPr>
          <w:rFonts w:ascii="Arial" w:cs="Arial" w:eastAsia="Arial" w:hAnsi="Arial"/>
          <w:sz w:val="18"/>
          <w:szCs w:val="18"/>
          <w:color w:val="auto"/>
        </w:rPr>
        <w:t>We receive an initial, one-time franchise fee for each master franchise agreement which is amortized to revenue over the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franchise agreements, which extend for periods up to 25 years. Master franchise rights are typically granted to a franchisee for an entire country or countries. Continuing franchise fees are based on a percentage of sales made by the franchisees’ stores and are recognized as revenue at the time of those sales.</w:t>
      </w:r>
    </w:p>
    <w:p>
      <w:pPr>
        <w:spacing w:after="0" w:line="241"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As of December 29, 2012, we had 91 stores, including 17 opened and five closed in fiscal 2012, operating under franchise arrangements in the following countries:</w:t>
      </w:r>
    </w:p>
    <w:p>
      <w:pPr>
        <w:spacing w:after="0" w:line="18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Germany</w:t>
            </w:r>
          </w:p>
        </w:tc>
        <w:tc>
          <w:tcPr>
            <w:tcW w:w="760" w:type="dxa"/>
            <w:vAlign w:val="bottom"/>
            <w:shd w:val="clear" w:color="auto" w:fill="C0FFFF"/>
          </w:tcPr>
          <w:p>
            <w:pPr>
              <w:jc w:val="right"/>
              <w:ind w:right="21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Australia</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Mexico</w:t>
            </w:r>
          </w:p>
        </w:tc>
        <w:tc>
          <w:tcPr>
            <w:tcW w:w="760" w:type="dxa"/>
            <w:vAlign w:val="bottom"/>
            <w:shd w:val="clear" w:color="auto" w:fill="C0FFFF"/>
          </w:tcPr>
          <w:p>
            <w:pPr>
              <w:jc w:val="right"/>
              <w:ind w:right="21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Japan</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Denmark</w:t>
            </w:r>
          </w:p>
        </w:tc>
        <w:tc>
          <w:tcPr>
            <w:tcW w:w="760" w:type="dxa"/>
            <w:vAlign w:val="bottom"/>
            <w:shd w:val="clear" w:color="auto" w:fill="C0FFFF"/>
          </w:tcPr>
          <w:p>
            <w:pPr>
              <w:jc w:val="right"/>
              <w:ind w:right="2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South Africa</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Thailand</w:t>
            </w:r>
          </w:p>
        </w:tc>
        <w:tc>
          <w:tcPr>
            <w:tcW w:w="760" w:type="dxa"/>
            <w:vAlign w:val="bottom"/>
            <w:shd w:val="clear" w:color="auto" w:fill="C0FFFF"/>
          </w:tcPr>
          <w:p>
            <w:pPr>
              <w:jc w:val="right"/>
              <w:ind w:right="210"/>
              <w:spacing w:after="0"/>
              <w:rPr>
                <w:sz w:val="20"/>
                <w:szCs w:val="20"/>
                <w:color w:val="auto"/>
              </w:rPr>
            </w:pPr>
            <w:r>
              <w:rPr>
                <w:rFonts w:ascii="Arial" w:cs="Arial" w:eastAsia="Arial" w:hAnsi="Arial"/>
                <w:sz w:val="18"/>
                <w:szCs w:val="18"/>
                <w:color w:val="auto"/>
              </w:rPr>
              <w:t>6</w:t>
            </w:r>
          </w:p>
        </w:tc>
        <w:tc>
          <w:tcPr>
            <w:tcW w:w="6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line="216" w:lineRule="exact"/>
              <w:rPr>
                <w:sz w:val="20"/>
                <w:szCs w:val="20"/>
                <w:color w:val="auto"/>
              </w:rPr>
            </w:pPr>
            <w:r>
              <w:rPr>
                <w:rFonts w:ascii="Arial" w:cs="Arial" w:eastAsia="Arial" w:hAnsi="Arial"/>
                <w:sz w:val="18"/>
                <w:szCs w:val="18"/>
                <w:color w:val="auto"/>
              </w:rPr>
              <w:t xml:space="preserve">Gulf States </w:t>
            </w:r>
            <w:r>
              <w:rPr>
                <w:rFonts w:ascii="Arial" w:cs="Arial" w:eastAsia="Arial" w:hAnsi="Arial"/>
                <w:sz w:val="25"/>
                <w:szCs w:val="25"/>
                <w:color w:val="auto"/>
                <w:vertAlign w:val="superscript"/>
              </w:rPr>
              <w:t>(1)</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Singapore</w:t>
            </w:r>
          </w:p>
        </w:tc>
        <w:tc>
          <w:tcPr>
            <w:tcW w:w="760" w:type="dxa"/>
            <w:vAlign w:val="bottom"/>
            <w:shd w:val="clear" w:color="auto" w:fill="C0FFFF"/>
          </w:tcPr>
          <w:p>
            <w:pPr>
              <w:jc w:val="right"/>
              <w:ind w:right="2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Norway</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Sweden</w:t>
            </w:r>
          </w:p>
        </w:tc>
        <w:tc>
          <w:tcPr>
            <w:tcW w:w="760" w:type="dxa"/>
            <w:vAlign w:val="bottom"/>
            <w:shd w:val="clear" w:color="auto" w:fill="C0FFFF"/>
          </w:tcPr>
          <w:p>
            <w:pPr>
              <w:jc w:val="right"/>
              <w:ind w:right="2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Brazil</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7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0FFFF"/>
          </w:tcPr>
          <w:p>
            <w:pPr>
              <w:jc w:val="right"/>
              <w:ind w:right="210"/>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Gulf States agreement includes Kuwait, Bahrain, Qatar, Oman and the United Arab Emirates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83"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i w:val="1"/>
          <w:iCs w:val="1"/>
          <w:color w:val="auto"/>
        </w:rPr>
        <w:t xml:space="preserve">Cost of merchandise sold and retail gross margin: </w:t>
      </w:r>
      <w:r>
        <w:rPr>
          <w:rFonts w:ascii="Arial" w:cs="Arial" w:eastAsia="Arial" w:hAnsi="Arial"/>
          <w:sz w:val="17"/>
          <w:szCs w:val="17"/>
          <w:color w:val="auto"/>
        </w:rPr>
        <w:t>Cost of merchandise sold includes the cost of the merchandise, including royalties paid to licensors</w:t>
      </w:r>
      <w:r>
        <w:rPr>
          <w:rFonts w:ascii="Arial" w:cs="Arial" w:eastAsia="Arial" w:hAnsi="Arial"/>
          <w:sz w:val="17"/>
          <w:szCs w:val="17"/>
          <w:i w:val="1"/>
          <w:iCs w:val="1"/>
          <w:color w:val="auto"/>
        </w:rPr>
        <w:t xml:space="preserve"> </w:t>
      </w:r>
      <w:r>
        <w:rPr>
          <w:rFonts w:ascii="Arial" w:cs="Arial" w:eastAsia="Arial" w:hAnsi="Arial"/>
          <w:sz w:val="17"/>
          <w:szCs w:val="17"/>
          <w:color w:val="auto"/>
        </w:rPr>
        <w:t>of third party branded merchandise; store occupancy cost, including store depreciation and store asset impairment charges; cost of warehousing and distribution; packaging; stuffing; damages and shortages; and shipping and handling costs incurred in shipment to customers. Retail gross margin is defined as net retail sales less the cost of retail merchandise sold, which excludes cost of wholesale merchandise sold.</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These expenses include store payroll and benefits, advertising, credit card fees, store supplies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preopening expenses as well as central office general and administrative expenses, including costs for virtual world maintenance, management payroll, benefits, stock-based compensation, travel, information systems, accounting, insurance, normal store closings, legal and public relations. These expenses also include depreciation and amortization of central office leasehold improvements, furniture, fixtures and equipment as well as the amortization of intellectual property costs.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3" w:name="page34"/>
    <w:bookmarkEnd w:id="33"/>
    <w:p>
      <w:pPr>
        <w:ind w:right="140" w:firstLine="486"/>
        <w:spacing w:after="0" w:line="259" w:lineRule="auto"/>
        <w:rPr>
          <w:sz w:val="20"/>
          <w:szCs w:val="20"/>
          <w:color w:val="auto"/>
        </w:rPr>
      </w:pPr>
      <w:r>
        <w:rPr>
          <w:rFonts w:ascii="Arial" w:cs="Arial" w:eastAsia="Arial" w:hAnsi="Arial"/>
          <w:sz w:val="18"/>
          <w:szCs w:val="18"/>
          <w:color w:val="auto"/>
        </w:rPr>
        <w:t>In 2009, we achieved $22 million in savings in selling, general and administrative expenses including marketing, central office payroll and outside services. We were able to maintain these savings in 2010 and 2011. In 2012, we saved an additional $4 million in selling general and administrative expenses that were used to support sales driving marketing initiatives. Other store expenses such as credit card fees and supplies historically have increased or decreased proportionately with net retail sales.</w:t>
      </w:r>
    </w:p>
    <w:p>
      <w:pPr>
        <w:spacing w:after="0" w:line="24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share-based compensation plans covering the majority of our management groups and our Board of Directors. We account for share-based payments utilizing the fair value recognition provisions of Accounting Standards Codification (ASC) Section 718 – Stock Compensation. We recognize compensation cost for equity awards over the requisite service period for the entire award. In 2012, 2011 and 2010, we recorded stock based compensation of approximately $3.6 million, $4.6 million and $4.8 million, respectively.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4" w:name="page35"/>
    <w:bookmarkEnd w:id="34"/>
    <w:p>
      <w:pPr>
        <w:ind w:left="500"/>
        <w:spacing w:after="0"/>
        <w:rPr>
          <w:sz w:val="20"/>
          <w:szCs w:val="20"/>
          <w:color w:val="auto"/>
        </w:rPr>
      </w:pPr>
      <w:r>
        <w:rPr>
          <w:rFonts w:ascii="Arial" w:cs="Arial" w:eastAsia="Arial" w:hAnsi="Arial"/>
          <w:sz w:val="18"/>
          <w:szCs w:val="18"/>
          <w:b w:val="1"/>
          <w:bCs w:val="1"/>
          <w:color w:val="auto"/>
        </w:rPr>
        <w:t>Stores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stores:</w:t>
      </w:r>
    </w:p>
    <w:p>
      <w:pPr>
        <w:spacing w:after="0" w:line="27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number of Build-A-Bear Workshop stores in the United States, Canada, Puerto Rico, the United Kingdom, Ireland and France for the last three fiscal years along with the projections for fiscal 2013 can be summarized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360" w:type="dxa"/>
            <w:vAlign w:val="bottom"/>
            <w:gridSpan w:val="8"/>
          </w:tcPr>
          <w:p>
            <w:pPr>
              <w:ind w:left="540"/>
              <w:spacing w:after="0"/>
              <w:rPr>
                <w:sz w:val="20"/>
                <w:szCs w:val="20"/>
                <w:color w:val="auto"/>
              </w:rPr>
            </w:pPr>
            <w:r>
              <w:rPr>
                <w:rFonts w:ascii="Arial" w:cs="Arial" w:eastAsia="Arial" w:hAnsi="Arial"/>
                <w:sz w:val="18"/>
                <w:szCs w:val="18"/>
                <w:b w:val="1"/>
                <w:bCs w:val="1"/>
                <w:color w:val="auto"/>
              </w:rPr>
              <w:t>Fifty-two Weeks Ended December 28, 2013 - Projected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2"/>
              </w:rPr>
              <w:t>December 29,</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3"/>
              </w:rPr>
              <w:t>December 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Opened</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Closed</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1200" w:type="dxa"/>
            <w:vAlign w:val="bottom"/>
            <w:tcBorders>
              <w:top w:val="single" w:sz="8" w:color="auto"/>
            </w:tcBorders>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0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Non-traditional</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18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Europe</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0FFFF"/>
          </w:tcPr>
          <w:p>
            <w:pPr>
              <w:spacing w:after="0"/>
              <w:rPr>
                <w:sz w:val="20"/>
                <w:szCs w:val="20"/>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0FFFF"/>
          </w:tcPr>
          <w:p>
            <w:pPr>
              <w:spacing w:after="0"/>
              <w:rPr>
                <w:sz w:val="20"/>
                <w:szCs w:val="20"/>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0FFFF"/>
            </w:tcBorders>
            <w:shd w:val="clear" w:color="auto" w:fill="C0FF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360" w:type="dxa"/>
            <w:vAlign w:val="bottom"/>
            <w:gridSpan w:val="8"/>
          </w:tcPr>
          <w:p>
            <w:pPr>
              <w:ind w:left="980"/>
              <w:spacing w:after="0"/>
              <w:rPr>
                <w:sz w:val="20"/>
                <w:szCs w:val="20"/>
                <w:color w:val="auto"/>
              </w:rPr>
            </w:pPr>
            <w:r>
              <w:rPr>
                <w:rFonts w:ascii="Arial" w:cs="Arial" w:eastAsia="Arial" w:hAnsi="Arial"/>
                <w:sz w:val="18"/>
                <w:szCs w:val="18"/>
                <w:b w:val="1"/>
                <w:bCs w:val="1"/>
                <w:color w:val="auto"/>
              </w:rPr>
              <w:t>Fifty-two Weeks Ended December 29, 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3"/>
              </w:rPr>
              <w:t>December 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Opened</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Closed</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1200" w:type="dxa"/>
            <w:vAlign w:val="bottom"/>
            <w:tcBorders>
              <w:top w:val="single" w:sz="8" w:color="auto"/>
            </w:tcBorders>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0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200" w:type="dxa"/>
            <w:vAlign w:val="bottom"/>
          </w:tcPr>
          <w:p>
            <w:pPr>
              <w:jc w:val="right"/>
              <w:spacing w:after="0"/>
              <w:rPr>
                <w:sz w:val="20"/>
                <w:szCs w:val="20"/>
                <w:color w:val="auto"/>
              </w:rPr>
            </w:pPr>
            <w:r>
              <w:rPr>
                <w:rFonts w:ascii="Arial" w:cs="Arial" w:eastAsia="Arial" w:hAnsi="Arial"/>
                <w:sz w:val="18"/>
                <w:szCs w:val="18"/>
                <w:color w:val="auto"/>
              </w:rPr>
              <w:t>287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Non-traditional</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18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Europe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0FFFF"/>
          </w:tcPr>
          <w:p>
            <w:pPr>
              <w:spacing w:after="0"/>
              <w:rPr>
                <w:sz w:val="20"/>
                <w:szCs w:val="20"/>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0FFFF"/>
          </w:tcPr>
          <w:p>
            <w:pPr>
              <w:spacing w:after="0"/>
              <w:rPr>
                <w:sz w:val="20"/>
                <w:szCs w:val="20"/>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0FFFF"/>
            </w:tcBorders>
            <w:shd w:val="clear" w:color="auto" w:fill="C0FF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360" w:type="dxa"/>
            <w:vAlign w:val="bottom"/>
            <w:gridSpan w:val="8"/>
          </w:tcPr>
          <w:p>
            <w:pPr>
              <w:ind w:left="980"/>
              <w:spacing w:after="0"/>
              <w:rPr>
                <w:sz w:val="20"/>
                <w:szCs w:val="20"/>
                <w:color w:val="auto"/>
              </w:rPr>
            </w:pPr>
            <w:r>
              <w:rPr>
                <w:rFonts w:ascii="Arial" w:cs="Arial" w:eastAsia="Arial" w:hAnsi="Arial"/>
                <w:sz w:val="18"/>
                <w:szCs w:val="18"/>
                <w:b w:val="1"/>
                <w:bCs w:val="1"/>
                <w:color w:val="auto"/>
              </w:rPr>
              <w:t>Fifty-two Weeks Ended December 31, 2011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January 1,</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Opened</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Closed</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1200" w:type="dxa"/>
            <w:vAlign w:val="bottom"/>
            <w:tcBorders>
              <w:top w:val="single" w:sz="8" w:color="auto"/>
            </w:tcBorders>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0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200" w:type="dxa"/>
            <w:vAlign w:val="bottom"/>
          </w:tcPr>
          <w:p>
            <w:pPr>
              <w:jc w:val="right"/>
              <w:spacing w:after="0"/>
              <w:rPr>
                <w:sz w:val="20"/>
                <w:szCs w:val="20"/>
                <w:color w:val="auto"/>
              </w:rPr>
            </w:pPr>
            <w:r>
              <w:rPr>
                <w:rFonts w:ascii="Arial" w:cs="Arial" w:eastAsia="Arial" w:hAnsi="Arial"/>
                <w:sz w:val="18"/>
                <w:szCs w:val="18"/>
                <w:color w:val="auto"/>
              </w:rPr>
              <w:t>290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Non-traditional</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18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Europe</w:t>
            </w: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0FFFF"/>
          </w:tcPr>
          <w:p>
            <w:pPr>
              <w:spacing w:after="0"/>
              <w:rPr>
                <w:sz w:val="20"/>
                <w:szCs w:val="20"/>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0FFFF"/>
          </w:tcPr>
          <w:p>
            <w:pPr>
              <w:spacing w:after="0"/>
              <w:rPr>
                <w:sz w:val="20"/>
                <w:szCs w:val="20"/>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0FFFF"/>
            </w:tcBorders>
            <w:shd w:val="clear" w:color="auto" w:fill="C0FF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long term store real estate goal is to improve our stores’ sales productivity and profitability. Today we believe that the optimal number of Build-A-Bear Workshop stores in North America is between 225 and 250 and approximately 60 to 70 in the United Kingdom and Ireland for a total of 285 to 320 stores. We currently expect to reach the optimal level in North America with the closure of 50 to 60 stores in fiscal 2013 and 2014. Locations to close and the timing of closures are subject to ongoing negotiations and overall economic considerations as we continually reevaluate our market repositioning and optimization plans.</w:t>
      </w:r>
    </w:p>
    <w:p>
      <w:pPr>
        <w:spacing w:after="0" w:line="24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Integral to the success of our real estate optimization strategies is the opening of our new store design which gives certain stores destination appeal and increases productivity in the market. The new design merges Build-A-Bear Workshop’s iconic hands-on bear-making process with the power of technology to provide an updated, highly interactive experience for our guests. As of March 8, 2013, we have opened six of these stores, one new store and five remodels or relocations. We expect to open 25 additional remodeled locations by the end of 2013. In 2012, we also opened one traditional store and one non-traditional store in North America and two traditional stores in the UK. The traditional store in North America is a reopening in a mall that had been closed since 2010 due to flooding.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5" w:name="page36"/>
    <w:bookmarkEnd w:id="35"/>
    <w:p>
      <w:pPr>
        <w:ind w:right="120" w:firstLine="486"/>
        <w:spacing w:after="0" w:line="272" w:lineRule="auto"/>
        <w:rPr>
          <w:sz w:val="20"/>
          <w:szCs w:val="20"/>
          <w:color w:val="auto"/>
        </w:rPr>
      </w:pPr>
      <w:r>
        <w:rPr>
          <w:rFonts w:ascii="Arial" w:cs="Arial" w:eastAsia="Arial" w:hAnsi="Arial"/>
          <w:sz w:val="17"/>
          <w:szCs w:val="17"/>
          <w:color w:val="auto"/>
        </w:rPr>
        <w:t>We have been aggressively renegotiating rents and executing short term extensions to line up lease dates within markets as part of an overall strategic plan to optimize our store locations and market positioning. As part of this strategy, we will continue to close underperforming stores in conjunction with natural lease expirations and kick out clauses, primarily in multi-store markets. In these markets, we currently expect to maintain approximately 20% of the sales from closing stores by transferring customers to other locations in the same market. We closed 10 and 12 stores in fiscal 2012 and fiscal 2011, respectively. We currently anticipate closing approximately 35 to 40 stores, including certain non-traditional store locations, in 2013 and approximately 20 additional stores in 2014. As a result, at the end of fiscal 2013, we anticipate that we will have approximately 310 traditional stores, 251 in North America and 59 in Europe and six non-traditional stores. In 2013 through March 8, we have closed 15 stores.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Non-traditional Store Locations:</w:t>
      </w:r>
    </w:p>
    <w:p>
      <w:pPr>
        <w:spacing w:after="0" w:line="2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2004 we began offering merchandise in seasonal, event-based locations such as Major League Baseball ballparks. As of December 29, 2012, we had one location each in a ballpark, a zoo, a science center, an airport and a hospital. In 2010, we opened our first temporary stores, which generally have lease terms of six to eighteen months and are excluded from our store count. These locations are intended to capitalize on short-term opportunities in specific locations. As of December 29, 2012, we operated four temporary stores.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Revenue:</w:t>
      </w:r>
    </w:p>
    <w:p>
      <w:pPr>
        <w:spacing w:after="0" w:line="27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fiscal 2004, we began entering into license agreements pursuant to which we receive royalties on Build-A-Bear Workshop brand products produced and sold by third parties. These agreements generated revenue of $1.1 million in 2012, $1.8 million in 2011 and $2.8 million in 2010. Wholesale revenue is primarily generated under agreements with third-parties who operate Build-A-Bear Workshop locations or sell our product in agreed-upon outlets. These agreements generated revenue of $1.7 million in 2012, $2.1 million in 2011 and $2.0 million in 2010. In addition to our normal wholesale business, in 2010, we had two wholesale transactions totaling $6.4 million with no gross margin.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7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Our first franchisee location was opened in November 2003. The number of international, franchised stores opened and closed for the periods presented below can be summarized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3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3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0FFFF"/>
          </w:tcPr>
          <w:p>
            <w:pPr>
              <w:spacing w:after="0"/>
              <w:rPr>
                <w:sz w:val="20"/>
                <w:szCs w:val="20"/>
                <w:color w:val="auto"/>
              </w:rPr>
            </w:pPr>
            <w:r>
              <w:rPr>
                <w:rFonts w:ascii="Arial" w:cs="Arial" w:eastAsia="Arial" w:hAnsi="Arial"/>
                <w:sz w:val="18"/>
                <w:szCs w:val="18"/>
                <w:color w:val="auto"/>
              </w:rPr>
              <w:t>Beginning of period</w:t>
            </w:r>
          </w:p>
        </w:tc>
        <w:tc>
          <w:tcPr>
            <w:tcW w:w="1200" w:type="dxa"/>
            <w:vAlign w:val="bottom"/>
            <w:shd w:val="clear" w:color="auto" w:fill="C0FFFF"/>
          </w:tcPr>
          <w:p>
            <w:pPr>
              <w:jc w:val="right"/>
              <w:ind w:right="370"/>
              <w:spacing w:after="0"/>
              <w:rPr>
                <w:sz w:val="20"/>
                <w:szCs w:val="20"/>
                <w:color w:val="auto"/>
              </w:rPr>
            </w:pPr>
            <w:r>
              <w:rPr>
                <w:rFonts w:ascii="Arial" w:cs="Arial" w:eastAsia="Arial" w:hAnsi="Arial"/>
                <w:sz w:val="18"/>
                <w:szCs w:val="18"/>
                <w:b w:val="1"/>
                <w:bCs w:val="1"/>
                <w:color w:val="auto"/>
              </w:rPr>
              <w:t>79</w:t>
            </w:r>
          </w:p>
        </w:tc>
        <w:tc>
          <w:tcPr>
            <w:tcW w:w="1380" w:type="dxa"/>
            <w:vAlign w:val="bottom"/>
            <w:gridSpan w:val="2"/>
            <w:shd w:val="clear" w:color="auto" w:fill="C0FFFF"/>
          </w:tcPr>
          <w:p>
            <w:pPr>
              <w:jc w:val="right"/>
              <w:ind w:right="370"/>
              <w:spacing w:after="0"/>
              <w:rPr>
                <w:sz w:val="20"/>
                <w:szCs w:val="20"/>
                <w:color w:val="auto"/>
              </w:rPr>
            </w:pPr>
            <w:r>
              <w:rPr>
                <w:rFonts w:ascii="Arial" w:cs="Arial" w:eastAsia="Arial" w:hAnsi="Arial"/>
                <w:sz w:val="18"/>
                <w:szCs w:val="18"/>
                <w:color w:val="auto"/>
              </w:rPr>
              <w:t>63</w:t>
            </w:r>
          </w:p>
        </w:tc>
        <w:tc>
          <w:tcPr>
            <w:tcW w:w="1340" w:type="dxa"/>
            <w:vAlign w:val="bottom"/>
            <w:gridSpan w:val="2"/>
            <w:shd w:val="clear" w:color="auto" w:fill="C0FFFF"/>
          </w:tcPr>
          <w:p>
            <w:pPr>
              <w:jc w:val="right"/>
              <w:ind w:right="35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Opened</w:t>
            </w: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17</w:t>
            </w:r>
          </w:p>
        </w:tc>
        <w:tc>
          <w:tcPr>
            <w:tcW w:w="1380" w:type="dxa"/>
            <w:vAlign w:val="bottom"/>
            <w:gridSpan w:val="2"/>
          </w:tcPr>
          <w:p>
            <w:pPr>
              <w:jc w:val="right"/>
              <w:ind w:right="370"/>
              <w:spacing w:after="0"/>
              <w:rPr>
                <w:sz w:val="20"/>
                <w:szCs w:val="20"/>
                <w:color w:val="auto"/>
              </w:rPr>
            </w:pPr>
            <w:r>
              <w:rPr>
                <w:rFonts w:ascii="Arial" w:cs="Arial" w:eastAsia="Arial" w:hAnsi="Arial"/>
                <w:sz w:val="18"/>
                <w:szCs w:val="18"/>
                <w:color w:val="auto"/>
              </w:rPr>
              <w:t>19</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Closed</w:t>
            </w:r>
          </w:p>
        </w:tc>
        <w:tc>
          <w:tcPr>
            <w:tcW w:w="1200" w:type="dxa"/>
            <w:vAlign w:val="bottom"/>
            <w:tcBorders>
              <w:bottom w:val="single" w:sz="8" w:color="auto"/>
            </w:tcBorders>
            <w:shd w:val="clear" w:color="auto" w:fill="C0FFFF"/>
          </w:tcPr>
          <w:p>
            <w:pPr>
              <w:jc w:val="right"/>
              <w:ind w:right="310"/>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C0FFFF"/>
            </w:tcBorders>
            <w:shd w:val="clear" w:color="auto" w:fill="C0FFFF"/>
          </w:tcPr>
          <w:p>
            <w:pPr>
              <w:spacing w:after="0"/>
              <w:rPr>
                <w:sz w:val="19"/>
                <w:szCs w:val="19"/>
                <w:color w:val="auto"/>
              </w:rPr>
            </w:pPr>
          </w:p>
        </w:tc>
        <w:tc>
          <w:tcPr>
            <w:tcW w:w="1200" w:type="dxa"/>
            <w:vAlign w:val="bottom"/>
            <w:tcBorders>
              <w:bottom w:val="single" w:sz="8" w:color="auto"/>
            </w:tcBorders>
            <w:shd w:val="clear" w:color="auto" w:fill="C0FFFF"/>
          </w:tcPr>
          <w:p>
            <w:pPr>
              <w:jc w:val="right"/>
              <w:ind w:right="3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ind w:right="29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End of period</w:t>
            </w: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91</w:t>
            </w:r>
          </w:p>
        </w:tc>
        <w:tc>
          <w:tcPr>
            <w:tcW w:w="1380" w:type="dxa"/>
            <w:vAlign w:val="bottom"/>
            <w:gridSpan w:val="2"/>
          </w:tcPr>
          <w:p>
            <w:pPr>
              <w:jc w:val="right"/>
              <w:ind w:right="370"/>
              <w:spacing w:after="0"/>
              <w:rPr>
                <w:sz w:val="20"/>
                <w:szCs w:val="20"/>
                <w:color w:val="auto"/>
              </w:rPr>
            </w:pPr>
            <w:r>
              <w:rPr>
                <w:rFonts w:ascii="Arial" w:cs="Arial" w:eastAsia="Arial" w:hAnsi="Arial"/>
                <w:sz w:val="18"/>
                <w:szCs w:val="18"/>
                <w:color w:val="auto"/>
              </w:rPr>
              <w:t>79</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of December 29, 2012, we had 12 master franchise agreements, which typically grant franchise rights for a particular country or group of countries, covering an aggregate of 16 countries. In the ordinary course of business, we anticipate signing additional master franchise agreements in the future and terminating other such agreements. We expect our current franchisees to open eight to twelve stores in fiscal 2013. We believe there is a market potential for approximately 300 international stores outside of the United States, Canada, the United Kingdom and Ireland, which we expect to be operated primarily by new and existing franchisees.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Overview</w:t>
      </w:r>
    </w:p>
    <w:p>
      <w:pPr>
        <w:spacing w:after="0" w:line="283"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While fiscal 2012 was a challenging year, with an overall decline in comparable store sales, significant impairment charges and a decline in store contribution, we made significant progress on our strategic objectives. We announced our plans to close 50 to 60 stores by the end of 2014 and introduced our innovative new store design and reintroduced brand building national television advertising in the United States. In the fourth quarter, we began to see indications that our strategic plans were having the desired impact:</w:t>
      </w:r>
    </w:p>
    <w:p>
      <w:pPr>
        <w:spacing w:after="0" w:line="241" w:lineRule="exact"/>
        <w:rPr>
          <w:sz w:val="20"/>
          <w:szCs w:val="20"/>
          <w:color w:val="auto"/>
        </w:rPr>
      </w:pPr>
    </w:p>
    <w:p>
      <w:pPr>
        <w:ind w:left="1080" w:hanging="316"/>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first six stores in the new design exceeded sales expectations, increasing an average of 30%;</w:t>
      </w:r>
    </w:p>
    <w:p>
      <w:pPr>
        <w:spacing w:after="0" w:line="279" w:lineRule="exact"/>
        <w:rPr>
          <w:rFonts w:ascii="Arial" w:cs="Arial" w:eastAsia="Arial" w:hAnsi="Arial"/>
          <w:sz w:val="18"/>
          <w:szCs w:val="18"/>
          <w:color w:val="auto"/>
        </w:rPr>
      </w:pPr>
    </w:p>
    <w:p>
      <w:pPr>
        <w:ind w:left="1080" w:hanging="316"/>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ten stores that were closed in 2012 transferred an average of 20% of sales to other stores in the same market;</w:t>
      </w:r>
    </w:p>
    <w:p>
      <w:pPr>
        <w:spacing w:after="0" w:line="279" w:lineRule="exact"/>
        <w:rPr>
          <w:rFonts w:ascii="Arial" w:cs="Arial" w:eastAsia="Arial" w:hAnsi="Arial"/>
          <w:sz w:val="18"/>
          <w:szCs w:val="18"/>
          <w:color w:val="auto"/>
        </w:rPr>
      </w:pPr>
    </w:p>
    <w:p>
      <w:pPr>
        <w:ind w:left="1080" w:right="80" w:hanging="316"/>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television marketing that began in mid-October, contributed to a significant improvement in the sales trend in North America, with fourth quarter comparable store sales increasing 1.5%;</w:t>
      </w:r>
    </w:p>
    <w:p>
      <w:pPr>
        <w:spacing w:after="0" w:line="224" w:lineRule="exact"/>
        <w:rPr>
          <w:rFonts w:ascii="Arial" w:cs="Arial" w:eastAsia="Arial" w:hAnsi="Arial"/>
          <w:sz w:val="18"/>
          <w:szCs w:val="18"/>
          <w:color w:val="auto"/>
        </w:rPr>
      </w:pPr>
    </w:p>
    <w:p>
      <w:pPr>
        <w:ind w:left="1080" w:right="120" w:hanging="316"/>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gift of experience message in our ad campaigns also drove a 30% increase in gift card sales in the peak fourth quarter gifting season. We expect to see the benefit of these redemptions in 2013; and</w:t>
      </w:r>
    </w:p>
    <w:p>
      <w:pPr>
        <w:spacing w:after="0" w:line="224" w:lineRule="exact"/>
        <w:rPr>
          <w:rFonts w:ascii="Arial" w:cs="Arial" w:eastAsia="Arial" w:hAnsi="Arial"/>
          <w:sz w:val="18"/>
          <w:szCs w:val="18"/>
          <w:color w:val="auto"/>
        </w:rPr>
      </w:pPr>
    </w:p>
    <w:p>
      <w:pPr>
        <w:ind w:left="1080" w:right="500" w:hanging="316"/>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achieved cost savings of $7.5 million in 2012 which we used to support sales-driving marketing initiatives and to offset product cost increases.</w:t>
      </w:r>
    </w:p>
    <w:p>
      <w:pPr>
        <w:spacing w:after="0" w:line="22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Fiscal 2013 will be a year of significant transition as we expect to hire a new chief executive bear and execute significant real estate strategy with the closure of approximately 35 to 40 stores and the remodeling or relocation of approximately 25 stores in our new design.</w:t>
      </w:r>
    </w:p>
    <w:p>
      <w:pPr>
        <w:spacing w:after="0" w:line="22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17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Fiscal 2012</w:t>
            </w:r>
          </w:p>
        </w:tc>
        <w:tc>
          <w:tcPr>
            <w:tcW w:w="82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Fiscal 2011</w:t>
            </w:r>
          </w:p>
        </w:tc>
        <w:tc>
          <w:tcPr>
            <w:tcW w:w="82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Fiscal 2010</w:t>
            </w:r>
          </w:p>
        </w:tc>
        <w:tc>
          <w:tcPr>
            <w:tcW w:w="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17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ind w:left="360"/>
              <w:spacing w:after="0" w:line="201" w:lineRule="exact"/>
              <w:rPr>
                <w:sz w:val="20"/>
                <w:szCs w:val="20"/>
                <w:color w:val="auto"/>
              </w:rPr>
            </w:pPr>
            <w:r>
              <w:rPr>
                <w:rFonts w:ascii="Arial" w:cs="Arial" w:eastAsia="Arial" w:hAnsi="Arial"/>
                <w:sz w:val="18"/>
                <w:szCs w:val="18"/>
                <w:color w:val="auto"/>
              </w:rPr>
              <w:t>Net retail</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sales</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98.3</w:t>
            </w:r>
          </w:p>
        </w:tc>
        <w:tc>
          <w:tcPr>
            <w:tcW w:w="82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98.1</w:t>
            </w:r>
          </w:p>
        </w:tc>
        <w:tc>
          <w:tcPr>
            <w:tcW w:w="82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96.4</w:t>
            </w:r>
          </w:p>
        </w:tc>
        <w:tc>
          <w:tcPr>
            <w:tcW w:w="400" w:type="dxa"/>
            <w:vAlign w:val="bottom"/>
          </w:tcPr>
          <w:p>
            <w:pPr>
              <w:ind w:left="2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0FFFF"/>
          </w:tcPr>
          <w:p>
            <w:pPr>
              <w:ind w:left="360"/>
              <w:spacing w:after="0" w:line="201" w:lineRule="exact"/>
              <w:rPr>
                <w:sz w:val="20"/>
                <w:szCs w:val="20"/>
                <w:color w:val="auto"/>
              </w:rPr>
            </w:pPr>
            <w:r>
              <w:rPr>
                <w:rFonts w:ascii="Arial" w:cs="Arial" w:eastAsia="Arial" w:hAnsi="Arial"/>
                <w:sz w:val="18"/>
                <w:szCs w:val="18"/>
                <w:color w:val="auto"/>
              </w:rPr>
              <w:t>Commercial</w:t>
            </w:r>
          </w:p>
        </w:tc>
        <w:tc>
          <w:tcPr>
            <w:tcW w:w="17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4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revenues</w:t>
            </w:r>
          </w:p>
        </w:tc>
        <w:tc>
          <w:tcPr>
            <w:tcW w:w="17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0.7</w:t>
            </w:r>
          </w:p>
        </w:tc>
        <w:tc>
          <w:tcPr>
            <w:tcW w:w="820" w:type="dxa"/>
            <w:vAlign w:val="bottom"/>
            <w:shd w:val="clear" w:color="auto" w:fill="C0FFFF"/>
          </w:tcPr>
          <w:p>
            <w:pPr>
              <w:spacing w:after="0"/>
              <w:rPr>
                <w:sz w:val="20"/>
                <w:szCs w:val="20"/>
                <w:color w:val="auto"/>
              </w:rPr>
            </w:pPr>
          </w:p>
        </w:tc>
        <w:tc>
          <w:tcPr>
            <w:tcW w:w="18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0FFFF"/>
          </w:tcPr>
          <w:p>
            <w:pPr>
              <w:spacing w:after="0"/>
              <w:rPr>
                <w:sz w:val="20"/>
                <w:szCs w:val="20"/>
                <w:color w:val="auto"/>
              </w:rPr>
            </w:pPr>
          </w:p>
        </w:tc>
        <w:tc>
          <w:tcPr>
            <w:tcW w:w="18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ind w:left="360"/>
              <w:spacing w:after="0" w:line="201" w:lineRule="exact"/>
              <w:rPr>
                <w:sz w:val="20"/>
                <w:szCs w:val="20"/>
                <w:color w:val="auto"/>
              </w:rPr>
            </w:pPr>
            <w:r>
              <w:rPr>
                <w:rFonts w:ascii="Arial" w:cs="Arial" w:eastAsia="Arial" w:hAnsi="Arial"/>
                <w:sz w:val="18"/>
                <w:szCs w:val="18"/>
                <w:color w:val="auto"/>
              </w:rPr>
              <w:t>Franchise</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fees</w:t>
            </w:r>
          </w:p>
        </w:tc>
        <w:tc>
          <w:tcPr>
            <w:tcW w:w="1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0.9</w:t>
            </w:r>
          </w:p>
        </w:tc>
        <w:tc>
          <w:tcPr>
            <w:tcW w:w="8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0.9</w:t>
            </w:r>
          </w:p>
        </w:tc>
        <w:tc>
          <w:tcPr>
            <w:tcW w:w="8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0.8</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0FFFF"/>
          </w:tcPr>
          <w:p>
            <w:pPr>
              <w:spacing w:after="0"/>
              <w:rPr>
                <w:sz w:val="20"/>
                <w:szCs w:val="20"/>
                <w:color w:val="auto"/>
              </w:rPr>
            </w:pPr>
            <w:r>
              <w:rPr>
                <w:rFonts w:ascii="Arial" w:cs="Arial" w:eastAsia="Arial" w:hAnsi="Arial"/>
                <w:sz w:val="18"/>
                <w:szCs w:val="18"/>
                <w:color w:val="auto"/>
              </w:rPr>
              <w:t>Total revenues</w:t>
            </w:r>
          </w:p>
        </w:tc>
        <w:tc>
          <w:tcPr>
            <w:tcW w:w="17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Costs and</w:t>
            </w:r>
          </w:p>
        </w:tc>
        <w:tc>
          <w:tcPr>
            <w:tcW w:w="17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4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0FFFF"/>
          </w:tcPr>
          <w:p>
            <w:pPr>
              <w:spacing w:after="0"/>
              <w:rPr>
                <w:sz w:val="20"/>
                <w:szCs w:val="20"/>
                <w:color w:val="auto"/>
              </w:rPr>
            </w:pPr>
            <w:r>
              <w:rPr>
                <w:rFonts w:ascii="Arial" w:cs="Arial" w:eastAsia="Arial" w:hAnsi="Arial"/>
                <w:sz w:val="18"/>
                <w:szCs w:val="18"/>
                <w:color w:val="auto"/>
              </w:rPr>
              <w:t>expenses:</w:t>
            </w:r>
          </w:p>
        </w:tc>
        <w:tc>
          <w:tcPr>
            <w:tcW w:w="1720" w:type="dxa"/>
            <w:vAlign w:val="bottom"/>
            <w:shd w:val="clear" w:color="auto" w:fill="C0FFFF"/>
          </w:tcPr>
          <w:p>
            <w:pPr>
              <w:spacing w:after="0"/>
              <w:rPr>
                <w:sz w:val="20"/>
                <w:szCs w:val="20"/>
                <w:color w:val="auto"/>
              </w:rPr>
            </w:pPr>
          </w:p>
        </w:tc>
        <w:tc>
          <w:tcPr>
            <w:tcW w:w="820" w:type="dxa"/>
            <w:vAlign w:val="bottom"/>
            <w:shd w:val="clear" w:color="auto" w:fill="C0FFFF"/>
          </w:tcPr>
          <w:p>
            <w:pPr>
              <w:spacing w:after="0"/>
              <w:rPr>
                <w:sz w:val="20"/>
                <w:szCs w:val="20"/>
                <w:color w:val="auto"/>
              </w:rPr>
            </w:pPr>
          </w:p>
        </w:tc>
        <w:tc>
          <w:tcPr>
            <w:tcW w:w="1820" w:type="dxa"/>
            <w:vAlign w:val="bottom"/>
            <w:shd w:val="clear" w:color="auto" w:fill="C0FFFF"/>
          </w:tcPr>
          <w:p>
            <w:pPr>
              <w:spacing w:after="0"/>
              <w:rPr>
                <w:sz w:val="20"/>
                <w:szCs w:val="20"/>
                <w:color w:val="auto"/>
              </w:rPr>
            </w:pPr>
          </w:p>
        </w:tc>
        <w:tc>
          <w:tcPr>
            <w:tcW w:w="820" w:type="dxa"/>
            <w:vAlign w:val="bottom"/>
            <w:shd w:val="clear" w:color="auto" w:fill="C0FFFF"/>
          </w:tcPr>
          <w:p>
            <w:pPr>
              <w:spacing w:after="0"/>
              <w:rPr>
                <w:sz w:val="20"/>
                <w:szCs w:val="20"/>
                <w:color w:val="auto"/>
              </w:rPr>
            </w:pPr>
          </w:p>
        </w:tc>
        <w:tc>
          <w:tcPr>
            <w:tcW w:w="1820" w:type="dxa"/>
            <w:vAlign w:val="bottom"/>
            <w:shd w:val="clear" w:color="auto" w:fill="C0FFFF"/>
          </w:tcPr>
          <w:p>
            <w:pPr>
              <w:spacing w:after="0"/>
              <w:rPr>
                <w:sz w:val="20"/>
                <w:szCs w:val="20"/>
                <w:color w:val="auto"/>
              </w:rPr>
            </w:pPr>
          </w:p>
        </w:tc>
        <w:tc>
          <w:tcPr>
            <w:tcW w:w="4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ind w:left="360"/>
              <w:spacing w:after="0" w:line="201" w:lineRule="exact"/>
              <w:rPr>
                <w:sz w:val="20"/>
                <w:szCs w:val="20"/>
                <w:color w:val="auto"/>
              </w:rPr>
            </w:pPr>
            <w:r>
              <w:rPr>
                <w:rFonts w:ascii="Arial" w:cs="Arial" w:eastAsia="Arial" w:hAnsi="Arial"/>
                <w:sz w:val="18"/>
                <w:szCs w:val="18"/>
                <w:color w:val="auto"/>
              </w:rPr>
              <w:t>Cost of</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merchandise</w:t>
            </w: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sold </w:t>
            </w:r>
            <w:r>
              <w:rPr>
                <w:rFonts w:ascii="Arial" w:cs="Arial" w:eastAsia="Arial" w:hAnsi="Arial"/>
                <w:sz w:val="25"/>
                <w:szCs w:val="25"/>
                <w:color w:val="auto"/>
                <w:vertAlign w:val="superscript"/>
              </w:rPr>
              <w:t>(1)</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61.0</w:t>
            </w:r>
          </w:p>
        </w:tc>
        <w:tc>
          <w:tcPr>
            <w:tcW w:w="82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59.9</w:t>
            </w:r>
          </w:p>
        </w:tc>
        <w:tc>
          <w:tcPr>
            <w:tcW w:w="82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60.1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0FFFF"/>
          </w:tcPr>
          <w:p>
            <w:pPr>
              <w:ind w:left="360"/>
              <w:spacing w:after="0" w:line="201" w:lineRule="exact"/>
              <w:rPr>
                <w:sz w:val="20"/>
                <w:szCs w:val="20"/>
                <w:color w:val="auto"/>
              </w:rPr>
            </w:pPr>
            <w:r>
              <w:rPr>
                <w:rFonts w:ascii="Arial" w:cs="Arial" w:eastAsia="Arial" w:hAnsi="Arial"/>
                <w:sz w:val="18"/>
                <w:szCs w:val="18"/>
                <w:color w:val="auto"/>
              </w:rPr>
              <w:t>Selling,</w:t>
            </w:r>
          </w:p>
        </w:tc>
        <w:tc>
          <w:tcPr>
            <w:tcW w:w="17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4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general,</w:t>
            </w:r>
          </w:p>
        </w:tc>
        <w:tc>
          <w:tcPr>
            <w:tcW w:w="17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and</w:t>
            </w:r>
          </w:p>
        </w:tc>
        <w:tc>
          <w:tcPr>
            <w:tcW w:w="17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administrative</w:t>
            </w:r>
          </w:p>
        </w:tc>
        <w:tc>
          <w:tcPr>
            <w:tcW w:w="17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43.4</w:t>
            </w:r>
          </w:p>
        </w:tc>
        <w:tc>
          <w:tcPr>
            <w:tcW w:w="820" w:type="dxa"/>
            <w:vAlign w:val="bottom"/>
            <w:shd w:val="clear" w:color="auto" w:fill="C0FFFF"/>
          </w:tcPr>
          <w:p>
            <w:pPr>
              <w:spacing w:after="0"/>
              <w:rPr>
                <w:sz w:val="20"/>
                <w:szCs w:val="20"/>
                <w:color w:val="auto"/>
              </w:rPr>
            </w:pPr>
          </w:p>
        </w:tc>
        <w:tc>
          <w:tcPr>
            <w:tcW w:w="18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41.3</w:t>
            </w:r>
          </w:p>
        </w:tc>
        <w:tc>
          <w:tcPr>
            <w:tcW w:w="820" w:type="dxa"/>
            <w:vAlign w:val="bottom"/>
            <w:shd w:val="clear" w:color="auto" w:fill="C0FFFF"/>
          </w:tcPr>
          <w:p>
            <w:pPr>
              <w:spacing w:after="0"/>
              <w:rPr>
                <w:sz w:val="20"/>
                <w:szCs w:val="20"/>
                <w:color w:val="auto"/>
              </w:rPr>
            </w:pPr>
          </w:p>
        </w:tc>
        <w:tc>
          <w:tcPr>
            <w:tcW w:w="182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rPr>
              <w:t>41.0</w:t>
            </w:r>
          </w:p>
        </w:tc>
        <w:tc>
          <w:tcPr>
            <w:tcW w:w="4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ind w:left="360"/>
              <w:spacing w:after="0" w:line="201" w:lineRule="exact"/>
              <w:rPr>
                <w:sz w:val="20"/>
                <w:szCs w:val="20"/>
                <w:color w:val="auto"/>
              </w:rPr>
            </w:pPr>
            <w:r>
              <w:rPr>
                <w:rFonts w:ascii="Arial" w:cs="Arial" w:eastAsia="Arial" w:hAnsi="Arial"/>
                <w:sz w:val="18"/>
                <w:szCs w:val="18"/>
                <w:color w:val="auto"/>
              </w:rPr>
              <w:t>Goodwill</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82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0FFFF"/>
          </w:tcPr>
          <w:p>
            <w:pPr>
              <w:ind w:left="360"/>
              <w:spacing w:after="0" w:line="201" w:lineRule="exact"/>
              <w:rPr>
                <w:sz w:val="20"/>
                <w:szCs w:val="20"/>
                <w:color w:val="auto"/>
              </w:rPr>
            </w:pPr>
            <w:r>
              <w:rPr>
                <w:rFonts w:ascii="Arial" w:cs="Arial" w:eastAsia="Arial" w:hAnsi="Arial"/>
                <w:sz w:val="18"/>
                <w:szCs w:val="18"/>
                <w:color w:val="auto"/>
              </w:rPr>
              <w:t>Interest</w:t>
            </w:r>
          </w:p>
        </w:tc>
        <w:tc>
          <w:tcPr>
            <w:tcW w:w="17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4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expense</w:t>
            </w:r>
          </w:p>
        </w:tc>
        <w:tc>
          <w:tcPr>
            <w:tcW w:w="17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(income),</w:t>
            </w:r>
          </w:p>
        </w:tc>
        <w:tc>
          <w:tcPr>
            <w:tcW w:w="17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tcBorders>
              <w:bottom w:val="single" w:sz="8" w:color="auto"/>
            </w:tcBorders>
            <w:shd w:val="clear" w:color="auto" w:fill="C0FFFF"/>
          </w:tcPr>
          <w:p>
            <w:pPr>
              <w:ind w:left="360"/>
              <w:spacing w:after="0"/>
              <w:rPr>
                <w:sz w:val="20"/>
                <w:szCs w:val="20"/>
                <w:color w:val="auto"/>
              </w:rPr>
            </w:pPr>
            <w:r>
              <w:rPr>
                <w:rFonts w:ascii="Arial" w:cs="Arial" w:eastAsia="Arial" w:hAnsi="Arial"/>
                <w:sz w:val="18"/>
                <w:szCs w:val="18"/>
                <w:color w:val="auto"/>
              </w:rPr>
              <w:t>net</w:t>
            </w:r>
          </w:p>
        </w:tc>
        <w:tc>
          <w:tcPr>
            <w:tcW w:w="1720" w:type="dxa"/>
            <w:vAlign w:val="bottom"/>
            <w:tcBorders>
              <w:bottom w:val="single" w:sz="8" w:color="auto"/>
            </w:tcBorders>
            <w:shd w:val="clear" w:color="auto" w:fill="C0FFFF"/>
          </w:tcPr>
          <w:p>
            <w:pPr>
              <w:jc w:val="right"/>
              <w:ind w:right="150"/>
              <w:spacing w:after="0"/>
              <w:rPr>
                <w:sz w:val="20"/>
                <w:szCs w:val="20"/>
                <w:color w:val="auto"/>
              </w:rPr>
            </w:pPr>
            <w:r>
              <w:rPr>
                <w:rFonts w:ascii="Arial" w:cs="Arial" w:eastAsia="Arial" w:hAnsi="Arial"/>
                <w:sz w:val="18"/>
                <w:szCs w:val="18"/>
                <w:color w:val="auto"/>
              </w:rPr>
              <w:t>0.0</w:t>
            </w:r>
          </w:p>
        </w:tc>
        <w:tc>
          <w:tcPr>
            <w:tcW w:w="820" w:type="dxa"/>
            <w:vAlign w:val="bottom"/>
            <w:tcBorders>
              <w:bottom w:val="single" w:sz="8" w:color="auto"/>
            </w:tcBorders>
            <w:shd w:val="clear" w:color="auto" w:fill="C0FFFF"/>
          </w:tcPr>
          <w:p>
            <w:pPr>
              <w:spacing w:after="0"/>
              <w:rPr>
                <w:sz w:val="20"/>
                <w:szCs w:val="20"/>
                <w:color w:val="auto"/>
              </w:rPr>
            </w:pPr>
          </w:p>
        </w:tc>
        <w:tc>
          <w:tcPr>
            <w:tcW w:w="1820" w:type="dxa"/>
            <w:vAlign w:val="bottom"/>
            <w:tcBorders>
              <w:bottom w:val="single" w:sz="8" w:color="auto"/>
            </w:tcBorders>
            <w:shd w:val="clear" w:color="auto" w:fill="C0FFFF"/>
          </w:tcPr>
          <w:p>
            <w:pPr>
              <w:jc w:val="right"/>
              <w:ind w:right="150"/>
              <w:spacing w:after="0"/>
              <w:rPr>
                <w:sz w:val="20"/>
                <w:szCs w:val="20"/>
                <w:color w:val="auto"/>
              </w:rPr>
            </w:pPr>
            <w:r>
              <w:rPr>
                <w:rFonts w:ascii="Arial" w:cs="Arial" w:eastAsia="Arial" w:hAnsi="Arial"/>
                <w:sz w:val="18"/>
                <w:szCs w:val="18"/>
                <w:color w:val="auto"/>
              </w:rPr>
              <w:t>(0.0</w:t>
            </w:r>
          </w:p>
        </w:tc>
        <w:tc>
          <w:tcPr>
            <w:tcW w:w="820" w:type="dxa"/>
            <w:vAlign w:val="bottom"/>
            <w:tcBorders>
              <w:bottom w:val="single" w:sz="8" w:color="auto"/>
            </w:tcBorders>
            <w:shd w:val="clear" w:color="auto" w:fill="C0FFFF"/>
          </w:tcPr>
          <w:p>
            <w:pPr>
              <w:ind w:left="2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0FFFF"/>
          </w:tcPr>
          <w:p>
            <w:pPr>
              <w:jc w:val="right"/>
              <w:ind w:right="150"/>
              <w:spacing w:after="0"/>
              <w:rPr>
                <w:sz w:val="20"/>
                <w:szCs w:val="20"/>
                <w:color w:val="auto"/>
              </w:rPr>
            </w:pPr>
            <w:r>
              <w:rPr>
                <w:rFonts w:ascii="Arial" w:cs="Arial" w:eastAsia="Arial" w:hAnsi="Arial"/>
                <w:sz w:val="18"/>
                <w:szCs w:val="18"/>
                <w:color w:val="auto"/>
              </w:rPr>
              <w:t>(0.1</w:t>
            </w:r>
          </w:p>
        </w:tc>
        <w:tc>
          <w:tcPr>
            <w:tcW w:w="400" w:type="dxa"/>
            <w:vAlign w:val="bottom"/>
            <w:tcBorders>
              <w:bottom w:val="single" w:sz="8" w:color="auto"/>
            </w:tcBorders>
            <w:shd w:val="clear" w:color="auto" w:fill="C0FF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Total costs and</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112.7</w:t>
            </w:r>
          </w:p>
        </w:tc>
        <w:tc>
          <w:tcPr>
            <w:tcW w:w="82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100.7</w:t>
            </w:r>
          </w:p>
        </w:tc>
        <w:tc>
          <w:tcPr>
            <w:tcW w:w="82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100.6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Borders>
              <w:top w:val="single" w:sz="8" w:color="auto"/>
            </w:tcBorders>
            <w:shd w:val="clear" w:color="auto" w:fill="C0FFFF"/>
          </w:tcPr>
          <w:p>
            <w:pPr>
              <w:spacing w:after="0"/>
              <w:rPr>
                <w:sz w:val="18"/>
                <w:szCs w:val="18"/>
                <w:color w:val="auto"/>
              </w:rPr>
            </w:pPr>
          </w:p>
        </w:tc>
        <w:tc>
          <w:tcPr>
            <w:tcW w:w="1720" w:type="dxa"/>
            <w:vAlign w:val="bottom"/>
            <w:tcBorders>
              <w:top w:val="single" w:sz="8" w:color="auto"/>
            </w:tcBorders>
            <w:shd w:val="clear" w:color="auto" w:fill="C0FFFF"/>
          </w:tcPr>
          <w:p>
            <w:pPr>
              <w:spacing w:after="0"/>
              <w:rPr>
                <w:sz w:val="18"/>
                <w:szCs w:val="18"/>
                <w:color w:val="auto"/>
              </w:rPr>
            </w:pPr>
          </w:p>
        </w:tc>
        <w:tc>
          <w:tcPr>
            <w:tcW w:w="820" w:type="dxa"/>
            <w:vAlign w:val="bottom"/>
            <w:tcBorders>
              <w:top w:val="single" w:sz="8" w:color="auto"/>
            </w:tcBorders>
            <w:shd w:val="clear" w:color="auto" w:fill="C0FFFF"/>
          </w:tcPr>
          <w:p>
            <w:pPr>
              <w:spacing w:after="0"/>
              <w:rPr>
                <w:sz w:val="18"/>
                <w:szCs w:val="18"/>
                <w:color w:val="auto"/>
              </w:rPr>
            </w:pPr>
          </w:p>
        </w:tc>
        <w:tc>
          <w:tcPr>
            <w:tcW w:w="1820" w:type="dxa"/>
            <w:vAlign w:val="bottom"/>
            <w:tcBorders>
              <w:top w:val="single" w:sz="8" w:color="auto"/>
            </w:tcBorders>
            <w:shd w:val="clear" w:color="auto" w:fill="C0FFFF"/>
          </w:tcPr>
          <w:p>
            <w:pPr>
              <w:spacing w:after="0"/>
              <w:rPr>
                <w:sz w:val="18"/>
                <w:szCs w:val="18"/>
                <w:color w:val="auto"/>
              </w:rPr>
            </w:pPr>
          </w:p>
        </w:tc>
        <w:tc>
          <w:tcPr>
            <w:tcW w:w="820" w:type="dxa"/>
            <w:vAlign w:val="bottom"/>
            <w:tcBorders>
              <w:top w:val="single" w:sz="8" w:color="auto"/>
            </w:tcBorders>
            <w:shd w:val="clear" w:color="auto" w:fill="C0FFFF"/>
          </w:tcPr>
          <w:p>
            <w:pPr>
              <w:spacing w:after="0"/>
              <w:rPr>
                <w:sz w:val="18"/>
                <w:szCs w:val="18"/>
                <w:color w:val="auto"/>
              </w:rPr>
            </w:pPr>
          </w:p>
        </w:tc>
        <w:tc>
          <w:tcPr>
            <w:tcW w:w="1820" w:type="dxa"/>
            <w:vAlign w:val="bottom"/>
            <w:tcBorders>
              <w:top w:val="single" w:sz="8" w:color="auto"/>
            </w:tcBorders>
            <w:shd w:val="clear" w:color="auto" w:fill="C0FFFF"/>
          </w:tcPr>
          <w:p>
            <w:pPr>
              <w:spacing w:after="0"/>
              <w:rPr>
                <w:sz w:val="18"/>
                <w:szCs w:val="18"/>
                <w:color w:val="auto"/>
              </w:rPr>
            </w:pPr>
          </w:p>
        </w:tc>
        <w:tc>
          <w:tcPr>
            <w:tcW w:w="400" w:type="dxa"/>
            <w:vAlign w:val="bottom"/>
            <w:tcBorders>
              <w:top w:val="single" w:sz="8" w:color="auto"/>
            </w:tcBorders>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Loss before</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(12.7</w:t>
            </w:r>
          </w:p>
        </w:tc>
        <w:tc>
          <w:tcPr>
            <w:tcW w:w="82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82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Income tax</w:t>
            </w:r>
          </w:p>
        </w:tc>
        <w:tc>
          <w:tcPr>
            <w:tcW w:w="17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820" w:type="dxa"/>
            <w:vAlign w:val="bottom"/>
            <w:shd w:val="clear" w:color="auto" w:fill="C0FFFF"/>
          </w:tcPr>
          <w:p>
            <w:pPr>
              <w:spacing w:after="0"/>
              <w:rPr>
                <w:sz w:val="17"/>
                <w:szCs w:val="17"/>
                <w:color w:val="auto"/>
              </w:rPr>
            </w:pPr>
          </w:p>
        </w:tc>
        <w:tc>
          <w:tcPr>
            <w:tcW w:w="1820" w:type="dxa"/>
            <w:vAlign w:val="bottom"/>
            <w:shd w:val="clear" w:color="auto" w:fill="C0FFFF"/>
          </w:tcPr>
          <w:p>
            <w:pPr>
              <w:spacing w:after="0"/>
              <w:rPr>
                <w:sz w:val="17"/>
                <w:szCs w:val="17"/>
                <w:color w:val="auto"/>
              </w:rPr>
            </w:pPr>
          </w:p>
        </w:tc>
        <w:tc>
          <w:tcPr>
            <w:tcW w:w="4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0FFFF"/>
          </w:tcPr>
          <w:p>
            <w:pPr>
              <w:spacing w:after="0"/>
              <w:rPr>
                <w:sz w:val="20"/>
                <w:szCs w:val="20"/>
                <w:color w:val="auto"/>
              </w:rPr>
            </w:pPr>
            <w:r>
              <w:rPr>
                <w:rFonts w:ascii="Arial" w:cs="Arial" w:eastAsia="Arial" w:hAnsi="Arial"/>
                <w:sz w:val="18"/>
                <w:szCs w:val="18"/>
                <w:color w:val="auto"/>
              </w:rPr>
              <w:t>expense</w:t>
            </w:r>
          </w:p>
        </w:tc>
        <w:tc>
          <w:tcPr>
            <w:tcW w:w="17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tcBorders>
              <w:bottom w:val="single" w:sz="8" w:color="auto"/>
            </w:tcBorders>
            <w:shd w:val="clear" w:color="auto" w:fill="C0FFFF"/>
          </w:tcPr>
          <w:p>
            <w:pPr>
              <w:spacing w:after="0"/>
              <w:rPr>
                <w:sz w:val="20"/>
                <w:szCs w:val="20"/>
                <w:color w:val="auto"/>
              </w:rPr>
            </w:pPr>
            <w:r>
              <w:rPr>
                <w:rFonts w:ascii="Arial" w:cs="Arial" w:eastAsia="Arial" w:hAnsi="Arial"/>
                <w:sz w:val="18"/>
                <w:szCs w:val="18"/>
                <w:color w:val="auto"/>
              </w:rPr>
              <w:t>(benefit)</w:t>
            </w:r>
          </w:p>
        </w:tc>
        <w:tc>
          <w:tcPr>
            <w:tcW w:w="1720" w:type="dxa"/>
            <w:vAlign w:val="bottom"/>
            <w:tcBorders>
              <w:bottom w:val="single" w:sz="8" w:color="auto"/>
            </w:tcBorders>
            <w:shd w:val="clear" w:color="auto" w:fill="C0FFFF"/>
          </w:tcPr>
          <w:p>
            <w:pPr>
              <w:jc w:val="right"/>
              <w:ind w:right="150"/>
              <w:spacing w:after="0"/>
              <w:rPr>
                <w:sz w:val="20"/>
                <w:szCs w:val="20"/>
                <w:color w:val="auto"/>
              </w:rPr>
            </w:pPr>
            <w:r>
              <w:rPr>
                <w:rFonts w:ascii="Arial" w:cs="Arial" w:eastAsia="Arial" w:hAnsi="Arial"/>
                <w:sz w:val="18"/>
                <w:szCs w:val="18"/>
                <w:color w:val="auto"/>
              </w:rPr>
              <w:t>0.2</w:t>
            </w:r>
          </w:p>
        </w:tc>
        <w:tc>
          <w:tcPr>
            <w:tcW w:w="820" w:type="dxa"/>
            <w:vAlign w:val="bottom"/>
            <w:tcBorders>
              <w:bottom w:val="single" w:sz="8" w:color="auto"/>
            </w:tcBorders>
            <w:shd w:val="clear" w:color="auto" w:fill="C0FFFF"/>
          </w:tcPr>
          <w:p>
            <w:pPr>
              <w:spacing w:after="0"/>
              <w:rPr>
                <w:sz w:val="20"/>
                <w:szCs w:val="20"/>
                <w:color w:val="auto"/>
              </w:rPr>
            </w:pPr>
          </w:p>
        </w:tc>
        <w:tc>
          <w:tcPr>
            <w:tcW w:w="1820" w:type="dxa"/>
            <w:vAlign w:val="bottom"/>
            <w:tcBorders>
              <w:bottom w:val="single" w:sz="8" w:color="auto"/>
            </w:tcBorders>
            <w:shd w:val="clear" w:color="auto" w:fill="C0FFFF"/>
          </w:tcPr>
          <w:p>
            <w:pPr>
              <w:jc w:val="right"/>
              <w:ind w:right="150"/>
              <w:spacing w:after="0"/>
              <w:rPr>
                <w:sz w:val="20"/>
                <w:szCs w:val="20"/>
                <w:color w:val="auto"/>
              </w:rPr>
            </w:pPr>
            <w:r>
              <w:rPr>
                <w:rFonts w:ascii="Arial" w:cs="Arial" w:eastAsia="Arial" w:hAnsi="Arial"/>
                <w:sz w:val="18"/>
                <w:szCs w:val="18"/>
                <w:color w:val="auto"/>
              </w:rPr>
              <w:t>3.7</w:t>
            </w:r>
          </w:p>
        </w:tc>
        <w:tc>
          <w:tcPr>
            <w:tcW w:w="820" w:type="dxa"/>
            <w:vAlign w:val="bottom"/>
            <w:tcBorders>
              <w:bottom w:val="single" w:sz="8" w:color="auto"/>
            </w:tcBorders>
            <w:shd w:val="clear" w:color="auto" w:fill="C0FFFF"/>
          </w:tcPr>
          <w:p>
            <w:pPr>
              <w:spacing w:after="0"/>
              <w:rPr>
                <w:sz w:val="20"/>
                <w:szCs w:val="20"/>
                <w:color w:val="auto"/>
              </w:rPr>
            </w:pPr>
          </w:p>
        </w:tc>
        <w:tc>
          <w:tcPr>
            <w:tcW w:w="1820" w:type="dxa"/>
            <w:vAlign w:val="bottom"/>
            <w:tcBorders>
              <w:bottom w:val="single" w:sz="8" w:color="auto"/>
            </w:tcBorders>
            <w:shd w:val="clear" w:color="auto" w:fill="C0FFFF"/>
          </w:tcPr>
          <w:p>
            <w:pPr>
              <w:jc w:val="right"/>
              <w:ind w:right="150"/>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auto"/>
            </w:tcBorders>
            <w:shd w:val="clear" w:color="auto" w:fill="C0FF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(loss)</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(12.9</w:t>
            </w:r>
          </w:p>
        </w:tc>
        <w:tc>
          <w:tcPr>
            <w:tcW w:w="82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820" w:type="dxa"/>
            <w:vAlign w:val="bottom"/>
          </w:tcPr>
          <w:p>
            <w:pPr>
              <w:ind w:lef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shd w:val="clear" w:color="auto" w:fill="C0FFFF"/>
          </w:tcPr>
          <w:p>
            <w:pPr>
              <w:spacing w:after="0"/>
              <w:rPr>
                <w:sz w:val="18"/>
                <w:szCs w:val="18"/>
                <w:color w:val="auto"/>
              </w:rPr>
            </w:pPr>
          </w:p>
        </w:tc>
        <w:tc>
          <w:tcPr>
            <w:tcW w:w="17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82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Retail gross</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gridSpan w:val="2"/>
          </w:tcPr>
          <w:p>
            <w:pPr>
              <w:spacing w:after="0" w:line="230" w:lineRule="exact"/>
              <w:rPr>
                <w:sz w:val="20"/>
                <w:szCs w:val="20"/>
                <w:color w:val="auto"/>
              </w:rPr>
            </w:pPr>
            <w:r>
              <w:rPr>
                <w:rFonts w:ascii="Arial" w:cs="Arial" w:eastAsia="Arial" w:hAnsi="Arial"/>
                <w:sz w:val="18"/>
                <w:szCs w:val="18"/>
                <w:color w:val="auto"/>
              </w:rPr>
              <w:t xml:space="preserve">margin (%) </w:t>
            </w:r>
            <w:r>
              <w:rPr>
                <w:rFonts w:ascii="Arial" w:cs="Arial" w:eastAsia="Arial" w:hAnsi="Arial"/>
                <w:sz w:val="25"/>
                <w:szCs w:val="25"/>
                <w:color w:val="auto"/>
                <w:vertAlign w:val="superscript"/>
              </w:rPr>
              <w:t>(2)</w:t>
            </w:r>
          </w:p>
        </w:tc>
        <w:tc>
          <w:tcPr>
            <w:tcW w:w="1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38.9</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39.9</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40.1</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86" w:right="259" w:bottom="265" w:gutter="0" w:footer="0" w:header="0"/>
        </w:sectPr>
      </w:pPr>
    </w:p>
    <w:bookmarkStart w:id="37" w:name="page38"/>
    <w:bookmarkEnd w:id="37"/>
    <w:p>
      <w:pPr>
        <w:ind w:left="492" w:hanging="492"/>
        <w:spacing w:after="0"/>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79" w:lineRule="exact"/>
        <w:rPr>
          <w:rFonts w:ascii="Arial" w:cs="Arial" w:eastAsia="Arial" w:hAnsi="Arial"/>
          <w:sz w:val="18"/>
          <w:szCs w:val="18"/>
          <w:color w:val="auto"/>
        </w:rPr>
      </w:pPr>
    </w:p>
    <w:p>
      <w:pPr>
        <w:ind w:left="492" w:hanging="492"/>
        <w:spacing w:after="0" w:line="264"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$145.7 million, $154.5 million and $155.1 million in 2012, 2011 and 2010, respectively. Retail gross margin percentage represents retail gross margin divided by net retail sales.</w:t>
      </w:r>
    </w:p>
    <w:p>
      <w:pPr>
        <w:spacing w:after="0" w:line="33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32"/>
          </w:cols>
          <w:pgMar w:left="248" w:top="125"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Fiscal Year Ended December 29, 2012 (52 weeks) Compared to Fiscal Year Ended December 31, 2011 (52 weeks)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$374.6 million for fiscal 2012, compared to $387.0 million for fiscal 2011, a decrease of $12.5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million. Comparable store sales decreased $11.6 million in fiscal 2012, or 3.3%. Other decreases include $4.3 million in sales from non-comparable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locations, comprised primarily of relocated and remodeled locations, $1.0 million in deferred revenue adjustment as compared to the prior year, $0.9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impact of foreign exchange rates and $0.6 million in sales from non-store locations which includes temporary locations. Partially offsetting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decreases are increases of $5.0 million from sales in new stores and $1.0 million in e-commerce sales.</w:t>
      </w:r>
    </w:p>
    <w:p>
      <w:pPr>
        <w:spacing w:after="0" w:line="26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Commercial revenue was $2.8 million in fiscal 2012 compared to $3.9 million in fiscal 2011, a decrease of $1.2 million. This decrease was primarily due to an overall decrease in licensing activity in 2012. Revenue from international franchise fees increased to $3.6 million for fiscal 2012 from $3.4 million for fiscal 2011, an increase of $0.2 million. This increase was primarily due to the increase in the number of franchise locations from 79 at the end of fiscal 2011 to 91 at the end of fiscal 2012.</w:t>
      </w:r>
    </w:p>
    <w:p>
      <w:pPr>
        <w:spacing w:after="0" w:line="24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Total gross margin, calculated as net retail sales and commercial revenues less cost of merchandise sold, was $147.2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2012 compared to $156.8 million for fiscal 2011, a decrease of $9.6 million, or 6.1%. Retail gross margin was $145.7 million in fiscal 2012 compared to $154.5 million in fiscal 2011, a decrease of $8.8 million, or 5.7%. As a percentage of net retail sales, retail gross margin decreased to 38.9% for fiscal 2012 from 39.9% for fiscal 2011, a decrease of 100 basis points as a percentage of net retail sales (bps). This decline in margin was primarily attributable to decreased leverage on fixed occupancy costs, including store asset impairment charges and decreased merchandise margin, partially offset by cost savings in distribution and packaging costs.</w:t>
      </w:r>
    </w:p>
    <w:p>
      <w:pPr>
        <w:spacing w:after="0" w:line="24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were $165.5 million for fiscal 2012 as compared to $162.9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2011, an increase of $2.6 million, or 1.6%. As a percentage of total revenues, selling, general and administrative expenses were 43.4% for fiscal 2012, compared to 41.3% in fiscal 2011. The dollar increase was primarily attributable to $3 million in asset impairment charges and investment in marketing and store-related costs as part of our long-term initiatives. Excluding the impairment charges, selling general and administrative expenses were 42.6% of total revenues.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Goodwill impairment</w:t>
      </w:r>
      <w:r>
        <w:rPr>
          <w:rFonts w:ascii="Arial" w:cs="Arial" w:eastAsia="Arial" w:hAnsi="Arial"/>
          <w:sz w:val="17"/>
          <w:szCs w:val="17"/>
          <w:color w:val="auto"/>
        </w:rPr>
        <w:t>. In 2012, the goodwill associated with the UK business was fully impaired, resulting in a $33.7 million non-cash charge.</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expense, net of interest income, was $3,000 for fiscal 2012 as compared to $0.1 million of income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$0.9 million in fiscal 2012, compared to $14.4 million for fiscal 2011. The effective rate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in 2012 and 543.4% in 2011. The fluctuation in the effective rate was primarily attributable to the recording of a valuation allowance in 2011 on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December 31, 2011 (52 weeks) Compared to Fiscal Year Ended January 1, 2011 (52 weeks)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$387.0 million for fiscal 2011, compared to $387.2 million for fiscal 2010, a decrease of $0.2</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million. Comparable store sales decreased $7.6 million in fiscal 2011, or 2.1% and sales from non-comparable locations, comprised primarily of relocated and remodeled locations, decreased $3.6 million. Partially offsetting these decreases are increases of $4.4 million from sales in new stores, $1.0 million in e-commerce sales and of $2.7 million in sales from non-store locations which includes temporary locations. Other changes, adding $2.9 million to net retail sales, resulted from the impact of foreign currency exchange rates, changes in deferred revenue estimate, offset by redemptions throughout the year, and other revenue.</w:t>
      </w:r>
    </w:p>
    <w:p>
      <w:pPr>
        <w:spacing w:after="0" w:line="245"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Commercial revenue was $3.9 million in fiscal 2011 compared to $11.2 million in fiscal 2010. This decrease was primarily due to $6.4 million from two non-recurring wholesale transactions in fiscal 2010. Excluding these transactions, commercial revenues decreased $0.9 million, primarily due to the 2010 Build-A-Bear Craftshop launch that did not reoccur in 2011. Revenue from international franchise fees increased to $3.4 million for fiscal 2011 from $3.0 million for fiscal 2010, an increase of $0.4 million. This increase was primarily due to the increase in the number of franchise locations from 63 at the end of fiscal 2010 to 79 at the end of fiscal 2011.</w:t>
      </w:r>
    </w:p>
    <w:p>
      <w:pPr>
        <w:spacing w:after="0" w:line="242" w:lineRule="exact"/>
        <w:rPr>
          <w:sz w:val="20"/>
          <w:szCs w:val="20"/>
          <w:color w:val="auto"/>
        </w:rPr>
      </w:pPr>
    </w:p>
    <w:p>
      <w:pPr>
        <w:ind w:right="220" w:firstLine="486"/>
        <w:spacing w:after="0" w:line="297"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Total gross margin, calculated as net retail sales and commercial revenues less cost of merchandise sold, was $156.8 million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2011 compared to $158.9 million for fiscal 2010, a decrease of $2.1 million, or 1.3%. Retail gross margin was $154.5 million in fiscal 2011 compared to $155.1 million in fiscal 2010, a decrease of $0.7 million or 0.4%. As a percentage of net retail sales, retail gross margin decreased to 39.9% for fiscal 2011 from 40.1% for fiscal 2010, a decrease of 20 basis points as a percentage of net retail sales (bps). This decline in margin was primarily attributable to decreased merchandise margin, decreased leverage on fixed occupancy costs and increased purchasing costs offset by cost savings in distribution costs.</w:t>
      </w:r>
    </w:p>
    <w:p>
      <w:pPr>
        <w:spacing w:after="0" w:line="212"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Selling, general and administrative expenses were $162.9 million for fiscal 2011 as compared to $164.6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2010, a decrease of $1.7 million, or 1.1%. As a percentage of total revenues, selling, general and administrative expenses were 41.3% for fiscal 2011, compared to 41.0% in fiscal 2010. The dollar decrease was primarily attributable to higher costs in 2010 of $1.6 million in charges related to the closure of our stores in France and corporate payroll costs primarily related to a bonus that did not reoccur in 2011. These decreases were partially offset by consulting costs related to continuing efforts to improve efficiencies and reduce expenses.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ind w:left="50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income, net of interest expense, was $0.1 million for fiscal 2011 as compared to $0.3 million for fiscal 2010.</w:t>
      </w:r>
    </w:p>
    <w:p>
      <w:pPr>
        <w:spacing w:after="0" w:line="302"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$14.4 million in fiscal 2011, compared to an income tax benefit of $2.6 million for fiscal</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2010. The effective rate was (543.4)% in 2011 and 104.2% in 2010. The fluctuation in the effective rate in 2011 was primarily attributable to the recording of a $15.6 million valuation allowance in 2011 on the US deferred tax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use the term “store contribution” throughout this Annual Report on Form 10-K. Store contribution consists of income before income tax expense, interest, store depreciation, amortization and impairment, goodwill impairment, general and administrative expense, excluding franchise fees, income from licensing activities and contribution from our web store and seasonal and event-based locations. This term, as we define it, may not be comparable to similarly titled measures used by other companies and is not a measure of performance presented in accordance with U.S. generally accepted accounting principles (GAAP).</w:t>
      </w:r>
    </w:p>
    <w:p>
      <w:pPr>
        <w:spacing w:after="0" w:line="24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use store contribution as a measure of our stores’ operating performance. Store contribution should not be considered a substitute for net income (loss), net income (loss) per store, cash flows provided by operating activities, cash flows provided by operating activities per store, or other income or cash flow data prepared in accordance with U.S. GAAP.</w:t>
      </w:r>
    </w:p>
    <w:p>
      <w:pPr>
        <w:spacing w:after="0" w:line="23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believe store contribution is useful to investors in evaluating our operating performance because it, along with the number of stores in operation, directly impacts our profitability.</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40" w:name="page41"/>
    <w:bookmarkEnd w:id="40"/>
    <w:p>
      <w:pPr>
        <w:ind w:right="180"/>
        <w:spacing w:after="0" w:line="264" w:lineRule="auto"/>
        <w:rPr>
          <w:sz w:val="20"/>
          <w:szCs w:val="20"/>
          <w:color w:val="auto"/>
        </w:rPr>
      </w:pPr>
      <w:r>
        <w:rPr>
          <w:rFonts w:ascii="Arial" w:cs="Arial" w:eastAsia="Arial" w:hAnsi="Arial"/>
          <w:sz w:val="18"/>
          <w:szCs w:val="18"/>
          <w:color w:val="auto"/>
        </w:rPr>
        <w:t>The following table sets forth a reconciliation of store contribution to net income for our company-owned stores located in the United States, Canada and Puerto Rico (North America), stores located in the United Kingdom, Ireland and, prior to 2011, France (Europe) and for our consolidated store base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8"/>
                <w:szCs w:val="18"/>
                <w:b w:val="1"/>
                <w:bCs w:val="1"/>
                <w:color w:val="auto"/>
                <w:w w:val="89"/>
              </w:rPr>
              <w:t>Fiscal 2012</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1"/>
              </w:rPr>
              <w:t>Fiscal 2011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tcPr>
          <w:p>
            <w:pPr>
              <w:jc w:val="right"/>
              <w:ind w:right="580"/>
              <w:spacing w:after="0" w:line="198" w:lineRule="exact"/>
              <w:rPr>
                <w:sz w:val="20"/>
                <w:szCs w:val="20"/>
                <w:color w:val="auto"/>
              </w:rPr>
            </w:pPr>
            <w:r>
              <w:rPr>
                <w:rFonts w:ascii="Arial" w:cs="Arial" w:eastAsia="Arial" w:hAnsi="Arial"/>
                <w:sz w:val="18"/>
                <w:szCs w:val="18"/>
                <w:b w:val="1"/>
                <w:bCs w:val="1"/>
                <w:color w:val="auto"/>
              </w:rPr>
              <w:t>North</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5"/>
              </w:rPr>
              <w:t>North</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5"/>
              </w:rPr>
              <w:t>America</w:t>
            </w:r>
          </w:p>
        </w:tc>
        <w:tc>
          <w:tcPr>
            <w:tcW w:w="32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3"/>
              </w:rPr>
              <w:t>Europe</w:t>
            </w:r>
          </w:p>
        </w:tc>
        <w:tc>
          <w:tcPr>
            <w:tcW w:w="32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3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America</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Europe</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(13,955)</w:t>
            </w:r>
          </w:p>
        </w:tc>
        <w:tc>
          <w:tcPr>
            <w:tcW w:w="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jc w:val="right"/>
              <w:ind w:right="2"/>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w w:val="95"/>
              </w:rPr>
              <w:t>(35,340)</w:t>
            </w:r>
          </w:p>
        </w:tc>
        <w:tc>
          <w:tcPr>
            <w:tcW w:w="4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(49,295)</w:t>
            </w:r>
          </w:p>
        </w:tc>
        <w:tc>
          <w:tcPr>
            <w:tcW w:w="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(19,232)</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2,170</w:t>
            </w: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951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13,607</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Interest expense (income)</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63</w:t>
            </w:r>
          </w:p>
        </w:tc>
        <w:tc>
          <w:tcPr>
            <w:tcW w:w="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(60)</w:t>
            </w:r>
          </w:p>
        </w:tc>
        <w:tc>
          <w:tcPr>
            <w:tcW w:w="4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0FFFF"/>
          </w:tcPr>
          <w:p>
            <w:pPr>
              <w:spacing w:after="0"/>
              <w:rPr>
                <w:sz w:val="18"/>
                <w:szCs w:val="18"/>
                <w:color w:val="auto"/>
              </w:rPr>
            </w:pPr>
          </w:p>
        </w:tc>
        <w:tc>
          <w:tcPr>
            <w:tcW w:w="1100" w:type="dxa"/>
            <w:vAlign w:val="bottom"/>
            <w:tcBorders>
              <w:right w:val="single" w:sz="8" w:color="C0FFFF"/>
            </w:tcBorders>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w w:val="95"/>
              </w:rPr>
              <w:t>Store depreciation, amortization and impairment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13,436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3,597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17,033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15,233</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Goodwill impairment (2)</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33,670</w:t>
            </w:r>
          </w:p>
        </w:tc>
        <w:tc>
          <w:tcPr>
            <w:tcW w:w="4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33,670</w:t>
            </w:r>
          </w:p>
        </w:tc>
        <w:tc>
          <w:tcPr>
            <w:tcW w:w="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18"/>
                <w:szCs w:val="18"/>
                <w:color w:val="auto"/>
              </w:rPr>
            </w:pPr>
          </w:p>
        </w:tc>
        <w:tc>
          <w:tcPr>
            <w:tcW w:w="11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General and administrative expense (3)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44,154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4,751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48,905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43,867</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5,043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Franchising and commercial contribution (4)</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(966)</w:t>
            </w:r>
          </w:p>
        </w:tc>
        <w:tc>
          <w:tcPr>
            <w:tcW w:w="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(966)</w:t>
            </w:r>
          </w:p>
        </w:tc>
        <w:tc>
          <w:tcPr>
            <w:tcW w:w="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(4,142)</w:t>
            </w:r>
          </w:p>
        </w:tc>
        <w:tc>
          <w:tcPr>
            <w:tcW w:w="160" w:type="dxa"/>
            <w:vAlign w:val="bottom"/>
            <w:shd w:val="clear" w:color="auto" w:fill="C0FFFF"/>
          </w:tcPr>
          <w:p>
            <w:pPr>
              <w:spacing w:after="0"/>
              <w:rPr>
                <w:sz w:val="18"/>
                <w:szCs w:val="18"/>
                <w:color w:val="auto"/>
              </w:rPr>
            </w:pPr>
          </w:p>
        </w:tc>
        <w:tc>
          <w:tcPr>
            <w:tcW w:w="11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Non-store activity contribution (5)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(3,008)</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Store contribution</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0FFFF"/>
          </w:tcPr>
          <w:p>
            <w:pPr>
              <w:spacing w:after="0"/>
              <w:rPr>
                <w:sz w:val="22"/>
                <w:szCs w:val="22"/>
                <w:color w:val="auto"/>
              </w:rPr>
            </w:pPr>
          </w:p>
        </w:tc>
        <w:tc>
          <w:tcPr>
            <w:tcW w:w="140" w:type="dxa"/>
            <w:vAlign w:val="bottom"/>
            <w:shd w:val="clear" w:color="auto" w:fill="C0FFFF"/>
          </w:tcPr>
          <w:p>
            <w:pPr>
              <w:spacing w:after="0"/>
              <w:rPr>
                <w:sz w:val="22"/>
                <w:szCs w:val="22"/>
                <w:color w:val="auto"/>
              </w:rPr>
            </w:pP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40,346</w:t>
            </w:r>
          </w:p>
        </w:tc>
        <w:tc>
          <w:tcPr>
            <w:tcW w:w="240" w:type="dxa"/>
            <w:vAlign w:val="bottom"/>
            <w:shd w:val="clear" w:color="auto" w:fill="C0FFFF"/>
          </w:tcPr>
          <w:p>
            <w:pPr>
              <w:spacing w:after="0"/>
              <w:rPr>
                <w:sz w:val="22"/>
                <w:szCs w:val="22"/>
                <w:color w:val="auto"/>
              </w:rPr>
            </w:pPr>
          </w:p>
        </w:tc>
        <w:tc>
          <w:tcPr>
            <w:tcW w:w="80" w:type="dxa"/>
            <w:vAlign w:val="bottom"/>
            <w:tcBorders>
              <w:right w:val="single" w:sz="8" w:color="C0FFFF"/>
            </w:tcBorders>
            <w:shd w:val="clear" w:color="auto" w:fill="C0FFFF"/>
          </w:tcPr>
          <w:p>
            <w:pPr>
              <w:spacing w:after="0"/>
              <w:rPr>
                <w:sz w:val="22"/>
                <w:szCs w:val="22"/>
                <w:color w:val="auto"/>
              </w:rPr>
            </w:pPr>
          </w:p>
        </w:tc>
        <w:tc>
          <w:tcPr>
            <w:tcW w:w="160" w:type="dxa"/>
            <w:vAlign w:val="bottom"/>
            <w:shd w:val="clear" w:color="auto" w:fill="C0FFFF"/>
          </w:tcPr>
          <w:p>
            <w:pPr>
              <w:jc w:val="right"/>
              <w:ind w:right="2"/>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0FFFF"/>
          </w:tcPr>
          <w:p>
            <w:pPr>
              <w:spacing w:after="0"/>
              <w:rPr>
                <w:sz w:val="22"/>
                <w:szCs w:val="22"/>
                <w:color w:val="auto"/>
              </w:rPr>
            </w:pPr>
          </w:p>
        </w:tc>
        <w:tc>
          <w:tcPr>
            <w:tcW w:w="140" w:type="dxa"/>
            <w:vAlign w:val="bottom"/>
            <w:shd w:val="clear" w:color="auto" w:fill="C0FFFF"/>
          </w:tcPr>
          <w:p>
            <w:pPr>
              <w:spacing w:after="0"/>
              <w:rPr>
                <w:sz w:val="22"/>
                <w:szCs w:val="22"/>
                <w:color w:val="auto"/>
              </w:rPr>
            </w:pPr>
          </w:p>
        </w:tc>
        <w:tc>
          <w:tcPr>
            <w:tcW w:w="88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6,475</w:t>
            </w:r>
          </w:p>
        </w:tc>
        <w:tc>
          <w:tcPr>
            <w:tcW w:w="40" w:type="dxa"/>
            <w:vAlign w:val="bottom"/>
            <w:tcBorders>
              <w:right w:val="single" w:sz="8" w:color="C0FFFF"/>
            </w:tcBorders>
            <w:shd w:val="clear" w:color="auto" w:fill="C0FFFF"/>
          </w:tcPr>
          <w:p>
            <w:pPr>
              <w:spacing w:after="0"/>
              <w:rPr>
                <w:sz w:val="22"/>
                <w:szCs w:val="22"/>
                <w:color w:val="auto"/>
              </w:rPr>
            </w:pP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0FFFF"/>
          </w:tcPr>
          <w:p>
            <w:pPr>
              <w:spacing w:after="0"/>
              <w:rPr>
                <w:sz w:val="22"/>
                <w:szCs w:val="22"/>
                <w:color w:val="auto"/>
              </w:rPr>
            </w:pPr>
          </w:p>
        </w:tc>
        <w:tc>
          <w:tcPr>
            <w:tcW w:w="8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46,821</w:t>
            </w:r>
          </w:p>
        </w:tc>
        <w:tc>
          <w:tcPr>
            <w:tcW w:w="80" w:type="dxa"/>
            <w:vAlign w:val="bottom"/>
            <w:tcBorders>
              <w:right w:val="single" w:sz="8" w:color="C0FFFF"/>
            </w:tcBorders>
            <w:shd w:val="clear" w:color="auto" w:fill="C0FFFF"/>
          </w:tcPr>
          <w:p>
            <w:pPr>
              <w:spacing w:after="0"/>
              <w:rPr>
                <w:sz w:val="22"/>
                <w:szCs w:val="22"/>
                <w:color w:val="auto"/>
              </w:rPr>
            </w:pP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46,381</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9,284</w:t>
            </w: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55,665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0FFFF"/>
            </w:tcBorders>
          </w:tcPr>
          <w:p>
            <w:pPr>
              <w:spacing w:after="0"/>
              <w:rPr>
                <w:sz w:val="18"/>
                <w:szCs w:val="18"/>
                <w:color w:val="auto"/>
              </w:rPr>
            </w:pPr>
          </w:p>
        </w:tc>
        <w:tc>
          <w:tcPr>
            <w:tcW w:w="4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Total revenues from external customers</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w w:val="95"/>
              </w:rPr>
              <w:t>309,141</w:t>
            </w:r>
          </w:p>
        </w:tc>
        <w:tc>
          <w:tcPr>
            <w:tcW w:w="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jc w:val="right"/>
              <w:ind w:right="2"/>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71,800</w:t>
            </w:r>
          </w:p>
        </w:tc>
        <w:tc>
          <w:tcPr>
            <w:tcW w:w="4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w w:val="95"/>
              </w:rPr>
              <w:t>380,941</w:t>
            </w:r>
          </w:p>
        </w:tc>
        <w:tc>
          <w:tcPr>
            <w:tcW w:w="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319,810</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74,565</w:t>
            </w: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394,375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Franchising and commercial revenues from</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external customers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(6,388)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(6,388)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(7,334)</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Revenues from non-store activities (5)</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(16,848)</w:t>
            </w:r>
          </w:p>
        </w:tc>
        <w:tc>
          <w:tcPr>
            <w:tcW w:w="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(3,576)</w:t>
            </w:r>
          </w:p>
        </w:tc>
        <w:tc>
          <w:tcPr>
            <w:tcW w:w="4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(20,424)</w:t>
            </w:r>
          </w:p>
        </w:tc>
        <w:tc>
          <w:tcPr>
            <w:tcW w:w="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(16,765)</w:t>
            </w:r>
          </w:p>
        </w:tc>
        <w:tc>
          <w:tcPr>
            <w:tcW w:w="160" w:type="dxa"/>
            <w:vAlign w:val="bottom"/>
            <w:shd w:val="clear" w:color="auto" w:fill="C0FFFF"/>
          </w:tcPr>
          <w:p>
            <w:pPr>
              <w:spacing w:after="0"/>
              <w:rPr>
                <w:sz w:val="18"/>
                <w:szCs w:val="18"/>
                <w:color w:val="auto"/>
              </w:rPr>
            </w:pPr>
          </w:p>
        </w:tc>
        <w:tc>
          <w:tcPr>
            <w:tcW w:w="1100" w:type="dxa"/>
            <w:vAlign w:val="bottom"/>
            <w:tcBorders>
              <w:right w:val="single" w:sz="8" w:color="C0FFFF"/>
            </w:tcBorders>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(3,313)</w:t>
            </w:r>
          </w:p>
        </w:tc>
        <w:tc>
          <w:tcPr>
            <w:tcW w:w="2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(20,078)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80" w:type="dxa"/>
            <w:vAlign w:val="bottom"/>
            <w:tcBorders>
              <w:right w:val="single" w:sz="8" w:color="C0FFFF"/>
            </w:tcBorders>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0FFFF"/>
          </w:tcPr>
          <w:p>
            <w:pPr>
              <w:spacing w:after="0"/>
              <w:rPr>
                <w:sz w:val="2"/>
                <w:szCs w:val="2"/>
                <w:color w:val="auto"/>
              </w:rPr>
            </w:pPr>
          </w:p>
        </w:tc>
        <w:tc>
          <w:tcPr>
            <w:tcW w:w="40" w:type="dxa"/>
            <w:vAlign w:val="bottom"/>
            <w:tcBorders>
              <w:right w:val="single" w:sz="8" w:color="C0FFFF"/>
            </w:tcBorders>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80" w:type="dxa"/>
            <w:vAlign w:val="bottom"/>
            <w:tcBorders>
              <w:right w:val="single" w:sz="8" w:color="C0FFFF"/>
            </w:tcBorders>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C0FFFF"/>
            </w:tcBorders>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Store location net retail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285,905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68,224</w:t>
            </w:r>
          </w:p>
        </w:tc>
        <w:tc>
          <w:tcPr>
            <w:tcW w:w="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354,129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295,711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71,252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366,963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shd w:val="clear" w:color="auto" w:fill="C0FFFF"/>
          </w:tcPr>
          <w:p>
            <w:pPr>
              <w:spacing w:after="0" w:line="195" w:lineRule="exact"/>
              <w:rPr>
                <w:sz w:val="20"/>
                <w:szCs w:val="20"/>
                <w:color w:val="auto"/>
              </w:rPr>
            </w:pPr>
            <w:r>
              <w:rPr>
                <w:rFonts w:ascii="Arial" w:cs="Arial" w:eastAsia="Arial" w:hAnsi="Arial"/>
                <w:sz w:val="18"/>
                <w:szCs w:val="18"/>
                <w:color w:val="auto"/>
              </w:rPr>
              <w:t>Store contribution as a percentage of</w:t>
            </w: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6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0" w:type="dxa"/>
            <w:vAlign w:val="bottom"/>
            <w:tcBorders>
              <w:right w:val="single" w:sz="8" w:color="C0FFFF"/>
            </w:tcBorders>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60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40" w:type="dxa"/>
            <w:vAlign w:val="bottom"/>
            <w:tcBorders>
              <w:right w:val="single" w:sz="8" w:color="C0FFFF"/>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6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0" w:type="dxa"/>
            <w:vAlign w:val="bottom"/>
            <w:tcBorders>
              <w:right w:val="single" w:sz="8" w:color="C0FFFF"/>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260" w:type="dxa"/>
            <w:vAlign w:val="bottom"/>
            <w:tcBorders>
              <w:right w:val="single" w:sz="8" w:color="C0FFFF"/>
            </w:tcBorders>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store location net retail sales</w:t>
            </w:r>
          </w:p>
        </w:tc>
        <w:tc>
          <w:tcPr>
            <w:tcW w:w="140" w:type="dxa"/>
            <w:vAlign w:val="bottom"/>
            <w:shd w:val="clear" w:color="auto" w:fill="C0FFFF"/>
          </w:tcPr>
          <w:p>
            <w:pPr>
              <w:spacing w:after="0"/>
              <w:rPr>
                <w:sz w:val="23"/>
                <w:szCs w:val="23"/>
                <w:color w:val="auto"/>
              </w:rPr>
            </w:pPr>
          </w:p>
        </w:tc>
        <w:tc>
          <w:tcPr>
            <w:tcW w:w="80" w:type="dxa"/>
            <w:vAlign w:val="bottom"/>
            <w:shd w:val="clear" w:color="auto" w:fill="C0FFFF"/>
          </w:tcPr>
          <w:p>
            <w:pPr>
              <w:spacing w:after="0"/>
              <w:rPr>
                <w:sz w:val="23"/>
                <w:szCs w:val="23"/>
                <w:color w:val="auto"/>
              </w:rPr>
            </w:pPr>
          </w:p>
        </w:tc>
        <w:tc>
          <w:tcPr>
            <w:tcW w:w="140" w:type="dxa"/>
            <w:vAlign w:val="bottom"/>
            <w:shd w:val="clear" w:color="auto" w:fill="C0FFFF"/>
          </w:tcPr>
          <w:p>
            <w:pPr>
              <w:spacing w:after="0"/>
              <w:rPr>
                <w:sz w:val="23"/>
                <w:szCs w:val="23"/>
                <w:color w:val="auto"/>
              </w:rPr>
            </w:pP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14.1%</w:t>
            </w:r>
          </w:p>
        </w:tc>
        <w:tc>
          <w:tcPr>
            <w:tcW w:w="80" w:type="dxa"/>
            <w:vAlign w:val="bottom"/>
            <w:tcBorders>
              <w:right w:val="single" w:sz="8" w:color="C0FFFF"/>
            </w:tcBorders>
            <w:shd w:val="clear" w:color="auto" w:fill="C0FFFF"/>
          </w:tcPr>
          <w:p>
            <w:pPr>
              <w:spacing w:after="0"/>
              <w:rPr>
                <w:sz w:val="23"/>
                <w:szCs w:val="23"/>
                <w:color w:val="auto"/>
              </w:rPr>
            </w:pPr>
          </w:p>
        </w:tc>
        <w:tc>
          <w:tcPr>
            <w:tcW w:w="160" w:type="dxa"/>
            <w:vAlign w:val="bottom"/>
            <w:shd w:val="clear" w:color="auto" w:fill="C0FFFF"/>
          </w:tcPr>
          <w:p>
            <w:pPr>
              <w:spacing w:after="0"/>
              <w:rPr>
                <w:sz w:val="23"/>
                <w:szCs w:val="23"/>
                <w:color w:val="auto"/>
              </w:rPr>
            </w:pPr>
          </w:p>
        </w:tc>
        <w:tc>
          <w:tcPr>
            <w:tcW w:w="80" w:type="dxa"/>
            <w:vAlign w:val="bottom"/>
            <w:shd w:val="clear" w:color="auto" w:fill="C0FFFF"/>
          </w:tcPr>
          <w:p>
            <w:pPr>
              <w:spacing w:after="0"/>
              <w:rPr>
                <w:sz w:val="23"/>
                <w:szCs w:val="23"/>
                <w:color w:val="auto"/>
              </w:rPr>
            </w:pPr>
          </w:p>
        </w:tc>
        <w:tc>
          <w:tcPr>
            <w:tcW w:w="140" w:type="dxa"/>
            <w:vAlign w:val="bottom"/>
            <w:shd w:val="clear" w:color="auto" w:fill="C0FFFF"/>
          </w:tcPr>
          <w:p>
            <w:pPr>
              <w:spacing w:after="0"/>
              <w:rPr>
                <w:sz w:val="23"/>
                <w:szCs w:val="23"/>
                <w:color w:val="auto"/>
              </w:rPr>
            </w:pP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9.5%</w:t>
            </w:r>
          </w:p>
        </w:tc>
        <w:tc>
          <w:tcPr>
            <w:tcW w:w="40" w:type="dxa"/>
            <w:vAlign w:val="bottom"/>
            <w:tcBorders>
              <w:right w:val="single" w:sz="8" w:color="C0FFFF"/>
            </w:tcBorders>
            <w:shd w:val="clear" w:color="auto" w:fill="C0FFFF"/>
          </w:tcPr>
          <w:p>
            <w:pPr>
              <w:spacing w:after="0"/>
              <w:rPr>
                <w:sz w:val="23"/>
                <w:szCs w:val="23"/>
                <w:color w:val="auto"/>
              </w:rPr>
            </w:pPr>
          </w:p>
        </w:tc>
        <w:tc>
          <w:tcPr>
            <w:tcW w:w="220" w:type="dxa"/>
            <w:vAlign w:val="bottom"/>
            <w:shd w:val="clear" w:color="auto" w:fill="C0FFFF"/>
          </w:tcPr>
          <w:p>
            <w:pPr>
              <w:spacing w:after="0"/>
              <w:rPr>
                <w:sz w:val="23"/>
                <w:szCs w:val="23"/>
                <w:color w:val="auto"/>
              </w:rPr>
            </w:pPr>
          </w:p>
        </w:tc>
        <w:tc>
          <w:tcPr>
            <w:tcW w:w="140" w:type="dxa"/>
            <w:vAlign w:val="bottom"/>
            <w:shd w:val="clear" w:color="auto" w:fill="C0FFFF"/>
          </w:tcPr>
          <w:p>
            <w:pPr>
              <w:spacing w:after="0"/>
              <w:rPr>
                <w:sz w:val="23"/>
                <w:szCs w:val="23"/>
                <w:color w:val="auto"/>
              </w:rPr>
            </w:pP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13.2%</w:t>
            </w:r>
          </w:p>
        </w:tc>
        <w:tc>
          <w:tcPr>
            <w:tcW w:w="80" w:type="dxa"/>
            <w:vAlign w:val="bottom"/>
            <w:tcBorders>
              <w:right w:val="single" w:sz="8" w:color="C0FFFF"/>
            </w:tcBorders>
            <w:shd w:val="clear" w:color="auto" w:fill="C0FFFF"/>
          </w:tcPr>
          <w:p>
            <w:pPr>
              <w:spacing w:after="0"/>
              <w:rPr>
                <w:sz w:val="23"/>
                <w:szCs w:val="23"/>
                <w:color w:val="auto"/>
              </w:rPr>
            </w:pPr>
          </w:p>
        </w:tc>
        <w:tc>
          <w:tcPr>
            <w:tcW w:w="120" w:type="dxa"/>
            <w:vAlign w:val="bottom"/>
            <w:shd w:val="clear" w:color="auto" w:fill="C0FFFF"/>
          </w:tcPr>
          <w:p>
            <w:pPr>
              <w:spacing w:after="0"/>
              <w:rPr>
                <w:sz w:val="23"/>
                <w:szCs w:val="23"/>
                <w:color w:val="auto"/>
              </w:rPr>
            </w:pP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0FFFF"/>
          </w:tcPr>
          <w:p>
            <w:pPr>
              <w:spacing w:after="0"/>
              <w:rPr>
                <w:sz w:val="23"/>
                <w:szCs w:val="23"/>
                <w:color w:val="auto"/>
              </w:rPr>
            </w:pPr>
          </w:p>
        </w:tc>
        <w:tc>
          <w:tcPr>
            <w:tcW w:w="110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0FFFF"/>
          </w:tcPr>
          <w:p>
            <w:pPr>
              <w:spacing w:after="0"/>
              <w:rPr>
                <w:sz w:val="23"/>
                <w:szCs w:val="23"/>
                <w:color w:val="auto"/>
              </w:rPr>
            </w:pPr>
          </w:p>
        </w:tc>
        <w:tc>
          <w:tcPr>
            <w:tcW w:w="10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tcBorders>
              <w:top w:val="single" w:sz="8" w:color="C0FFFF"/>
            </w:tcBorders>
          </w:tcPr>
          <w:p>
            <w:pPr>
              <w:spacing w:after="0" w:line="195" w:lineRule="exact"/>
              <w:rPr>
                <w:sz w:val="20"/>
                <w:szCs w:val="20"/>
                <w:color w:val="auto"/>
              </w:rPr>
            </w:pPr>
            <w:r>
              <w:rPr>
                <w:rFonts w:ascii="Arial" w:cs="Arial" w:eastAsia="Arial" w:hAnsi="Arial"/>
                <w:sz w:val="18"/>
                <w:szCs w:val="18"/>
                <w:color w:val="auto"/>
                <w:w w:val="97"/>
              </w:rPr>
              <w:t>Total net income (loss) as a percentage of total</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C0FFFF"/>
            </w:tcBorders>
          </w:tcPr>
          <w:p>
            <w:pPr>
              <w:spacing w:after="0"/>
              <w:rPr>
                <w:sz w:val="16"/>
                <w:szCs w:val="16"/>
                <w:color w:val="auto"/>
              </w:rPr>
            </w:pPr>
          </w:p>
        </w:tc>
        <w:tc>
          <w:tcPr>
            <w:tcW w:w="40" w:type="dxa"/>
            <w:vAlign w:val="bottom"/>
            <w:tcBorders>
              <w:top w:val="single" w:sz="8" w:color="C0FF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20" w:type="dxa"/>
            <w:vAlign w:val="bottom"/>
            <w:tcBorders>
              <w:top w:val="single" w:sz="8" w:color="C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C0FF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9"/>
              </w:rPr>
              <w:t>Fiscal 2010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360"/>
              <w:spacing w:after="0" w:line="198" w:lineRule="exact"/>
              <w:rPr>
                <w:sz w:val="20"/>
                <w:szCs w:val="20"/>
                <w:color w:val="auto"/>
              </w:rPr>
            </w:pPr>
            <w:r>
              <w:rPr>
                <w:rFonts w:ascii="Arial" w:cs="Arial" w:eastAsia="Arial" w:hAnsi="Arial"/>
                <w:sz w:val="18"/>
                <w:szCs w:val="18"/>
                <w:b w:val="1"/>
                <w:bCs w:val="1"/>
                <w:color w:val="auto"/>
              </w:rPr>
              <w:t>North</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5"/>
              </w:rPr>
              <w:t>America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Europe</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0FFFF"/>
            </w:tcBorders>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(5,376)</w:t>
            </w:r>
          </w:p>
        </w:tc>
        <w:tc>
          <w:tcPr>
            <w:tcW w:w="16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0FFFF"/>
            </w:tcBorders>
            <w:gridSpan w:val="3"/>
            <w:shd w:val="clear" w:color="auto" w:fill="C0FFFF"/>
          </w:tcPr>
          <w:p>
            <w:pPr>
              <w:jc w:val="right"/>
              <w:ind w:right="40"/>
              <w:spacing w:after="0"/>
              <w:rPr>
                <w:sz w:val="20"/>
                <w:szCs w:val="20"/>
                <w:color w:val="auto"/>
              </w:rPr>
            </w:pPr>
            <w:r>
              <w:rPr>
                <w:rFonts w:ascii="Arial" w:cs="Arial" w:eastAsia="Arial" w:hAnsi="Arial"/>
                <w:sz w:val="18"/>
                <w:szCs w:val="18"/>
                <w:color w:val="auto"/>
              </w:rPr>
              <w:t>5,480</w:t>
            </w: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0FFFF"/>
            </w:tcBorders>
            <w:gridSpan w:val="3"/>
            <w:shd w:val="clear" w:color="auto" w:fill="C0FFFF"/>
          </w:tcPr>
          <w:p>
            <w:pPr>
              <w:jc w:val="right"/>
              <w:ind w:right="8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260" w:type="dxa"/>
            <w:vAlign w:val="bottom"/>
            <w:tcBorders>
              <w:right w:val="single" w:sz="8" w:color="C0FFFF"/>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(3,284)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Interest expense (income)</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960" w:type="dxa"/>
            <w:vAlign w:val="bottom"/>
            <w:tcBorders>
              <w:right w:val="single" w:sz="8" w:color="C0FFFF"/>
            </w:tcBorders>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40" w:type="dxa"/>
            <w:vAlign w:val="bottom"/>
            <w:gridSpan w:val="4"/>
            <w:shd w:val="clear" w:color="auto" w:fill="C0FFFF"/>
          </w:tcPr>
          <w:p>
            <w:pPr>
              <w:jc w:val="right"/>
              <w:ind w:right="11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0FFFF"/>
          </w:tcPr>
          <w:p>
            <w:pPr>
              <w:spacing w:after="0"/>
              <w:rPr>
                <w:sz w:val="18"/>
                <w:szCs w:val="18"/>
                <w:color w:val="auto"/>
              </w:rPr>
            </w:pPr>
          </w:p>
        </w:tc>
        <w:tc>
          <w:tcPr>
            <w:tcW w:w="960" w:type="dxa"/>
            <w:vAlign w:val="bottom"/>
            <w:tcBorders>
              <w:right w:val="single" w:sz="8" w:color="C0FFFF"/>
            </w:tcBorders>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260" w:type="dxa"/>
            <w:vAlign w:val="bottom"/>
            <w:tcBorders>
              <w:right w:val="single" w:sz="8" w:color="C0FFFF"/>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92"/>
              </w:rPr>
              <w:t>Store depreciation, amortization and impairment (1)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16,222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2,949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19,171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Goodwill impairment (2)</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0FFFF"/>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260" w:type="dxa"/>
            <w:vAlign w:val="bottom"/>
            <w:tcBorders>
              <w:right w:val="single" w:sz="8" w:color="C0FFFF"/>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General and administrative expense (3)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48,573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1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48,435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Franchising and commercial contribution (4)</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960" w:type="dxa"/>
            <w:vAlign w:val="bottom"/>
            <w:tcBorders>
              <w:right w:val="single" w:sz="8" w:color="C0FFFF"/>
            </w:tcBorders>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(4,291)</w:t>
            </w: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960" w:type="dxa"/>
            <w:vAlign w:val="bottom"/>
            <w:tcBorders>
              <w:right w:val="single" w:sz="8" w:color="C0FFFF"/>
            </w:tcBorders>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(4,291)</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260" w:type="dxa"/>
            <w:vAlign w:val="bottom"/>
            <w:tcBorders>
              <w:right w:val="single" w:sz="8" w:color="C0FFFF"/>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Non-store activity contribution (5)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4"/>
          </w:tcPr>
          <w:p>
            <w:pPr>
              <w:jc w:val="right"/>
              <w:ind w:right="110"/>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Store contribution</w:t>
            </w:r>
          </w:p>
        </w:tc>
        <w:tc>
          <w:tcPr>
            <w:tcW w:w="140" w:type="dxa"/>
            <w:vAlign w:val="bottom"/>
            <w:tcBorders>
              <w:bottom w:val="single" w:sz="8" w:color="C0FFFF"/>
            </w:tcBorders>
            <w:shd w:val="clear" w:color="auto" w:fill="C0FFFF"/>
          </w:tcPr>
          <w:p>
            <w:pPr>
              <w:spacing w:after="0"/>
              <w:rPr>
                <w:sz w:val="22"/>
                <w:szCs w:val="22"/>
                <w:color w:val="auto"/>
              </w:rPr>
            </w:pPr>
          </w:p>
        </w:tc>
        <w:tc>
          <w:tcPr>
            <w:tcW w:w="80" w:type="dxa"/>
            <w:vAlign w:val="bottom"/>
            <w:tcBorders>
              <w:bottom w:val="single" w:sz="8" w:color="C0FFFF"/>
            </w:tcBorders>
            <w:shd w:val="clear" w:color="auto" w:fill="C0FFFF"/>
          </w:tcPr>
          <w:p>
            <w:pPr>
              <w:spacing w:after="0"/>
              <w:rPr>
                <w:sz w:val="22"/>
                <w:szCs w:val="22"/>
                <w:color w:val="auto"/>
              </w:rPr>
            </w:pPr>
          </w:p>
        </w:tc>
        <w:tc>
          <w:tcPr>
            <w:tcW w:w="14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0FFFF"/>
          </w:tcPr>
          <w:p>
            <w:pPr>
              <w:jc w:val="right"/>
              <w:spacing w:after="0"/>
              <w:rPr>
                <w:sz w:val="20"/>
                <w:szCs w:val="20"/>
                <w:color w:val="auto"/>
              </w:rPr>
            </w:pPr>
            <w:r>
              <w:rPr>
                <w:rFonts w:ascii="Arial" w:cs="Arial" w:eastAsia="Arial" w:hAnsi="Arial"/>
                <w:sz w:val="18"/>
                <w:szCs w:val="18"/>
                <w:color w:val="auto"/>
              </w:rPr>
              <w:t>48,688</w:t>
            </w:r>
          </w:p>
        </w:tc>
        <w:tc>
          <w:tcPr>
            <w:tcW w:w="80" w:type="dxa"/>
            <w:vAlign w:val="bottom"/>
            <w:tcBorders>
              <w:bottom w:val="single" w:sz="8" w:color="C0FFFF"/>
              <w:right w:val="single" w:sz="8" w:color="C0FFFF"/>
            </w:tcBorders>
            <w:shd w:val="clear" w:color="auto" w:fill="C0FFFF"/>
          </w:tcPr>
          <w:p>
            <w:pPr>
              <w:spacing w:after="0"/>
              <w:rPr>
                <w:sz w:val="22"/>
                <w:szCs w:val="22"/>
                <w:color w:val="auto"/>
              </w:rPr>
            </w:pPr>
          </w:p>
        </w:tc>
        <w:tc>
          <w:tcPr>
            <w:tcW w:w="160" w:type="dxa"/>
            <w:vAlign w:val="bottom"/>
            <w:tcBorders>
              <w:bottom w:val="single" w:sz="8" w:color="C0FFFF"/>
            </w:tcBorders>
            <w:shd w:val="clear" w:color="auto" w:fill="C0FFFF"/>
          </w:tcPr>
          <w:p>
            <w:pPr>
              <w:spacing w:after="0"/>
              <w:rPr>
                <w:sz w:val="22"/>
                <w:szCs w:val="22"/>
                <w:color w:val="auto"/>
              </w:rPr>
            </w:pPr>
          </w:p>
        </w:tc>
        <w:tc>
          <w:tcPr>
            <w:tcW w:w="80" w:type="dxa"/>
            <w:vAlign w:val="bottom"/>
            <w:tcBorders>
              <w:bottom w:val="single" w:sz="8" w:color="C0FFFF"/>
            </w:tcBorders>
            <w:shd w:val="clear" w:color="auto" w:fill="C0FFFF"/>
          </w:tcPr>
          <w:p>
            <w:pPr>
              <w:spacing w:after="0"/>
              <w:rPr>
                <w:sz w:val="22"/>
                <w:szCs w:val="22"/>
                <w:color w:val="auto"/>
              </w:rPr>
            </w:pPr>
          </w:p>
        </w:tc>
        <w:tc>
          <w:tcPr>
            <w:tcW w:w="14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0FFFF"/>
          </w:tcPr>
          <w:p>
            <w:pPr>
              <w:jc w:val="right"/>
              <w:spacing w:after="0"/>
              <w:rPr>
                <w:sz w:val="20"/>
                <w:szCs w:val="20"/>
                <w:color w:val="auto"/>
              </w:rPr>
            </w:pPr>
            <w:r>
              <w:rPr>
                <w:rFonts w:ascii="Arial" w:cs="Arial" w:eastAsia="Arial" w:hAnsi="Arial"/>
                <w:sz w:val="18"/>
                <w:szCs w:val="18"/>
                <w:color w:val="auto"/>
              </w:rPr>
              <w:t>7,863</w:t>
            </w:r>
          </w:p>
        </w:tc>
        <w:tc>
          <w:tcPr>
            <w:tcW w:w="40" w:type="dxa"/>
            <w:vAlign w:val="bottom"/>
            <w:tcBorders>
              <w:bottom w:val="single" w:sz="8" w:color="C0FFFF"/>
              <w:right w:val="single" w:sz="8" w:color="C0FFFF"/>
            </w:tcBorders>
            <w:shd w:val="clear" w:color="auto" w:fill="C0FFFF"/>
          </w:tcPr>
          <w:p>
            <w:pPr>
              <w:spacing w:after="0"/>
              <w:rPr>
                <w:sz w:val="22"/>
                <w:szCs w:val="22"/>
                <w:color w:val="auto"/>
              </w:rPr>
            </w:pPr>
          </w:p>
        </w:tc>
        <w:tc>
          <w:tcPr>
            <w:tcW w:w="220" w:type="dxa"/>
            <w:vAlign w:val="bottom"/>
            <w:tcBorders>
              <w:bottom w:val="single" w:sz="8" w:color="C0FFFF"/>
            </w:tcBorders>
            <w:shd w:val="clear" w:color="auto" w:fill="C0FFFF"/>
          </w:tcPr>
          <w:p>
            <w:pPr>
              <w:spacing w:after="0"/>
              <w:rPr>
                <w:sz w:val="22"/>
                <w:szCs w:val="22"/>
                <w:color w:val="auto"/>
              </w:rPr>
            </w:pPr>
          </w:p>
        </w:tc>
        <w:tc>
          <w:tcPr>
            <w:tcW w:w="14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0FFFF"/>
          </w:tcPr>
          <w:p>
            <w:pPr>
              <w:jc w:val="right"/>
              <w:spacing w:after="0"/>
              <w:rPr>
                <w:sz w:val="20"/>
                <w:szCs w:val="20"/>
                <w:color w:val="auto"/>
              </w:rPr>
            </w:pPr>
            <w:r>
              <w:rPr>
                <w:rFonts w:ascii="Arial" w:cs="Arial" w:eastAsia="Arial" w:hAnsi="Arial"/>
                <w:sz w:val="18"/>
                <w:szCs w:val="18"/>
                <w:color w:val="auto"/>
              </w:rPr>
              <w:t>56,551</w:t>
            </w:r>
          </w:p>
        </w:tc>
        <w:tc>
          <w:tcPr>
            <w:tcW w:w="80" w:type="dxa"/>
            <w:vAlign w:val="bottom"/>
            <w:tcBorders>
              <w:bottom w:val="single" w:sz="8" w:color="C0FFFF"/>
              <w:right w:val="single" w:sz="8" w:color="C0FFFF"/>
            </w:tcBorders>
            <w:shd w:val="clear" w:color="auto" w:fill="C0FFFF"/>
          </w:tcPr>
          <w:p>
            <w:pPr>
              <w:spacing w:after="0"/>
              <w:rPr>
                <w:sz w:val="22"/>
                <w:szCs w:val="22"/>
                <w:color w:val="auto"/>
              </w:rPr>
            </w:pPr>
          </w:p>
        </w:tc>
        <w:tc>
          <w:tcPr>
            <w:tcW w:w="120" w:type="dxa"/>
            <w:vAlign w:val="bottom"/>
            <w:tcBorders>
              <w:bottom w:val="single" w:sz="8" w:color="C0FFFF"/>
            </w:tcBorders>
            <w:shd w:val="clear" w:color="auto" w:fill="C0FFFF"/>
          </w:tcPr>
          <w:p>
            <w:pPr>
              <w:spacing w:after="0"/>
              <w:rPr>
                <w:sz w:val="22"/>
                <w:szCs w:val="22"/>
                <w:color w:val="auto"/>
              </w:rPr>
            </w:pPr>
          </w:p>
        </w:tc>
        <w:tc>
          <w:tcPr>
            <w:tcW w:w="860" w:type="dxa"/>
            <w:vAlign w:val="bottom"/>
            <w:tcBorders>
              <w:bottom w:val="single" w:sz="8" w:color="C0FFFF"/>
            </w:tcBorders>
            <w:shd w:val="clear" w:color="auto" w:fill="C0FFFF"/>
          </w:tcPr>
          <w:p>
            <w:pPr>
              <w:spacing w:after="0"/>
              <w:rPr>
                <w:sz w:val="22"/>
                <w:szCs w:val="22"/>
                <w:color w:val="auto"/>
              </w:rPr>
            </w:pPr>
          </w:p>
        </w:tc>
        <w:tc>
          <w:tcPr>
            <w:tcW w:w="320" w:type="dxa"/>
            <w:vAlign w:val="bottom"/>
            <w:tcBorders>
              <w:bottom w:val="single" w:sz="8" w:color="C0FFFF"/>
            </w:tcBorders>
            <w:shd w:val="clear" w:color="auto" w:fill="C0FFFF"/>
          </w:tcPr>
          <w:p>
            <w:pPr>
              <w:spacing w:after="0"/>
              <w:rPr>
                <w:sz w:val="22"/>
                <w:szCs w:val="22"/>
                <w:color w:val="auto"/>
              </w:rPr>
            </w:pPr>
          </w:p>
        </w:tc>
        <w:tc>
          <w:tcPr>
            <w:tcW w:w="160" w:type="dxa"/>
            <w:vAlign w:val="bottom"/>
            <w:tcBorders>
              <w:bottom w:val="single" w:sz="8" w:color="C0FFFF"/>
            </w:tcBorders>
            <w:shd w:val="clear" w:color="auto" w:fill="C0FFFF"/>
          </w:tcPr>
          <w:p>
            <w:pPr>
              <w:spacing w:after="0"/>
              <w:rPr>
                <w:sz w:val="22"/>
                <w:szCs w:val="22"/>
                <w:color w:val="auto"/>
              </w:rPr>
            </w:pPr>
          </w:p>
        </w:tc>
        <w:tc>
          <w:tcPr>
            <w:tcW w:w="840" w:type="dxa"/>
            <w:vAlign w:val="bottom"/>
            <w:tcBorders>
              <w:bottom w:val="single" w:sz="8" w:color="C0FFFF"/>
            </w:tcBorders>
            <w:shd w:val="clear" w:color="auto" w:fill="C0FFFF"/>
          </w:tcPr>
          <w:p>
            <w:pPr>
              <w:spacing w:after="0"/>
              <w:rPr>
                <w:sz w:val="22"/>
                <w:szCs w:val="22"/>
                <w:color w:val="auto"/>
              </w:rPr>
            </w:pPr>
          </w:p>
        </w:tc>
        <w:tc>
          <w:tcPr>
            <w:tcW w:w="260" w:type="dxa"/>
            <w:vAlign w:val="bottom"/>
            <w:tcBorders>
              <w:bottom w:val="single" w:sz="8" w:color="C0FFFF"/>
              <w:right w:val="single" w:sz="8" w:color="C0FFFF"/>
            </w:tcBorders>
            <w:shd w:val="clear" w:color="auto" w:fill="C0FFFF"/>
          </w:tcPr>
          <w:p>
            <w:pPr>
              <w:spacing w:after="0"/>
              <w:rPr>
                <w:sz w:val="22"/>
                <w:szCs w:val="22"/>
                <w:color w:val="auto"/>
              </w:rPr>
            </w:pPr>
          </w:p>
        </w:tc>
        <w:tc>
          <w:tcPr>
            <w:tcW w:w="200" w:type="dxa"/>
            <w:vAlign w:val="bottom"/>
            <w:tcBorders>
              <w:bottom w:val="single" w:sz="8" w:color="C0FFFF"/>
            </w:tcBorders>
            <w:shd w:val="clear" w:color="auto" w:fill="C0FFFF"/>
          </w:tcPr>
          <w:p>
            <w:pPr>
              <w:spacing w:after="0"/>
              <w:rPr>
                <w:sz w:val="22"/>
                <w:szCs w:val="22"/>
                <w:color w:val="auto"/>
              </w:rPr>
            </w:pPr>
          </w:p>
        </w:tc>
        <w:tc>
          <w:tcPr>
            <w:tcW w:w="800" w:type="dxa"/>
            <w:vAlign w:val="bottom"/>
            <w:tcBorders>
              <w:bottom w:val="single" w:sz="8" w:color="C0FFFF"/>
            </w:tcBorders>
            <w:shd w:val="clear" w:color="auto" w:fill="C0FFFF"/>
          </w:tcPr>
          <w:p>
            <w:pPr>
              <w:spacing w:after="0"/>
              <w:rPr>
                <w:sz w:val="22"/>
                <w:szCs w:val="22"/>
                <w:color w:val="auto"/>
              </w:rPr>
            </w:pPr>
          </w:p>
        </w:tc>
        <w:tc>
          <w:tcPr>
            <w:tcW w:w="22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Total revenues from external customers</w:t>
            </w:r>
          </w:p>
        </w:tc>
        <w:tc>
          <w:tcPr>
            <w:tcW w:w="14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0FFFF"/>
            </w:tcBorders>
            <w:gridSpan w:val="3"/>
            <w:shd w:val="clear" w:color="auto" w:fill="C0FFFF"/>
          </w:tcPr>
          <w:p>
            <w:pPr>
              <w:jc w:val="right"/>
              <w:ind w:right="80"/>
              <w:spacing w:after="0"/>
              <w:rPr>
                <w:sz w:val="20"/>
                <w:szCs w:val="20"/>
                <w:color w:val="auto"/>
              </w:rPr>
            </w:pPr>
            <w:r>
              <w:rPr>
                <w:rFonts w:ascii="Arial" w:cs="Arial" w:eastAsia="Arial" w:hAnsi="Arial"/>
                <w:sz w:val="18"/>
                <w:szCs w:val="18"/>
                <w:color w:val="auto"/>
              </w:rPr>
              <w:t>331,392</w:t>
            </w:r>
          </w:p>
        </w:tc>
        <w:tc>
          <w:tcPr>
            <w:tcW w:w="16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0FFFF"/>
            </w:tcBorders>
            <w:gridSpan w:val="3"/>
            <w:shd w:val="clear" w:color="auto" w:fill="C0FFFF"/>
          </w:tcPr>
          <w:p>
            <w:pPr>
              <w:jc w:val="right"/>
              <w:ind w:right="40"/>
              <w:spacing w:after="0"/>
              <w:rPr>
                <w:sz w:val="20"/>
                <w:szCs w:val="20"/>
                <w:color w:val="auto"/>
              </w:rPr>
            </w:pPr>
            <w:r>
              <w:rPr>
                <w:rFonts w:ascii="Arial" w:cs="Arial" w:eastAsia="Arial" w:hAnsi="Arial"/>
                <w:sz w:val="18"/>
                <w:szCs w:val="18"/>
                <w:color w:val="auto"/>
              </w:rPr>
              <w:t>70,060</w:t>
            </w: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0FFFF"/>
            </w:tcBorders>
            <w:gridSpan w:val="3"/>
            <w:shd w:val="clear" w:color="auto" w:fill="C0FFFF"/>
          </w:tcPr>
          <w:p>
            <w:pPr>
              <w:jc w:val="right"/>
              <w:ind w:right="80"/>
              <w:spacing w:after="0"/>
              <w:rPr>
                <w:sz w:val="20"/>
                <w:szCs w:val="20"/>
                <w:color w:val="auto"/>
              </w:rPr>
            </w:pPr>
            <w:r>
              <w:rPr>
                <w:rFonts w:ascii="Arial" w:cs="Arial" w:eastAsia="Arial" w:hAnsi="Arial"/>
                <w:sz w:val="18"/>
                <w:szCs w:val="18"/>
                <w:color w:val="auto"/>
              </w:rPr>
              <w:t>401,452</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260" w:type="dxa"/>
            <w:vAlign w:val="bottom"/>
            <w:tcBorders>
              <w:right w:val="single" w:sz="8" w:color="C0FFFF"/>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w w:val="91"/>
              </w:rPr>
              <w:t>Franchising and commercial revenues from external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customers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(13,699)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11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(14,289)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shd w:val="clear" w:color="auto" w:fill="C0FFFF"/>
          </w:tcPr>
          <w:p>
            <w:pPr>
              <w:spacing w:after="0"/>
              <w:rPr>
                <w:sz w:val="20"/>
                <w:szCs w:val="20"/>
                <w:color w:val="auto"/>
              </w:rPr>
            </w:pPr>
            <w:r>
              <w:rPr>
                <w:rFonts w:ascii="Arial" w:cs="Arial" w:eastAsia="Arial" w:hAnsi="Arial"/>
                <w:sz w:val="18"/>
                <w:szCs w:val="18"/>
                <w:color w:val="auto"/>
              </w:rPr>
              <w:t>Revenues from non-store activities (5)</w:t>
            </w:r>
          </w:p>
        </w:tc>
        <w:tc>
          <w:tcPr>
            <w:tcW w:w="14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960" w:type="dxa"/>
            <w:vAlign w:val="bottom"/>
            <w:tcBorders>
              <w:right w:val="single" w:sz="8" w:color="C0FFFF"/>
            </w:tcBorders>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(14,345)</w:t>
            </w:r>
          </w:p>
        </w:tc>
        <w:tc>
          <w:tcPr>
            <w:tcW w:w="16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1140" w:type="dxa"/>
            <w:vAlign w:val="bottom"/>
            <w:gridSpan w:val="4"/>
            <w:shd w:val="clear" w:color="auto" w:fill="C0FFFF"/>
          </w:tcPr>
          <w:p>
            <w:pPr>
              <w:jc w:val="right"/>
              <w:ind w:right="110"/>
              <w:spacing w:after="0"/>
              <w:rPr>
                <w:sz w:val="20"/>
                <w:szCs w:val="20"/>
                <w:color w:val="auto"/>
              </w:rPr>
            </w:pPr>
            <w:r>
              <w:rPr>
                <w:rFonts w:ascii="Arial" w:cs="Arial" w:eastAsia="Arial" w:hAnsi="Arial"/>
                <w:sz w:val="18"/>
                <w:szCs w:val="18"/>
                <w:color w:val="auto"/>
              </w:rPr>
              <w:t>(2,785)</w:t>
            </w:r>
          </w:p>
        </w:tc>
        <w:tc>
          <w:tcPr>
            <w:tcW w:w="140" w:type="dxa"/>
            <w:vAlign w:val="bottom"/>
            <w:shd w:val="clear" w:color="auto" w:fill="C0FFFF"/>
          </w:tcPr>
          <w:p>
            <w:pPr>
              <w:spacing w:after="0"/>
              <w:rPr>
                <w:sz w:val="19"/>
                <w:szCs w:val="19"/>
                <w:color w:val="auto"/>
              </w:rPr>
            </w:pPr>
          </w:p>
        </w:tc>
        <w:tc>
          <w:tcPr>
            <w:tcW w:w="960" w:type="dxa"/>
            <w:vAlign w:val="bottom"/>
            <w:tcBorders>
              <w:right w:val="single" w:sz="8" w:color="C0FFFF"/>
            </w:tcBorders>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(17,130)</w:t>
            </w:r>
          </w:p>
        </w:tc>
        <w:tc>
          <w:tcPr>
            <w:tcW w:w="120" w:type="dxa"/>
            <w:vAlign w:val="bottom"/>
            <w:shd w:val="clear" w:color="auto" w:fill="C0FFFF"/>
          </w:tcPr>
          <w:p>
            <w:pPr>
              <w:spacing w:after="0"/>
              <w:rPr>
                <w:sz w:val="19"/>
                <w:szCs w:val="19"/>
                <w:color w:val="auto"/>
              </w:rPr>
            </w:pPr>
          </w:p>
        </w:tc>
        <w:tc>
          <w:tcPr>
            <w:tcW w:w="86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840" w:type="dxa"/>
            <w:vAlign w:val="bottom"/>
            <w:shd w:val="clear" w:color="auto" w:fill="C0FFFF"/>
          </w:tcPr>
          <w:p>
            <w:pPr>
              <w:spacing w:after="0"/>
              <w:rPr>
                <w:sz w:val="19"/>
                <w:szCs w:val="19"/>
                <w:color w:val="auto"/>
              </w:rPr>
            </w:pPr>
          </w:p>
        </w:tc>
        <w:tc>
          <w:tcPr>
            <w:tcW w:w="260" w:type="dxa"/>
            <w:vAlign w:val="bottom"/>
            <w:tcBorders>
              <w:right w:val="single" w:sz="8" w:color="C0FFFF"/>
            </w:tcBorders>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80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Store location net retail sales</w:t>
            </w: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303,348</w:t>
            </w: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66,685</w:t>
            </w:r>
          </w:p>
        </w:tc>
        <w:tc>
          <w:tcPr>
            <w:tcW w:w="4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370,033</w:t>
            </w:r>
          </w:p>
        </w:tc>
        <w:tc>
          <w:tcPr>
            <w:tcW w:w="8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860" w:type="dxa"/>
            <w:vAlign w:val="bottom"/>
            <w:tcBorders>
              <w:top w:val="single" w:sz="8" w:color="C0FFFF"/>
            </w:tcBorders>
          </w:tcPr>
          <w:p>
            <w:pPr>
              <w:spacing w:after="0"/>
              <w:rPr>
                <w:sz w:val="18"/>
                <w:szCs w:val="18"/>
                <w:color w:val="auto"/>
              </w:rPr>
            </w:pPr>
          </w:p>
        </w:tc>
        <w:tc>
          <w:tcPr>
            <w:tcW w:w="320" w:type="dxa"/>
            <w:vAlign w:val="bottom"/>
            <w:tcBorders>
              <w:top w:val="single" w:sz="8" w:color="C0FFFF"/>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84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80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shd w:val="clear" w:color="auto" w:fill="C0FFFF"/>
          </w:tcPr>
          <w:p>
            <w:pPr>
              <w:spacing w:after="0" w:line="195" w:lineRule="exact"/>
              <w:rPr>
                <w:sz w:val="20"/>
                <w:szCs w:val="20"/>
                <w:color w:val="auto"/>
              </w:rPr>
            </w:pPr>
            <w:r>
              <w:rPr>
                <w:rFonts w:ascii="Arial" w:cs="Arial" w:eastAsia="Arial" w:hAnsi="Arial"/>
                <w:sz w:val="18"/>
                <w:szCs w:val="18"/>
                <w:color w:val="auto"/>
                <w:w w:val="89"/>
              </w:rPr>
              <w:t>Store contribution as a percentage of store location</w:t>
            </w:r>
          </w:p>
        </w:tc>
        <w:tc>
          <w:tcPr>
            <w:tcW w:w="1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6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0" w:type="dxa"/>
            <w:vAlign w:val="bottom"/>
            <w:tcBorders>
              <w:right w:val="single" w:sz="8" w:color="C0FFFF"/>
            </w:tcBorders>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60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40" w:type="dxa"/>
            <w:vAlign w:val="bottom"/>
            <w:tcBorders>
              <w:right w:val="single" w:sz="8" w:color="C0FFFF"/>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64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0" w:type="dxa"/>
            <w:vAlign w:val="bottom"/>
            <w:tcBorders>
              <w:right w:val="single" w:sz="8" w:color="C0FFFF"/>
            </w:tcBorders>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86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260" w:type="dxa"/>
            <w:vAlign w:val="bottom"/>
            <w:tcBorders>
              <w:right w:val="single" w:sz="8" w:color="C0FFFF"/>
            </w:tcBorders>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retail sales</w:t>
            </w:r>
          </w:p>
        </w:tc>
        <w:tc>
          <w:tcPr>
            <w:tcW w:w="140" w:type="dxa"/>
            <w:vAlign w:val="bottom"/>
            <w:shd w:val="clear" w:color="auto" w:fill="C0FFFF"/>
          </w:tcPr>
          <w:p>
            <w:pPr>
              <w:spacing w:after="0"/>
              <w:rPr>
                <w:sz w:val="23"/>
                <w:szCs w:val="23"/>
                <w:color w:val="auto"/>
              </w:rPr>
            </w:pPr>
          </w:p>
        </w:tc>
        <w:tc>
          <w:tcPr>
            <w:tcW w:w="80" w:type="dxa"/>
            <w:vAlign w:val="bottom"/>
            <w:shd w:val="clear" w:color="auto" w:fill="C0FFFF"/>
          </w:tcPr>
          <w:p>
            <w:pPr>
              <w:spacing w:after="0"/>
              <w:rPr>
                <w:sz w:val="23"/>
                <w:szCs w:val="23"/>
                <w:color w:val="auto"/>
              </w:rPr>
            </w:pPr>
          </w:p>
        </w:tc>
        <w:tc>
          <w:tcPr>
            <w:tcW w:w="140" w:type="dxa"/>
            <w:vAlign w:val="bottom"/>
            <w:shd w:val="clear" w:color="auto" w:fill="C0FFFF"/>
          </w:tcPr>
          <w:p>
            <w:pPr>
              <w:spacing w:after="0"/>
              <w:rPr>
                <w:sz w:val="23"/>
                <w:szCs w:val="23"/>
                <w:color w:val="auto"/>
              </w:rPr>
            </w:pPr>
          </w:p>
        </w:tc>
        <w:tc>
          <w:tcPr>
            <w:tcW w:w="1120" w:type="dxa"/>
            <w:vAlign w:val="bottom"/>
            <w:gridSpan w:val="4"/>
            <w:shd w:val="clear" w:color="auto" w:fill="C0FFFF"/>
          </w:tcPr>
          <w:p>
            <w:pPr>
              <w:jc w:val="right"/>
              <w:ind w:right="22"/>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0FFFF"/>
          </w:tcPr>
          <w:p>
            <w:pPr>
              <w:spacing w:after="0"/>
              <w:rPr>
                <w:sz w:val="23"/>
                <w:szCs w:val="23"/>
                <w:color w:val="auto"/>
              </w:rPr>
            </w:pPr>
          </w:p>
        </w:tc>
        <w:tc>
          <w:tcPr>
            <w:tcW w:w="140" w:type="dxa"/>
            <w:vAlign w:val="bottom"/>
            <w:shd w:val="clear" w:color="auto" w:fill="C0FFFF"/>
          </w:tcPr>
          <w:p>
            <w:pPr>
              <w:spacing w:after="0"/>
              <w:rPr>
                <w:sz w:val="23"/>
                <w:szCs w:val="23"/>
                <w:color w:val="auto"/>
              </w:rPr>
            </w:pPr>
          </w:p>
        </w:tc>
        <w:tc>
          <w:tcPr>
            <w:tcW w:w="1140" w:type="dxa"/>
            <w:vAlign w:val="bottom"/>
            <w:gridSpan w:val="4"/>
            <w:shd w:val="clear" w:color="auto" w:fill="C0FFFF"/>
          </w:tcPr>
          <w:p>
            <w:pPr>
              <w:jc w:val="right"/>
              <w:ind w:right="3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0FFFF"/>
          </w:tcPr>
          <w:p>
            <w:pPr>
              <w:spacing w:after="0"/>
              <w:rPr>
                <w:sz w:val="23"/>
                <w:szCs w:val="23"/>
                <w:color w:val="auto"/>
              </w:rPr>
            </w:pPr>
          </w:p>
        </w:tc>
        <w:tc>
          <w:tcPr>
            <w:tcW w:w="1080" w:type="dxa"/>
            <w:vAlign w:val="bottom"/>
            <w:gridSpan w:val="4"/>
            <w:shd w:val="clear" w:color="auto" w:fill="C0FFFF"/>
          </w:tcPr>
          <w:p>
            <w:pPr>
              <w:jc w:val="right"/>
              <w:spacing w:after="0"/>
              <w:rPr>
                <w:sz w:val="20"/>
                <w:szCs w:val="20"/>
                <w:color w:val="auto"/>
              </w:rPr>
            </w:pPr>
            <w:r>
              <w:rPr>
                <w:rFonts w:ascii="Arial" w:cs="Arial" w:eastAsia="Arial" w:hAnsi="Arial"/>
                <w:sz w:val="18"/>
                <w:szCs w:val="18"/>
                <w:color w:val="auto"/>
              </w:rPr>
              <w:t>15.3%</w:t>
            </w:r>
          </w:p>
        </w:tc>
        <w:tc>
          <w:tcPr>
            <w:tcW w:w="860" w:type="dxa"/>
            <w:vAlign w:val="bottom"/>
            <w:shd w:val="clear" w:color="auto" w:fill="C0FFFF"/>
          </w:tcPr>
          <w:p>
            <w:pPr>
              <w:spacing w:after="0"/>
              <w:rPr>
                <w:sz w:val="23"/>
                <w:szCs w:val="23"/>
                <w:color w:val="auto"/>
              </w:rPr>
            </w:pPr>
          </w:p>
        </w:tc>
        <w:tc>
          <w:tcPr>
            <w:tcW w:w="320" w:type="dxa"/>
            <w:vAlign w:val="bottom"/>
            <w:shd w:val="clear" w:color="auto" w:fill="C0FFFF"/>
          </w:tcPr>
          <w:p>
            <w:pPr>
              <w:spacing w:after="0"/>
              <w:rPr>
                <w:sz w:val="23"/>
                <w:szCs w:val="23"/>
                <w:color w:val="auto"/>
              </w:rPr>
            </w:pPr>
          </w:p>
        </w:tc>
        <w:tc>
          <w:tcPr>
            <w:tcW w:w="160" w:type="dxa"/>
            <w:vAlign w:val="bottom"/>
            <w:shd w:val="clear" w:color="auto" w:fill="C0FFFF"/>
          </w:tcPr>
          <w:p>
            <w:pPr>
              <w:spacing w:after="0"/>
              <w:rPr>
                <w:sz w:val="23"/>
                <w:szCs w:val="23"/>
                <w:color w:val="auto"/>
              </w:rPr>
            </w:pPr>
          </w:p>
        </w:tc>
        <w:tc>
          <w:tcPr>
            <w:tcW w:w="840" w:type="dxa"/>
            <w:vAlign w:val="bottom"/>
            <w:shd w:val="clear" w:color="auto" w:fill="C0FFFF"/>
          </w:tcPr>
          <w:p>
            <w:pPr>
              <w:spacing w:after="0"/>
              <w:rPr>
                <w:sz w:val="23"/>
                <w:szCs w:val="23"/>
                <w:color w:val="auto"/>
              </w:rPr>
            </w:pPr>
          </w:p>
        </w:tc>
        <w:tc>
          <w:tcPr>
            <w:tcW w:w="260" w:type="dxa"/>
            <w:vAlign w:val="bottom"/>
            <w:tcBorders>
              <w:right w:val="single" w:sz="8" w:color="C0FFFF"/>
            </w:tcBorders>
            <w:shd w:val="clear" w:color="auto" w:fill="C0FFFF"/>
          </w:tcPr>
          <w:p>
            <w:pPr>
              <w:spacing w:after="0"/>
              <w:rPr>
                <w:sz w:val="23"/>
                <w:szCs w:val="23"/>
                <w:color w:val="auto"/>
              </w:rPr>
            </w:pPr>
          </w:p>
        </w:tc>
        <w:tc>
          <w:tcPr>
            <w:tcW w:w="200" w:type="dxa"/>
            <w:vAlign w:val="bottom"/>
            <w:shd w:val="clear" w:color="auto" w:fill="C0FFFF"/>
          </w:tcPr>
          <w:p>
            <w:pPr>
              <w:spacing w:after="0"/>
              <w:rPr>
                <w:sz w:val="23"/>
                <w:szCs w:val="23"/>
                <w:color w:val="auto"/>
              </w:rPr>
            </w:pPr>
          </w:p>
        </w:tc>
        <w:tc>
          <w:tcPr>
            <w:tcW w:w="800" w:type="dxa"/>
            <w:vAlign w:val="bottom"/>
            <w:shd w:val="clear" w:color="auto" w:fill="C0FFFF"/>
          </w:tcPr>
          <w:p>
            <w:pPr>
              <w:spacing w:after="0"/>
              <w:rPr>
                <w:sz w:val="23"/>
                <w:szCs w:val="23"/>
                <w:color w:val="auto"/>
              </w:rPr>
            </w:pPr>
          </w:p>
        </w:tc>
        <w:tc>
          <w:tcPr>
            <w:tcW w:w="220" w:type="dxa"/>
            <w:vAlign w:val="bottom"/>
            <w:shd w:val="clear" w:color="auto" w:fill="C0FFFF"/>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tcBorders>
              <w:top w:val="single" w:sz="8" w:color="C0FFFF"/>
            </w:tcBorders>
          </w:tcPr>
          <w:p>
            <w:pPr>
              <w:spacing w:after="0" w:line="195" w:lineRule="exact"/>
              <w:rPr>
                <w:sz w:val="20"/>
                <w:szCs w:val="20"/>
                <w:color w:val="auto"/>
              </w:rPr>
            </w:pPr>
            <w:r>
              <w:rPr>
                <w:rFonts w:ascii="Arial" w:cs="Arial" w:eastAsia="Arial" w:hAnsi="Arial"/>
                <w:sz w:val="18"/>
                <w:szCs w:val="18"/>
                <w:color w:val="auto"/>
                <w:w w:val="97"/>
              </w:rPr>
              <w:t>Total net income (loss) as a percentage of total</w:t>
            </w:r>
          </w:p>
        </w:tc>
        <w:tc>
          <w:tcPr>
            <w:tcW w:w="14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Borders>
              <w:top w:val="single" w:sz="8" w:color="C0FFFF"/>
            </w:tcBorders>
          </w:tcPr>
          <w:p>
            <w:pPr>
              <w:spacing w:after="0"/>
              <w:rPr>
                <w:sz w:val="16"/>
                <w:szCs w:val="16"/>
                <w:color w:val="auto"/>
              </w:rPr>
            </w:pPr>
          </w:p>
        </w:tc>
        <w:tc>
          <w:tcPr>
            <w:tcW w:w="220" w:type="dxa"/>
            <w:vAlign w:val="bottom"/>
            <w:tcBorders>
              <w:top w:val="single" w:sz="8" w:color="C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C0FFFF"/>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c>
          <w:tcPr>
            <w:tcW w:w="860" w:type="dxa"/>
            <w:vAlign w:val="bottom"/>
            <w:tcBorders>
              <w:top w:val="single" w:sz="8" w:color="C0FFFF"/>
            </w:tcBorders>
          </w:tcPr>
          <w:p>
            <w:pPr>
              <w:spacing w:after="0"/>
              <w:rPr>
                <w:sz w:val="16"/>
                <w:szCs w:val="16"/>
                <w:color w:val="auto"/>
              </w:rPr>
            </w:pPr>
          </w:p>
        </w:tc>
        <w:tc>
          <w:tcPr>
            <w:tcW w:w="320" w:type="dxa"/>
            <w:vAlign w:val="bottom"/>
            <w:tcBorders>
              <w:top w:val="single" w:sz="8" w:color="C0FFFF"/>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840" w:type="dxa"/>
            <w:vAlign w:val="bottom"/>
            <w:tcBorders>
              <w:top w:val="single" w:sz="8" w:color="C0FFFF"/>
            </w:tcBorders>
          </w:tcPr>
          <w:p>
            <w:pPr>
              <w:spacing w:after="0"/>
              <w:rPr>
                <w:sz w:val="16"/>
                <w:szCs w:val="16"/>
                <w:color w:val="auto"/>
              </w:rPr>
            </w:pPr>
          </w:p>
        </w:tc>
        <w:tc>
          <w:tcPr>
            <w:tcW w:w="260" w:type="dxa"/>
            <w:vAlign w:val="bottom"/>
            <w:tcBorders>
              <w:top w:val="single" w:sz="8" w:color="C0FFFF"/>
            </w:tcBorders>
          </w:tcPr>
          <w:p>
            <w:pPr>
              <w:spacing w:after="0"/>
              <w:rPr>
                <w:sz w:val="16"/>
                <w:szCs w:val="16"/>
                <w:color w:val="auto"/>
              </w:rPr>
            </w:pPr>
          </w:p>
        </w:tc>
        <w:tc>
          <w:tcPr>
            <w:tcW w:w="200" w:type="dxa"/>
            <w:vAlign w:val="bottom"/>
            <w:tcBorders>
              <w:top w:val="single" w:sz="8" w:color="C0FFFF"/>
            </w:tcBorders>
          </w:tcPr>
          <w:p>
            <w:pPr>
              <w:spacing w:after="0"/>
              <w:rPr>
                <w:sz w:val="16"/>
                <w:szCs w:val="16"/>
                <w:color w:val="auto"/>
              </w:rPr>
            </w:pPr>
          </w:p>
        </w:tc>
        <w:tc>
          <w:tcPr>
            <w:tcW w:w="800" w:type="dxa"/>
            <w:vAlign w:val="bottom"/>
            <w:tcBorders>
              <w:top w:val="single" w:sz="8" w:color="C0FFFF"/>
            </w:tcBorders>
          </w:tcPr>
          <w:p>
            <w:pPr>
              <w:spacing w:after="0"/>
              <w:rPr>
                <w:sz w:val="16"/>
                <w:szCs w:val="16"/>
                <w:color w:val="auto"/>
              </w:rPr>
            </w:pPr>
          </w:p>
        </w:tc>
        <w:tc>
          <w:tcPr>
            <w:tcW w:w="22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3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-3286125</wp:posOffset>
            </wp:positionV>
            <wp:extent cx="234950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9500" cy="13716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-3011805</wp:posOffset>
            </wp:positionV>
            <wp:extent cx="234950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49500" cy="13716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-2736850</wp:posOffset>
            </wp:positionV>
            <wp:extent cx="234950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9500" cy="13716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-2462530</wp:posOffset>
            </wp:positionV>
            <wp:extent cx="234950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49500" cy="13716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-2171065</wp:posOffset>
            </wp:positionV>
            <wp:extent cx="234950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49500" cy="17145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-1862455</wp:posOffset>
            </wp:positionV>
            <wp:extent cx="234950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49500" cy="13716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-1450975</wp:posOffset>
            </wp:positionV>
            <wp:extent cx="234950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49500" cy="15430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-1124585</wp:posOffset>
            </wp:positionV>
            <wp:extent cx="234950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49500" cy="30861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41" w:name="page42"/>
    <w:bookmarkEnd w:id="41"/>
    <w:p>
      <w:pPr>
        <w:ind w:left="492" w:hanging="492"/>
        <w:spacing w:after="0" w:line="258" w:lineRule="auto"/>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Store depreciation, amortization and impairment includes depreciation and amortization of all capitalized assets in store locations, including leasehold improvements, furniture and fixtures, and computer hardware and software and store asset impairment charges.</w:t>
      </w:r>
    </w:p>
    <w:p>
      <w:pPr>
        <w:spacing w:after="0" w:line="1" w:lineRule="exact"/>
        <w:rPr>
          <w:rFonts w:ascii="Arial" w:cs="Arial" w:eastAsia="Arial" w:hAnsi="Arial"/>
          <w:sz w:val="18"/>
          <w:szCs w:val="18"/>
          <w:color w:val="auto"/>
        </w:rPr>
      </w:pPr>
    </w:p>
    <w:p>
      <w:pPr>
        <w:ind w:left="492" w:hanging="492"/>
        <w:spacing w:after="0"/>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Goodwill impairment represents the write-off of the goodwill associated with the UK reporting unit.</w:t>
      </w:r>
    </w:p>
    <w:p>
      <w:pPr>
        <w:spacing w:after="0" w:line="9" w:lineRule="exact"/>
        <w:rPr>
          <w:rFonts w:ascii="Arial" w:cs="Arial" w:eastAsia="Arial" w:hAnsi="Arial"/>
          <w:sz w:val="18"/>
          <w:szCs w:val="18"/>
          <w:color w:val="auto"/>
        </w:rPr>
      </w:pPr>
    </w:p>
    <w:p>
      <w:pPr>
        <w:ind w:left="492" w:right="60" w:hanging="492"/>
        <w:spacing w:after="0" w:line="281" w:lineRule="auto"/>
        <w:tabs>
          <w:tab w:leader="none" w:pos="492"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and administrative expenses consist of non-store, central office general and administrative functions such as management payroll and related benefits, travel, information systems, accounting, purchasing and legal costs as well as the depreciation and amortization of central office leasehold improvements, furniture and fixtures, computer hardware and software, including intellectual property and store closing expenses. General and administrative expenses also include a central office marketing department, primarily payroll and related benefits expense, but exclude advertising expenses, such as television advertising, virtual world costs and direct mail catalogs, which are included in store contribution.</w:t>
      </w:r>
    </w:p>
    <w:p>
      <w:pPr>
        <w:spacing w:after="0" w:line="3" w:lineRule="exact"/>
        <w:rPr>
          <w:rFonts w:ascii="Arial" w:cs="Arial" w:eastAsia="Arial" w:hAnsi="Arial"/>
          <w:sz w:val="16"/>
          <w:szCs w:val="16"/>
          <w:color w:val="auto"/>
        </w:rPr>
      </w:pPr>
    </w:p>
    <w:p>
      <w:pPr>
        <w:ind w:left="492" w:right="100" w:hanging="492"/>
        <w:spacing w:after="0" w:line="265" w:lineRule="auto"/>
        <w:tabs>
          <w:tab w:leader="none" w:pos="4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Franchising and commercial contribution includes franchising and commercial revenues and all expenses attributable to the international franchising and commercial segments including asset impairments and excluding depreciation, amortization and interest expense/income. Depreciation and amortization related to franchising and licensing is included in the general and administrative expense caption. Interest expense/income related to franchising and commercial activities is included in the interest expense (income) caption.</w:t>
      </w:r>
    </w:p>
    <w:p>
      <w:pPr>
        <w:ind w:left="492" w:hanging="492"/>
        <w:spacing w:after="0"/>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Non-store activities include our webstores, temporary locations and seasonal and event-based locations.</w:t>
      </w:r>
    </w:p>
    <w:p>
      <w:pPr>
        <w:spacing w:after="0" w:line="200" w:lineRule="exact"/>
        <w:rPr>
          <w:sz w:val="20"/>
          <w:szCs w:val="20"/>
          <w:color w:val="auto"/>
        </w:rPr>
      </w:pPr>
    </w:p>
    <w:p>
      <w:pPr>
        <w:spacing w:after="0" w:line="21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57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certain unaudited quarterly results of operations data for each of the last two fiscal years.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Fiscal 2012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Fiscal 2011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w w:val="94"/>
              </w:rPr>
              <w:t>(Dollars in millions, except per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Fourth</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Third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5"/>
                <w:szCs w:val="15"/>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8"/>
                <w:szCs w:val="18"/>
                <w:color w:val="auto"/>
              </w:rPr>
              <w:t>share data)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0FFFF"/>
          </w:tcPr>
          <w:p>
            <w:pPr>
              <w:spacing w:after="0"/>
              <w:rPr>
                <w:sz w:val="20"/>
                <w:szCs w:val="20"/>
                <w:color w:val="auto"/>
              </w:rPr>
            </w:pPr>
            <w:r>
              <w:rPr>
                <w:rFonts w:ascii="Arial" w:cs="Arial" w:eastAsia="Arial" w:hAnsi="Arial"/>
                <w:sz w:val="18"/>
                <w:szCs w:val="18"/>
                <w:color w:val="auto"/>
              </w:rPr>
              <w:t>Total revenues</w:t>
            </w:r>
          </w:p>
        </w:tc>
        <w:tc>
          <w:tcPr>
            <w:tcW w:w="2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96.4</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b w:val="1"/>
                <w:bCs w:val="1"/>
                <w:color w:val="auto"/>
              </w:rPr>
              <w:t>80.4</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b w:val="1"/>
                <w:bCs w:val="1"/>
                <w:color w:val="auto"/>
              </w:rPr>
              <w:t>86.0</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118.1</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b w:val="1"/>
                <w:bCs w:val="1"/>
                <w:color w:val="auto"/>
              </w:rPr>
              <w:t>96.0</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b w:val="1"/>
                <w:bCs w:val="1"/>
                <w:color w:val="auto"/>
              </w:rPr>
              <w:t>81.8</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97.4</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line="216" w:lineRule="exact"/>
              <w:rPr>
                <w:sz w:val="20"/>
                <w:szCs w:val="20"/>
                <w:color w:val="auto"/>
              </w:rPr>
            </w:pPr>
            <w:r>
              <w:rPr>
                <w:rFonts w:ascii="Arial" w:cs="Arial" w:eastAsia="Arial" w:hAnsi="Arial"/>
                <w:sz w:val="18"/>
                <w:szCs w:val="18"/>
                <w:color w:val="auto"/>
              </w:rPr>
              <w:t>Retail gross margin</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30.8</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36.6</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0FFFF"/>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33.7</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line="216" w:lineRule="exact"/>
              <w:rPr>
                <w:sz w:val="20"/>
                <w:szCs w:val="20"/>
                <w:color w:val="auto"/>
              </w:rPr>
            </w:pPr>
            <w:r>
              <w:rPr>
                <w:rFonts w:ascii="Arial" w:cs="Arial" w:eastAsia="Arial" w:hAnsi="Arial"/>
                <w:sz w:val="18"/>
                <w:szCs w:val="18"/>
                <w:color w:val="auto"/>
              </w:rPr>
              <w:t>Net (loss) income</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0FFFF"/>
          </w:tcPr>
          <w:p>
            <w:pPr>
              <w:spacing w:after="0"/>
              <w:rPr>
                <w:sz w:val="20"/>
                <w:szCs w:val="20"/>
                <w:color w:val="auto"/>
              </w:rPr>
            </w:pPr>
            <w:r>
              <w:rPr>
                <w:rFonts w:ascii="Arial" w:cs="Arial" w:eastAsia="Arial" w:hAnsi="Arial"/>
                <w:sz w:val="18"/>
                <w:szCs w:val="18"/>
                <w:color w:val="auto"/>
                <w:w w:val="89"/>
              </w:rPr>
              <w:t>Earnings (loss) per common share:</w:t>
            </w:r>
          </w:p>
        </w:tc>
        <w:tc>
          <w:tcPr>
            <w:tcW w:w="8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(0.46)</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(0.26)</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(0.12)</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(0.37)</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0FFFF"/>
          </w:tcPr>
          <w:p>
            <w:pPr>
              <w:ind w:left="7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(0.06)</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(0.46)</w:t>
            </w:r>
          </w:p>
        </w:tc>
        <w:tc>
          <w:tcPr>
            <w:tcW w:w="12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b w:val="1"/>
                <w:bCs w:val="1"/>
                <w:color w:val="auto"/>
              </w:rPr>
              <w:t>(0.26)</w:t>
            </w:r>
          </w:p>
        </w:tc>
        <w:tc>
          <w:tcPr>
            <w:tcW w:w="120" w:type="dxa"/>
            <w:vAlign w:val="bottom"/>
            <w:shd w:val="clear" w:color="auto" w:fill="C0FFFF"/>
          </w:tcPr>
          <w:p>
            <w:pPr>
              <w:spacing w:after="0"/>
              <w:rPr>
                <w:sz w:val="18"/>
                <w:szCs w:val="18"/>
                <w:color w:val="auto"/>
              </w:rPr>
            </w:pPr>
          </w:p>
        </w:tc>
        <w:tc>
          <w:tcPr>
            <w:tcW w:w="9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(2.23)</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b w:val="1"/>
                <w:bCs w:val="1"/>
                <w:color w:val="auto"/>
              </w:rPr>
              <w:t>(0.12)</w:t>
            </w: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(0.37)</w:t>
            </w:r>
          </w:p>
        </w:tc>
        <w:tc>
          <w:tcPr>
            <w:tcW w:w="120" w:type="dxa"/>
            <w:vAlign w:val="bottom"/>
            <w:shd w:val="clear" w:color="auto" w:fill="C0FFFF"/>
          </w:tcPr>
          <w:p>
            <w:pPr>
              <w:spacing w:after="0"/>
              <w:rPr>
                <w:sz w:val="18"/>
                <w:szCs w:val="18"/>
                <w:color w:val="auto"/>
              </w:rPr>
            </w:pP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0.05</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Number of stores (end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354</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351</w:t>
            </w:r>
          </w:p>
        </w:tc>
        <w:tc>
          <w:tcPr>
            <w:tcW w:w="12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354</w:t>
            </w:r>
          </w:p>
        </w:tc>
        <w:tc>
          <w:tcPr>
            <w:tcW w:w="120" w:type="dxa"/>
            <w:vAlign w:val="bottom"/>
          </w:tcPr>
          <w:p>
            <w:pPr>
              <w:spacing w:after="0"/>
              <w:rPr>
                <w:sz w:val="17"/>
                <w:szCs w:val="17"/>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356</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w:t>
      </w:r>
    </w:p>
    <w:p>
      <w:pPr>
        <w:spacing w:after="0" w:line="23" w:lineRule="exact"/>
        <w:rPr>
          <w:rFonts w:ascii="Arial" w:cs="Arial" w:eastAsia="Arial" w:hAnsi="Arial"/>
          <w:sz w:val="18"/>
          <w:szCs w:val="18"/>
          <w:color w:val="auto"/>
        </w:rPr>
      </w:pPr>
    </w:p>
    <w:p>
      <w:pPr>
        <w:ind w:left="500" w:right="100" w:hanging="492"/>
        <w:spacing w:after="0" w:line="261"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fourth quarter of 2012 and 2011 included a $4.7 million and a $15.6 million charge, respectively, related to the recording of a valuation allowance on deferred tax assets.</w:t>
      </w:r>
    </w:p>
    <w:p>
      <w:pPr>
        <w:spacing w:after="0" w:line="23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As a toy retailer, our sales are highest in our fourth quarter, followed by the first quarter. The timing of holidays and school vacations can impact our quarterly results. Our European-based stores have historically been more heavily weighted in the fourth quarter as compared to our North American stores. We cannot ensure that this will continue to be the case.</w:t>
      </w:r>
    </w:p>
    <w:p>
      <w:pPr>
        <w:spacing w:after="0" w:line="23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Our operating results for one period may not be indicative of results for other periods, and may fluctuate significantly because of a variety of factors, including those discussed under “Risk Factors — Risks Related to Owning Our Common Stock - Fluctuations in our quarterly results of operations could cause the price of our common stock to substantially decline.”</w:t>
      </w:r>
    </w:p>
    <w:p>
      <w:pPr>
        <w:spacing w:after="0" w:line="235"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The timing of permanent store closures and temporary closures for remodels and relocations may result in fluctuations in quarterly results as a result of the revenues and expenses associated with each store location. We typically incur most preopening costs for a store in the three months immediately preceding the store’s opening or reopening. We also incur costs to close stores, typically in the three to six months prior to the closure.</w:t>
      </w:r>
    </w:p>
    <w:p>
      <w:pPr>
        <w:spacing w:after="0" w:line="220"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For accounting purposes, the quarters of each fiscal year consist of 13 weeks, although we will have a 14-week quarter approximately once every six years. The fiscal 2008 fourth quarter was a 14-week quarter. Quarterly fluctuations and seasonality may cause our operating results to fall below the expectations of securities analysts and investors, which could cause our stock price to fall.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cash requirements are primarily for the opening of new stores, installation and upgrades of information systems and working capital. Over the past several years, we have met these requirements through capital generated from cash flow provided by operations. We have access to additional cash through a revolving line of credit that has been in place since 2000.</w:t>
      </w:r>
    </w:p>
    <w:p>
      <w:pPr>
        <w:spacing w:after="0" w:line="23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$14.9 million in fiscal 2012 and $16.0 million in fiscal 2011 and $22.0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2010. Cash flows from operating activities decreased in fiscal 2012 as compared to 2011, primarily due to decreased store contribution. Cash flows from operating activities decreased in fiscal 2011 as compared to 2010 as accounts payable and accrued expenses increased due to the timing of inventory shipments and payments were offset by higher inventory levels.</w:t>
      </w:r>
    </w:p>
    <w:p>
      <w:pPr>
        <w:spacing w:after="0" w:line="24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Cash flows used in investing activities were $15.1 million in fiscal 2012, $13.3 million in fiscal 2011 and $13.8 million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2010. Cash used in investing activities in 2012 related primarily to the continued installation and upgrades of central office information technology systems, the opening of five new stores, the remodeling or relocation of 14 stores, offset by the maturity of short-term investments. Cash used in investing activities in 2011 related primarily to the continued installation and upgrades of central office information technology systems, the opening of eight new stores, the relocation of four stores and the purchase of short-term investments, offset by the maturity of those investments. Cash used in investing activities in 2010 related primarily to the continued installation and upgrades of central office information technology systems, acquisition of intangible assets, the opening of four new stores and 11 temporary locations and the relocation of one store, offset by cash received for the sale of key money from one of our French stores.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3" w:name="page44"/>
    <w:bookmarkEnd w:id="43"/>
    <w:p>
      <w:pPr>
        <w:ind w:right="80" w:firstLine="486"/>
        <w:spacing w:after="0" w:line="259"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$1.2 million, $14.6 million and $7.2 million in 2012, 2011 and 2010, respectively.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 in fiscal 2012, 2011 and 2010 used cash of $1.3 million, $15.0 million and $7.3 million, respectively. In fiscal 2011 and 2010, exercises of employee stock options and related tax benefits provided cash of $0.4 million and $0.1 million, respectively. No employee stock options were exercised in fiscal 2012.</w:t>
      </w:r>
    </w:p>
    <w:p>
      <w:pPr>
        <w:spacing w:after="0" w:line="241" w:lineRule="exact"/>
        <w:rPr>
          <w:sz w:val="20"/>
          <w:szCs w:val="20"/>
          <w:color w:val="auto"/>
        </w:rPr>
      </w:pPr>
    </w:p>
    <w:p>
      <w:pPr>
        <w:ind w:right="20" w:firstLine="486"/>
        <w:spacing w:after="0" w:line="283" w:lineRule="auto"/>
        <w:rPr>
          <w:sz w:val="20"/>
          <w:szCs w:val="20"/>
          <w:color w:val="auto"/>
        </w:rPr>
      </w:pPr>
      <w:r>
        <w:rPr>
          <w:rFonts w:ascii="Arial" w:cs="Arial" w:eastAsia="Arial" w:hAnsi="Arial"/>
          <w:sz w:val="16"/>
          <w:szCs w:val="16"/>
          <w:i w:val="1"/>
          <w:iCs w:val="1"/>
          <w:color w:val="auto"/>
        </w:rPr>
        <w:t>Capital Resources</w:t>
      </w:r>
      <w:r>
        <w:rPr>
          <w:rFonts w:ascii="Arial" w:cs="Arial" w:eastAsia="Arial" w:hAnsi="Arial"/>
          <w:sz w:val="16"/>
          <w:szCs w:val="16"/>
          <w:color w:val="auto"/>
        </w:rPr>
        <w:t>. As of December 29, 2012, we had a cash balance of $45.2 million, nearly half of which was domiciled outside of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We also have a line of credit, which we can use to finance capital expenditures and working capital needs throughout the year. The credit agreement is with U.S. Bank National Association. On December 21, 2012, we amended the existing bank line of credit that now provides borrowing capacity of $35 million. Borrowings under the credit agreement are secured by our assets and a pledge of 65% of our ownership interest in our foreign subsidiaries. The credit agreement expires on December 31, 2014 and contains various restrictions on indebtedness, liens, guarantees, redemptions, mergers, acquisitions or sale of assets, loans, transactions with affiliates, and investments. It prohibits us from declaring dividends without the bank’s prior consent, unless such payment of dividends would not violate any terms of the credit agreement. We are also prohibited from repurchasing shares of our common stock unless such purchase would not violate any terms of the credit agreement; we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On February 13, 2013, we amended our existing bank line of credit to reduce the fixed charge coverage ratio for the fiscal year ending December 29, 2012, returning to its previous requirement thereafter. As of December 29, 2012: (i) we were in compliance with these covenants; (ii) there were no borrowings under our line of credit; and</w:t>
      </w:r>
    </w:p>
    <w:p>
      <w:pPr>
        <w:spacing w:after="0" w:line="4" w:lineRule="exact"/>
        <w:rPr>
          <w:sz w:val="20"/>
          <w:szCs w:val="20"/>
          <w:color w:val="auto"/>
        </w:rPr>
      </w:pPr>
    </w:p>
    <w:p>
      <w:pPr>
        <w:ind w:right="260" w:firstLine="8"/>
        <w:spacing w:after="0" w:line="261"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was a standby letter of credit of approximately $1.1 million outstanding under the credit agreement. Giving effect to this standby letter of credit, there was approximately $33.9 million available for borrowing under the line of credit.</w:t>
      </w:r>
    </w:p>
    <w:p>
      <w:pPr>
        <w:spacing w:after="0" w:line="23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or fourth year and sixth or seventh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232" w:lineRule="exact"/>
        <w:rPr>
          <w:sz w:val="20"/>
          <w:szCs w:val="20"/>
          <w:color w:val="auto"/>
        </w:rPr>
      </w:pPr>
    </w:p>
    <w:p>
      <w:pPr>
        <w:ind w:right="240" w:firstLine="486"/>
        <w:spacing w:after="0" w:line="276" w:lineRule="auto"/>
        <w:rPr>
          <w:sz w:val="20"/>
          <w:szCs w:val="20"/>
          <w:color w:val="auto"/>
        </w:rPr>
      </w:pPr>
      <w:r>
        <w:rPr>
          <w:rFonts w:ascii="Arial" w:cs="Arial" w:eastAsia="Arial" w:hAnsi="Arial"/>
          <w:sz w:val="17"/>
          <w:szCs w:val="17"/>
          <w:color w:val="auto"/>
        </w:rPr>
        <w:t>Our leases in the United Kingdom and Ireland typically have terms of ten to fifteen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In addition, some of these leases contain various restrictions relating to change of control of our company. Real estate taxes also change according to government time schedules to reflect current market rental rates for the locations we lease. Rents are charged quarterly and paid in advance.</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fiscal 2013, we expect to spend approximately $20 to $25 million on capital expenditures. Capital spending in fiscal 2012 totaled $17</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million. Capital spending in fiscal 2012 was primarily for continued installation and upgrades of central office information technology systems, the opening of five new stores, the remodeling or relocation of 14 stores.</w:t>
      </w:r>
    </w:p>
    <w:p>
      <w:pPr>
        <w:spacing w:after="0" w:line="238"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On February 20, 2007, we announced that our board of directors had authorized a $25 million share repurchase program of our outstanding common stock. On March 10, 2008, we announced an expansion of our share repurchase program to $50 million. On February 28, 2013, we announced that our share repurchase program had been extended to March 31, 2014. We currently intend to purchase up to an aggregate of $50 million of our common stock in the open market (including through 10b5-1 plans), through privately negotiated transactions or through an accelerated repurchase transaction. As of March 8, 2013, approximately 5.9 million shares at an average price of $7.24 per share have been repurchased under this program for an aggregate amount of $42.6 million, leaving $7.4 million of availability under the program. The primary source of funding for the program has been, and is expected to be, cash on hand. The timing and amount of additional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have been, and will continue to be, subsequently retired.</w:t>
      </w:r>
    </w:p>
    <w:p>
      <w:pPr>
        <w:spacing w:after="0" w:line="22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hold a minority interest in Ridemakerz, LLC, which is accounted for under the equity method. Ridemakerz has developed a wholesale toy product line and selectively operates interactive retail stores, primarily in tourist locations that allow children and families to build and customize their own personalized cars. In 2006, we purchased a call option from a group of other Ridemakerz investors for $150,000 for 1.25 million Ridemakerz common units at an exercise price of $1.25 per unit. Simultaneously, the Company granted a put option to the same group of investors for 1.25 million common units at an exercise price of $0.50 per unit. The put option was exercised for all 1.25 million shares on February 13, 2012. We have no further obligations related to our investment in Ridemakerz</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7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Our contractual obligations and commercial commitments include future minimum obligations under operating leases and purchase obligations. Our purchase obligations primarily consist of purchase orders for merchandise inventory. The future minimum payments for these obligations as of December 29, 2012 for periods subsequent to this date are as follows: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40" w:type="dxa"/>
            <w:vAlign w:val="bottom"/>
            <w:gridSpan w:val="9"/>
          </w:tcPr>
          <w:p>
            <w:pPr>
              <w:jc w:val="right"/>
              <w:ind w:right="330"/>
              <w:spacing w:after="0"/>
              <w:rPr>
                <w:sz w:val="20"/>
                <w:szCs w:val="20"/>
                <w:color w:val="auto"/>
              </w:rPr>
            </w:pPr>
            <w:r>
              <w:rPr>
                <w:rFonts w:ascii="Arial" w:cs="Arial" w:eastAsia="Arial" w:hAnsi="Arial"/>
                <w:sz w:val="18"/>
                <w:szCs w:val="18"/>
                <w:b w:val="1"/>
                <w:bCs w:val="1"/>
                <w:color w:val="auto"/>
                <w:w w:val="91"/>
              </w:rPr>
              <w:t>Payments Due by Fiscal Period as of December 29, 2012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2014</w:t>
            </w:r>
          </w:p>
        </w:tc>
        <w:tc>
          <w:tcPr>
            <w:tcW w:w="26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2015</w:t>
            </w: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2016</w:t>
            </w: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Beyond</w:t>
            </w:r>
          </w:p>
        </w:tc>
      </w:tr>
      <w:tr>
        <w:trPr>
          <w:trHeight w:val="216"/>
        </w:trPr>
        <w:tc>
          <w:tcPr>
            <w:tcW w:w="2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0FFFF"/>
          </w:tcPr>
          <w:p>
            <w:pPr>
              <w:spacing w:after="0"/>
              <w:rPr>
                <w:sz w:val="20"/>
                <w:szCs w:val="20"/>
                <w:color w:val="auto"/>
              </w:rPr>
            </w:pPr>
            <w:r>
              <w:rPr>
                <w:rFonts w:ascii="Arial" w:cs="Arial" w:eastAsia="Arial" w:hAnsi="Arial"/>
                <w:sz w:val="18"/>
                <w:szCs w:val="18"/>
                <w:color w:val="auto"/>
              </w:rPr>
              <w:t>Operating lease obligations</w:t>
            </w:r>
          </w:p>
        </w:tc>
        <w:tc>
          <w:tcPr>
            <w:tcW w:w="7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205,675</w:t>
            </w:r>
          </w:p>
        </w:tc>
        <w:tc>
          <w:tcPr>
            <w:tcW w:w="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45,264</w:t>
            </w:r>
          </w:p>
        </w:tc>
        <w:tc>
          <w:tcPr>
            <w:tcW w:w="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39,229</w:t>
            </w:r>
          </w:p>
        </w:tc>
        <w:tc>
          <w:tcPr>
            <w:tcW w:w="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33,587</w:t>
            </w:r>
          </w:p>
        </w:tc>
        <w:tc>
          <w:tcPr>
            <w:tcW w:w="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25,425</w:t>
            </w:r>
          </w:p>
        </w:tc>
        <w:tc>
          <w:tcPr>
            <w:tcW w:w="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18,518</w:t>
            </w:r>
          </w:p>
        </w:tc>
        <w:tc>
          <w:tcPr>
            <w:tcW w:w="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43,652</w:t>
            </w:r>
          </w:p>
        </w:tc>
        <w:tc>
          <w:tcPr>
            <w:tcW w:w="100" w:type="dxa"/>
            <w:vAlign w:val="bottom"/>
            <w:shd w:val="clear" w:color="auto" w:fill="C0FFFF"/>
          </w:tcPr>
          <w:p>
            <w:pPr>
              <w:spacing w:after="0"/>
              <w:rPr>
                <w:sz w:val="18"/>
                <w:szCs w:val="18"/>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Purchase obligations</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33,251</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33,251</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58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C0FFFF"/>
            </w:tcBorders>
            <w:shd w:val="clear" w:color="auto" w:fill="C0FFFF"/>
          </w:tcPr>
          <w:p>
            <w:pPr>
              <w:spacing w:after="0"/>
              <w:rPr>
                <w:sz w:val="22"/>
                <w:szCs w:val="22"/>
                <w:color w:val="auto"/>
              </w:rPr>
            </w:pPr>
          </w:p>
        </w:tc>
        <w:tc>
          <w:tcPr>
            <w:tcW w:w="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238,926</w:t>
            </w:r>
          </w:p>
        </w:tc>
        <w:tc>
          <w:tcPr>
            <w:tcW w:w="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78,515</w:t>
            </w:r>
          </w:p>
        </w:tc>
        <w:tc>
          <w:tcPr>
            <w:tcW w:w="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39,229</w:t>
            </w:r>
          </w:p>
        </w:tc>
        <w:tc>
          <w:tcPr>
            <w:tcW w:w="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33,587</w:t>
            </w:r>
          </w:p>
        </w:tc>
        <w:tc>
          <w:tcPr>
            <w:tcW w:w="2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25,425</w:t>
            </w:r>
          </w:p>
        </w:tc>
        <w:tc>
          <w:tcPr>
            <w:tcW w:w="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18,518</w:t>
            </w:r>
          </w:p>
        </w:tc>
        <w:tc>
          <w:tcPr>
            <w:tcW w:w="2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43,652</w:t>
            </w:r>
          </w:p>
        </w:tc>
        <w:tc>
          <w:tcPr>
            <w:tcW w:w="10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Our total liability for uncertain tax positions under the Financial Accounting Standards Board Accounting Standards Codification (ASC) section 740-10-25 was $0.2 million as of December 29, 2012. During the next fiscal year, unrecognized tax benefits are expected to remain unchanged. At this time, we do not expect a significant payment related to these obligations within the next year. See Note 9 - Income Taxes to the Consolidated Financial Statements for additional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assure you, however, that our business will not be affected by inflation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241"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Inventory is stated at the lower of cost or market, with cost determined on an average cost basis. Historically, we have not conducted sales whereby we offer products below cost and, accordingly, have no significant lower of cost or market reserve recorded.</w:t>
      </w:r>
    </w:p>
    <w:p>
      <w:pPr>
        <w:spacing w:after="0" w:line="22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Throughout the year we record an estimated cost of shortage based on past experience. The amount accrued for shortage each period is based on detailed historical averages. The accrual rate remained unchanged for fiscal 2012, 2011 and 2010. Periodic physical inventories are taken and any difference between the actual physical count of merchandise and the recorded amount in our records are adjusted and recorded as shortage. Historically, including fiscal years 2012, 2011 and 2010, the timing of the physical inventory has been in the fourth quarter so that no material amount of shortage was required to be estimated on activity between the date of the physical count and year-end. However, future physical counts of merchandise may not be at times at or near the end of a fiscal quarter or fiscal year-end, and our estimate of shortage for the intervening period may be material based on the amount of time between the date of the physical inventory and the date of the fiscal quarter or year-end.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7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accordance with ASC section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purposes of evaluating store assets for impairment, we have determined that each store location is an asset group. As of December 29, 2012, store assets represented approximately $46.4 million, or approximately 65% of total property, plant and equipment, net.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annually, using the full year’s results. We consider a historical and/or projected negative cash flow trend for a store location to be an indicator that the carrying value of that asset group may not be recoverable.</w:t>
      </w:r>
    </w:p>
    <w:p>
      <w:pPr>
        <w:spacing w:after="0" w:line="22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As a result of our 2012 review, we determined that certain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$1.4 million in the fourth quarter of fiscal 2012, which is included in cost of merchandise sold. The calculation of fair value could increase or decrease depending on changes in the inputs and assumptions used, such as changes in the financial performance of the asset group, future growth rate and discount rate. In order to evaluate the sensitivity of the fair value assumptions on store asset impairment, we applied a hypothetical decrease of 1% in the comparable stores sales trend and in margin, which we believe is appropriate. Based on the analysis performed as of December 29, 2012, the changes in our assumptions would have resulted in additional impairment charges of approximately $0.1 million.</w:t>
      </w:r>
    </w:p>
    <w:p>
      <w:pPr>
        <w:spacing w:after="0" w:line="23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As a result of our reviews in 2011 and 2010, we determined that certain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$0.4 million and $0.6 million in the fourth quarters of fiscal 2011 and 2010, respectively, which are included in cost of merchandise sold.</w:t>
      </w:r>
    </w:p>
    <w:p>
      <w:pPr>
        <w:spacing w:after="0" w:line="22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2012, we made the decision to close a number of stores. We consider a more likely than not assessment that an individual location will close as a triggering event to review the store asset group for recoverability. These assessments are reviewed on a quarterly basis. As a result of these reviews,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$0.9 million were recorded in fiscal 2012, which are included in selling, general and administrative expenses as a component of net loss before income taxes in the Retail segment. The inputs used to determine the fair value of the assets are Level 3 inputs as defined by ASC section 820-10. As of December 29, 2012, the remaining net book value related to these stores was approximately $0.1 million.</w:t>
      </w:r>
    </w:p>
    <w:p>
      <w:pPr>
        <w:spacing w:after="0" w:line="24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As we continue to face a challenging retail environment and general uncertainty in the global economy, the assumptions used in future calculations of fair value may change significantly which could result in further impairment charges in future periods.</w:t>
      </w:r>
    </w:p>
    <w:p>
      <w:pPr>
        <w:spacing w:after="0" w:line="24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Corporate assets, including computer hardware and software and the Company-owned distribution center (approximately $25.0 million as of December 29, 2012), and certain other assets, such as trademarks and intellectual property, net (approximately $0.6 million as of December 29, 2012), have a broad applicability and are generally considered to be recoverable, unless abandoned. Other long-lived assets, including deferred franchise and lease costs (approximately $0.8 million as of December 29, 2012), are monitored in relation to the relevant franchisee or store location.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6" w:name="page47"/>
    <w:bookmarkEnd w:id="46"/>
    <w:p>
      <w:pPr>
        <w:ind w:right="200" w:firstLine="486"/>
        <w:spacing w:after="0" w:line="255" w:lineRule="auto"/>
        <w:rPr>
          <w:sz w:val="20"/>
          <w:szCs w:val="20"/>
          <w:color w:val="auto"/>
        </w:rPr>
      </w:pPr>
      <w:r>
        <w:rPr>
          <w:rFonts w:ascii="Arial" w:cs="Arial" w:eastAsia="Arial" w:hAnsi="Arial"/>
          <w:sz w:val="18"/>
          <w:szCs w:val="18"/>
          <w:color w:val="auto"/>
        </w:rPr>
        <w:t>At December 29, 2012, we evaluated our trade credits asset and determined that certain assumptions regarding future utilization were no longer attainable. Accordingly, an impairment review was performed. Based on current utilization expectations, we determined that the full value of the asset was not recoverable. Accordingly, the carrying value of the trade credits was reduced to fair value, calculated as the expected present value of estimated future utilization. An impairment charge of $2.2 million was recorded in the fiscal 2012 fourth quarter and is included in selling, general and administrative expenses as a component of net loss before income taxes in the Commercial segment. The inputs used to determine the fair value of the asset are level 3 inputs as defined by ASC 80-10. As of December 29, 2012, $0.7 million was included in prepaid expenses and other current assets and $1.2 million was included in other assets, net, related to these credits.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79"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We record goodwill related to the excess of the purchase price over the fair value of net identifiable assets acquired. All of our recorded goodwill, which is associated with our acquisition of our operations in the United Kingdom, is recorded in the European reporting unit. Goodwill is subject to periodic evaluation for impairment when circumstances warrant, or at least once per year. We perform our annual impairment assessment as of the end of the fourth quarter of each year. Impairment is tested in accordance with ASC section 350-20-35, by comparison of the carrying value of the reporting unit to its estimated fair value and a reconciliation of the fair value to our overall market capitalization. As there are not quoted prices for our reporting unit, fair value is estimated based upon a present value technique using estimated discounted future cash flows, forecasted over the reasonably assured lease terms for retail stores, with growth rates forecasted for the reporting unit and using a credit adjusted discount rate. We use current results, trends, future prospects, and other economic factors as the basis for expected future cash flows. Additionally, we are required to reconcile the fair value of the reporting unit to our overall market capitalization. In 2012, we performed our annual evaluation of our goodwill as of December 29, 2012. As a result of the sustained decline in the market price of our common stock, coupled with the decline in the performance of the UK reporting unit, we determined that the fair value of the reporting unit, estimated using discounted cash flow analysis and reconciled to our market capitalization, was less than its carrying value. As a result, we recognized an impairment charge for the entire balance of goodwill in the 2012 fourth quarter. This does not change our long-term outlook for the UK reporting unit.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from retail sales, net of discounts and excluding sales tax, are recognized at the time of sale. Guest returns have not been</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significant. Revenues from gift cards are recognized at the time of redemption. Unredeemed gift cards are included in current liabilities on the consolidated balance sheets.</w:t>
      </w:r>
    </w:p>
    <w:p>
      <w:pPr>
        <w:spacing w:after="0" w:line="23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have a customer loyalty program, the Stuff Fur Stuff club, whereby guests enroll in the program and receive one point for every dollar. Points accumulate and expire after 12 months of inactivity. In North America, guests receive a coupon for free merchandise after reaching 50 points and a $10 reward certificate after reaching 100 points. Additional awards are earned for each additional 50 points earned in the 12 month period. In the UK, guests receive a £5 certificate for every 50 points they earn. An estimate of the obligation related to the program, based on historical redemption patterns, is recorded as deferred revenue and a reduction of net retail sales. The deferred revenue obligation is reduced, and a corresponding amount is recognized in net retail sales, in the amount of and at the time of redemption of awards.</w:t>
      </w:r>
    </w:p>
    <w:p>
      <w:pPr>
        <w:spacing w:after="0" w:line="24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review redemption patterns and assess the adequacy of the deferred revenue liability at the end of each fiscal quarter. Due to the estimates involved in these assessments, adjustments to the historical rates are generally made no more often than annually in order to allow time for more definite trends to emerge. Based on this assessment at the end of fiscal 2012, the deferred revenue liability was adjusted downward by $0.5 million, with a corresponding increase to net retail sales, and a $0.5 million decrease in net loss.</w:t>
      </w:r>
    </w:p>
    <w:p>
      <w:pPr>
        <w:spacing w:after="0" w:line="241"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Based on this assessment at the end of fiscal 2011 and 2010, the deferred revenue liability was adjusted downward by $1.5 million and $4.3 million, respectively, with a corresponding increase to net retail sales, and a $0.9 million and $2.6 million decrease in net loss, respectively.</w:t>
      </w:r>
    </w:p>
    <w:p>
      <w:pPr>
        <w:spacing w:after="0" w:line="20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calculation of fair value could increase or decrease depending on changes in the inputs and assumptions used, specifically, expected conversion and redemption rates. In order to evaluate the sensitivity of the estimates used in the recognition of deferred revenue, we applied a hypothetical increase of 100 bps in the conversion and redemption rates which we believe is appropriate. Based on the analysis performed as of December 29, 2012, the change in our assumptions would have resulted in a $0.4 million reduction of net retail sales.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income tax expense is based on our income, statutory tax rates, and tax planning opportunities available in the various jurisdictions in which we operate. Tax laws are complex and subject to different interpretations by the taxpayer and respective governmental taxing authorities. Significant judgment is required in determining our income tax expense and in evaluating our tax positions, including evaluating uncertainties. Management reviews tax positions at least quarterly and adjusts the balances as new information becomes available. 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performed an analysis of all available evidence, both positive and negative, consistent with the provisions of ASC 740-10-30-17. In the fiscal 2012 and 2011 fourth quarters, the Company recorded a valuation allowance on its deferred tax assets of $4.7 million and $15.6 million, respectively. The 2012 charge related to deferred tax assets in the UK and Canada, while the 2011 charge related the deferred tax assets in the United States. This allowance does not preclude us from utilizing the deferred tax assets in the future, nor does it reflect a change in our long-term outlook.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are no recently issued but not yet adopted accounting pronouncements that are expected to significantly impact our financial statements.</w:t>
      </w:r>
    </w:p>
    <w:p>
      <w:pPr>
        <w:spacing w:after="0" w:line="28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market risks relate primarily to changes in interest rates, and we bear this risk in two specific ways. First, our revolving credit facility carries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variable interest rate that is tied to market indices and, therefore, our results of operations and our cash flows can be impacted by changes in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rates. Outstanding balances under our credit facility bear interest at LIBOR plus 1.8%. We had no borrowings during fiscal 2012. Accordingly, a 100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 change in interest rates would result in no material change to our annual interest expense. The second component of interest rate risk involves the short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investment of excess cash in short term, investment grade interest-bearing securities. If there are changes in interest rates, those changes would affect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income we earn on these investments and, therefore, impact our cash flows and results of operations.</w:t>
      </w:r>
    </w:p>
    <w:p>
      <w:pPr>
        <w:spacing w:after="0" w:line="26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88"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financial statements and schedules are listed under Item 15(a) and filed as part of this Annual Report on Form 10-K.</w:t>
      </w:r>
    </w:p>
    <w:p>
      <w:pPr>
        <w:spacing w:after="0" w:line="2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management, with the participation of our Chief Executive Bear and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Bear and Chief Operations and Financial Bear, concluded that our disclosure controls and procedures were effective as of December 29, 2012, the end of the period covered by this Annual Report.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8" w:name="page49"/>
    <w:bookmarkEnd w:id="48"/>
    <w:p>
      <w:pPr>
        <w:ind w:firstLine="486"/>
        <w:spacing w:after="0" w:line="269" w:lineRule="auto"/>
        <w:rPr>
          <w:sz w:val="20"/>
          <w:szCs w:val="20"/>
          <w:color w:val="auto"/>
        </w:rPr>
      </w:pPr>
      <w:r>
        <w:rPr>
          <w:rFonts w:ascii="Arial" w:cs="Arial" w:eastAsia="Arial" w:hAnsi="Arial"/>
          <w:sz w:val="17"/>
          <w:szCs w:val="17"/>
          <w:color w:val="auto"/>
        </w:rPr>
        <w:t>It should be noted that our management, including the Chief Executive Bear and the Chief Operations and Financial Bear, do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Chief Executive Bear and the Chief Operations and Financial Bear, we conducted an evaluation of the effectiveness of our internal control over financial reporting as of December 29, 2012. Our management, with the participation of our Chief Executive Bear and Chief Operations and Financial Bear,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220"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(“COSO”) in Internal Control-Integrated Framework. Based upon this evaluation, our management has concluded that our internal control over financial reporting as of December 29, 2012 is effective.</w:t>
      </w:r>
    </w:p>
    <w:p>
      <w:pPr>
        <w:spacing w:after="0" w:line="2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audited the effectiveness of our internal control over financial reporting, as stated in its report which is included herein.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Build-A-Bear Workshop, Inc. and subsidiaries (collectively, the Company’s) internal control over financial reporting as of December 29,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Build-A-Bear Workshop, Inc. and subsidiaries, maintained, in all material respects, effective internal control over financial reporting as of December 29, 2012, based on the COSO criteria.</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 of Build-A-Bear Workshop, Inc. and subsidiaries as of December 29, 2012 and December 31, 2011, and the related consolidated statements of operations, comprehensive income (loss), stockholders’ equity, and cash flows for each of the two years in the period ended December 29, 2012 and our report dated March 14, 2013, expressed an unqualified opinion thereon.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There were no changes in internal control over financial reporting (as defined in Exchange Act Rules 13a-15(f) and 15d-15(f)) that occurred during the fiscal 2012 fourth quarter that have materially affected, or are reasonably likely to materially affect, our internal control over financial reporting.</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83"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Information concerning directors, appearing under the caption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Shareholders scheduled to be held on May 9, 2013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8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24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information appearing under the caption “Committee Charters, Corporate Governance Guidelines, Business Conduct Policy and Code of Ethics” in the Proxy Statement is incorporated by reference in response to this Item 10.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8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color w:val="auto"/>
        </w:rPr>
        <w:t>Maxine Clark</w:t>
      </w:r>
      <w:r>
        <w:rPr>
          <w:rFonts w:ascii="Arial" w:cs="Arial" w:eastAsia="Arial" w:hAnsi="Arial"/>
          <w:sz w:val="18"/>
          <w:szCs w:val="18"/>
          <w:color w:val="auto"/>
        </w:rPr>
        <w:t>,</w:t>
      </w:r>
      <w:r>
        <w:rPr>
          <w:rFonts w:ascii="Arial" w:cs="Arial" w:eastAsia="Arial" w:hAnsi="Arial"/>
          <w:sz w:val="18"/>
          <w:szCs w:val="18"/>
          <w:i w:val="1"/>
          <w:iCs w:val="1"/>
          <w:color w:val="auto"/>
        </w:rPr>
        <w:t xml:space="preserve"> 64</w:t>
      </w:r>
      <w:r>
        <w:rPr>
          <w:rFonts w:ascii="Arial" w:cs="Arial" w:eastAsia="Arial" w:hAnsi="Arial"/>
          <w:sz w:val="18"/>
          <w:szCs w:val="18"/>
          <w:color w:val="auto"/>
        </w:rPr>
        <w:t>, has been our Chief Executive Bear since she founded the Company in 1997. In 2013, we announced her plans to retire. She was</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from our inception in 1997 to April 2004, and served as Chairman of our Board of Directors from our conversion to a corporation in April 2000 until 2012. She was initially elected to our Board of Directors pursuant to the terms of a stockholders’ agreement which terminated upon the closing of the Company’s initial public offering in 2004. Ms. Clark was re-elected as a director at our 2005,2008 and 2011 Annual Meetings of Stockholders. Prior to founding Build-A-Bear Workshop, Ms. Clark was the President of Payless ShoeSource, Inc. from 1992 until 1996. Before joining Payless, Ms. Clark spent over 19 years in various divisions of The May Department Stores Company in areas including merchandise development, merchandise planning, merchandise research, marketing and product development.</w:t>
      </w:r>
    </w:p>
    <w:p>
      <w:pPr>
        <w:spacing w:after="0" w:line="243"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i w:val="1"/>
          <w:iCs w:val="1"/>
          <w:color w:val="auto"/>
        </w:rPr>
        <w:t xml:space="preserve">Eric Fencl, 50, </w:t>
      </w:r>
      <w:r>
        <w:rPr>
          <w:rFonts w:ascii="Arial" w:cs="Arial" w:eastAsia="Arial" w:hAnsi="Arial"/>
          <w:sz w:val="17"/>
          <w:szCs w:val="17"/>
          <w:color w:val="auto"/>
        </w:rPr>
        <w:t>joined Build-A-Bear Workshop in July 2008 as Chief Bearrister—General Counsel. In March 2009, he assumed responsibility for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franchising and human resources. He now holds the title of Chief Bearrister, General Counsel and International Franchising. Prior to joining the Company, Mr. Fencl was Executive Vice President, General Counsel and Secretary for Outsourcing Solutions Inc., a national accounts receivable management firm from August 1998 to June 2008. From September 1990 to August 1998, he held legal positions for Monsanto Company, McDonnell Douglas Corporation and Bryan Cave LLP. Mr. Fencl began his career in 1984 as an auditor with Arthur Young &amp; Company.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ind w:firstLine="486"/>
        <w:spacing w:after="0" w:line="273" w:lineRule="auto"/>
        <w:rPr>
          <w:sz w:val="20"/>
          <w:szCs w:val="20"/>
          <w:color w:val="auto"/>
        </w:rPr>
      </w:pPr>
      <w:r>
        <w:rPr>
          <w:rFonts w:ascii="Arial" w:cs="Arial" w:eastAsia="Arial" w:hAnsi="Arial"/>
          <w:sz w:val="17"/>
          <w:szCs w:val="17"/>
          <w:i w:val="1"/>
          <w:iCs w:val="1"/>
          <w:color w:val="auto"/>
        </w:rPr>
        <w:t>Dave Finnegan</w:t>
      </w:r>
      <w:r>
        <w:rPr>
          <w:rFonts w:ascii="Arial" w:cs="Arial" w:eastAsia="Arial" w:hAnsi="Arial"/>
          <w:sz w:val="17"/>
          <w:szCs w:val="17"/>
          <w:color w:val="auto"/>
        </w:rPr>
        <w:t>,</w:t>
      </w:r>
      <w:r>
        <w:rPr>
          <w:rFonts w:ascii="Arial" w:cs="Arial" w:eastAsia="Arial" w:hAnsi="Arial"/>
          <w:sz w:val="17"/>
          <w:szCs w:val="17"/>
          <w:i w:val="1"/>
          <w:iCs w:val="1"/>
          <w:color w:val="auto"/>
        </w:rPr>
        <w:t xml:space="preserve"> 43</w:t>
      </w:r>
      <w:r>
        <w:rPr>
          <w:rFonts w:ascii="Arial" w:cs="Arial" w:eastAsia="Arial" w:hAnsi="Arial"/>
          <w:sz w:val="17"/>
          <w:szCs w:val="17"/>
          <w:color w:val="auto"/>
        </w:rPr>
        <w:t>, joined Build-A-Bear Workshop in December 1999 as Director Inbearmation Technology and was named Chief Information Bear 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2007, adding logistics responsibilities in March 2009 to become Chief Information and Logistics Bear, and in March 2010 he became Chief Information Bear. Prior to joining the Company, Mr. Finnegan held information systems management positions at Novell, Inc. in Provo Utah and Interchange Technologies Inc. in St. Louis, Missouri. Mr. Finnegan is a member of the St. Louis Regional Chief Information Officer Forum and the NSB Executive Client Advisory Board. He was instrumental in the development of bearville.com—the company’s virtual world Web site. The online community received a 2009 “Best of the Web” award from WiredSafety at the 9th Annual Wired Kids Summit and a 2008 iParenting Media Award.</w:t>
      </w:r>
    </w:p>
    <w:p>
      <w:pPr>
        <w:spacing w:after="0" w:line="233"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i w:val="1"/>
          <w:iCs w:val="1"/>
          <w:color w:val="auto"/>
        </w:rPr>
        <w:t xml:space="preserve">Tina Klocke, 53, </w:t>
      </w:r>
      <w:r>
        <w:rPr>
          <w:rFonts w:ascii="Arial" w:cs="Arial" w:eastAsia="Arial" w:hAnsi="Arial"/>
          <w:sz w:val="16"/>
          <w:szCs w:val="16"/>
          <w:color w:val="auto"/>
        </w:rPr>
        <w:t>has been our Chief Financial Bear since November 1997, our Treasurer since April 2000, and Secretary since February 2004.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2009, she assumed responsibility for store operations and in July 2011, she assumed responsibility for logistics and planning. She now holds the title of Chief Operations and Financial Bear. Prior to joining the Company, Ms. Klocke was the Controller for Clayton Corporation, a manufacturing company, where she supervised all accounting and finance functions as well as human resources. Prior to joining Clayton Corporation in 1990, she was the controller for Love Real Estate Company, a diversified investment management and development firm. Ms. Klocke began her career in 1982 with Ernst &amp; Young LLP.</w:t>
      </w:r>
    </w:p>
    <w:p>
      <w:pPr>
        <w:spacing w:after="0" w:line="21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i w:val="1"/>
          <w:iCs w:val="1"/>
          <w:color w:val="auto"/>
        </w:rPr>
        <w:t xml:space="preserve">Teresa Kroll, 58, </w:t>
      </w:r>
      <w:r>
        <w:rPr>
          <w:rFonts w:ascii="Arial" w:cs="Arial" w:eastAsia="Arial" w:hAnsi="Arial"/>
          <w:sz w:val="18"/>
          <w:szCs w:val="18"/>
          <w:color w:val="auto"/>
        </w:rPr>
        <w:t>joined Build-A-Bear Workshop in September 2001 as Chief Marketing Bear, was named Chief Entertainment Bear in March 2009,</w:t>
      </w:r>
      <w:r>
        <w:rPr>
          <w:rFonts w:ascii="Arial" w:cs="Arial" w:eastAsia="Arial" w:hAnsi="Arial"/>
          <w:sz w:val="18"/>
          <w:szCs w:val="18"/>
          <w:i w:val="1"/>
          <w:iCs w:val="1"/>
          <w:color w:val="auto"/>
        </w:rPr>
        <w:t xml:space="preserve"> </w:t>
      </w:r>
      <w:r>
        <w:rPr>
          <w:rFonts w:ascii="Arial" w:cs="Arial" w:eastAsia="Arial" w:hAnsi="Arial"/>
          <w:sz w:val="18"/>
          <w:szCs w:val="18"/>
          <w:color w:val="auto"/>
        </w:rPr>
        <w:t>was named Chief Entertainment and Digital Marketing Bear in June 2010 and was named Chief Marketing and Entertainment Bear in December 2011. Prior to joining the Company, Ms. Kroll was Vice President–Advertising for The WIZ, a unit of Cablevision, from 1999 to 2001. From 1995 to 1999, Ms. Kroll was Director of Marketing for Montgomery Ward Holding Corp., a department store retailer. From 1980 to 1994 Ms. Kroll held various administrative and marketing positions for Venture Stores, Inc.</w:t>
      </w:r>
    </w:p>
    <w:p>
      <w:pPr>
        <w:spacing w:after="0" w:line="242"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i w:val="1"/>
          <w:iCs w:val="1"/>
          <w:color w:val="auto"/>
        </w:rPr>
        <w:t xml:space="preserve">Kenneth Wine, 50, </w:t>
      </w:r>
      <w:r>
        <w:rPr>
          <w:rFonts w:ascii="Arial" w:cs="Arial" w:eastAsia="Arial" w:hAnsi="Arial"/>
          <w:sz w:val="16"/>
          <w:szCs w:val="16"/>
          <w:color w:val="auto"/>
        </w:rPr>
        <w:t>joined Build-A-Bear Workshop in December 2012 as Chief Merchandise Bear. Prior to joining the Company, Mr. Wine was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Merchandising at Weissman Designs for Dance, a national dancewear retailer, from June 2008 to December 2012, and Director of Merchandising at Oriental Trading Company, a direct retailer of value-priced party supplies, arts and crafts, school supplies, toys and novelties, from January 2007 to May 2008. Prior to that Mr. Wine held senior merchandising positions with Lands’ End, American Girl, Woolrich, Inc. and Polo Ralph Lauren.</w:t>
      </w:r>
    </w:p>
    <w:p>
      <w:pPr>
        <w:spacing w:after="0" w:line="20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83"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40" w:type="dxa"/>
            <w:vAlign w:val="bottom"/>
            <w:gridSpan w:val="5"/>
          </w:tcPr>
          <w:p>
            <w:pPr>
              <w:jc w:val="right"/>
              <w:ind w:right="65"/>
              <w:spacing w:after="0"/>
              <w:rPr>
                <w:sz w:val="20"/>
                <w:szCs w:val="20"/>
                <w:color w:val="auto"/>
              </w:rPr>
            </w:pPr>
            <w:r>
              <w:rPr>
                <w:rFonts w:ascii="Arial" w:cs="Arial" w:eastAsia="Arial" w:hAnsi="Arial"/>
                <w:sz w:val="18"/>
                <w:szCs w:val="18"/>
                <w:b w:val="1"/>
                <w:bCs w:val="1"/>
                <w:color w:val="auto"/>
                <w:w w:val="92"/>
              </w:rPr>
              <w:t>Equity Compensation Plan Information</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140" w:type="dxa"/>
            <w:vAlign w:val="bottom"/>
          </w:tcPr>
          <w:p>
            <w:pPr>
              <w:spacing w:after="0"/>
              <w:rPr>
                <w:sz w:val="20"/>
                <w:szCs w:val="2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(b)</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Number of securities to</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be issued upon exercise</w:t>
            </w:r>
          </w:p>
        </w:tc>
        <w:tc>
          <w:tcPr>
            <w:tcW w:w="140" w:type="dxa"/>
            <w:vAlign w:val="bottom"/>
          </w:tcPr>
          <w:p>
            <w:pPr>
              <w:spacing w:after="0"/>
              <w:rPr>
                <w:sz w:val="18"/>
                <w:szCs w:val="18"/>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Weighted-average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of</w:t>
            </w:r>
          </w:p>
        </w:tc>
        <w:tc>
          <w:tcPr>
            <w:tcW w:w="140" w:type="dxa"/>
            <w:vAlign w:val="bottom"/>
          </w:tcPr>
          <w:p>
            <w:pPr>
              <w:spacing w:after="0"/>
              <w:rPr>
                <w:sz w:val="18"/>
                <w:szCs w:val="18"/>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 of</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 options,</w:t>
            </w:r>
          </w:p>
        </w:tc>
        <w:tc>
          <w:tcPr>
            <w:tcW w:w="140" w:type="dxa"/>
            <w:vAlign w:val="bottom"/>
          </w:tcPr>
          <w:p>
            <w:pPr>
              <w:spacing w:after="0"/>
              <w:rPr>
                <w:sz w:val="18"/>
                <w:szCs w:val="18"/>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outstanding options,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warrants and rights</w:t>
            </w:r>
          </w:p>
        </w:tc>
        <w:tc>
          <w:tcPr>
            <w:tcW w:w="140" w:type="dxa"/>
            <w:vAlign w:val="bottom"/>
          </w:tcPr>
          <w:p>
            <w:pPr>
              <w:spacing w:after="0"/>
              <w:rPr>
                <w:sz w:val="20"/>
                <w:szCs w:val="20"/>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warrants and rights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0FFFF"/>
          </w:tcPr>
          <w:p>
            <w:pPr>
              <w:spacing w:after="0"/>
              <w:rPr>
                <w:sz w:val="20"/>
                <w:szCs w:val="20"/>
                <w:color w:val="auto"/>
              </w:rPr>
            </w:pPr>
            <w:r>
              <w:rPr>
                <w:rFonts w:ascii="Arial" w:cs="Arial" w:eastAsia="Arial" w:hAnsi="Arial"/>
                <w:sz w:val="18"/>
                <w:szCs w:val="18"/>
                <w:color w:val="auto"/>
                <w:w w:val="91"/>
              </w:rPr>
              <w:t>Equity compensation plans approved by security holders</w:t>
            </w:r>
          </w:p>
        </w:tc>
        <w:tc>
          <w:tcPr>
            <w:tcW w:w="900" w:type="dxa"/>
            <w:vAlign w:val="bottom"/>
            <w:gridSpan w:val="2"/>
            <w:shd w:val="clear" w:color="auto" w:fill="C0FFFF"/>
          </w:tcPr>
          <w:p>
            <w:pPr>
              <w:spacing w:after="0"/>
              <w:rPr>
                <w:sz w:val="18"/>
                <w:szCs w:val="18"/>
                <w:color w:val="auto"/>
              </w:rPr>
            </w:pPr>
          </w:p>
        </w:tc>
        <w:tc>
          <w:tcPr>
            <w:tcW w:w="198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1,155,239</w:t>
            </w: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8.53</w:t>
            </w:r>
          </w:p>
        </w:tc>
        <w:tc>
          <w:tcPr>
            <w:tcW w:w="2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608,864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0FFFF"/>
          </w:tcPr>
          <w:p>
            <w:pPr>
              <w:spacing w:after="0"/>
              <w:rPr>
                <w:sz w:val="2"/>
                <w:szCs w:val="2"/>
                <w:color w:val="auto"/>
              </w:rPr>
            </w:pPr>
          </w:p>
        </w:tc>
        <w:tc>
          <w:tcPr>
            <w:tcW w:w="78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980" w:type="dxa"/>
            <w:vAlign w:val="bottom"/>
            <w:tcBorders>
              <w:right w:val="single" w:sz="8" w:color="C0FFFF"/>
            </w:tcBorders>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1,155,239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608,864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8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83" w:lineRule="exact"/>
        <w:rPr>
          <w:sz w:val="20"/>
          <w:szCs w:val="20"/>
          <w:color w:val="auto"/>
        </w:rPr>
      </w:pPr>
    </w:p>
    <w:p>
      <w:pPr>
        <w:ind w:right="740" w:firstLine="486"/>
        <w:spacing w:after="0" w:line="308" w:lineRule="auto"/>
        <w:rPr>
          <w:sz w:val="20"/>
          <w:szCs w:val="20"/>
          <w:color w:val="auto"/>
        </w:rPr>
      </w:pPr>
      <w:r>
        <w:rPr>
          <w:rFonts w:ascii="Arial" w:cs="Arial" w:eastAsia="Arial" w:hAnsi="Arial"/>
          <w:sz w:val="17"/>
          <w:szCs w:val="17"/>
          <w:color w:val="auto"/>
        </w:rPr>
        <w:t>The information contained in the section titled “Principal Accountant Fees” and “Policy Regarding Pre-Approval of Services Provided by the Independent Registered Public Accounting Firm” in the Proxy Statement is incorporated herein by reference in response to Item 14.</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financial statements and schedules set forth below are filed on the indicated pages as part of this Annual Report on Form 10-K.</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Page</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240" w:type="dxa"/>
            <w:vAlign w:val="bottom"/>
            <w:shd w:val="clear" w:color="auto" w:fill="C0FFFF"/>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38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49</w:t>
            </w:r>
          </w:p>
        </w:tc>
        <w:tc>
          <w:tcPr>
            <w:tcW w:w="5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Consolidated Balance Sheets as of December 29, 2012 and December 31, 2011</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2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6"/>
              </w:rPr>
              <w:t>Consolidated Statements of Operations for the fiscal years ended December 29, 2012, December 31, 2011</w:t>
            </w:r>
          </w:p>
        </w:tc>
        <w:tc>
          <w:tcPr>
            <w:tcW w:w="380" w:type="dxa"/>
            <w:vAlign w:val="bottom"/>
            <w:shd w:val="clear" w:color="auto" w:fill="C0FFFF"/>
          </w:tcPr>
          <w:p>
            <w:pPr>
              <w:spacing w:after="0"/>
              <w:rPr>
                <w:sz w:val="17"/>
                <w:szCs w:val="17"/>
                <w:color w:val="auto"/>
              </w:rPr>
            </w:pPr>
          </w:p>
        </w:tc>
        <w:tc>
          <w:tcPr>
            <w:tcW w:w="500" w:type="dxa"/>
            <w:vAlign w:val="bottom"/>
            <w:shd w:val="clear" w:color="auto" w:fill="C0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2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and January 1, 2011</w:t>
            </w:r>
          </w:p>
        </w:tc>
        <w:tc>
          <w:tcPr>
            <w:tcW w:w="38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52</w:t>
            </w:r>
          </w:p>
        </w:tc>
        <w:tc>
          <w:tcPr>
            <w:tcW w:w="500" w:type="dxa"/>
            <w:vAlign w:val="bottom"/>
            <w:shd w:val="clear" w:color="auto" w:fill="C0FF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7"/>
              </w:rPr>
              <w:t>Consolidated Statements of Comprehensive Income (Loss) for the fiscal years ended December 29, 2012,</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December 31, 2011 and January 1, 2011</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2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6"/>
              </w:rPr>
              <w:t>Consolidated Statements of Stockholders’ Equity for the fiscal years ended December 29, 2012, December</w:t>
            </w:r>
          </w:p>
        </w:tc>
        <w:tc>
          <w:tcPr>
            <w:tcW w:w="380" w:type="dxa"/>
            <w:vAlign w:val="bottom"/>
            <w:shd w:val="clear" w:color="auto" w:fill="C0FFFF"/>
          </w:tcPr>
          <w:p>
            <w:pPr>
              <w:spacing w:after="0"/>
              <w:rPr>
                <w:sz w:val="17"/>
                <w:szCs w:val="17"/>
                <w:color w:val="auto"/>
              </w:rPr>
            </w:pPr>
          </w:p>
        </w:tc>
        <w:tc>
          <w:tcPr>
            <w:tcW w:w="500" w:type="dxa"/>
            <w:vAlign w:val="bottom"/>
            <w:shd w:val="clear" w:color="auto" w:fill="C0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2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31, 2011 and January 1, 2011</w:t>
            </w:r>
          </w:p>
        </w:tc>
        <w:tc>
          <w:tcPr>
            <w:tcW w:w="38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54</w:t>
            </w:r>
          </w:p>
        </w:tc>
        <w:tc>
          <w:tcPr>
            <w:tcW w:w="500" w:type="dxa"/>
            <w:vAlign w:val="bottom"/>
            <w:shd w:val="clear" w:color="auto" w:fill="C0FF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5"/>
              </w:rPr>
              <w:t>Consolidated Statements of Cash Flows for the fiscal years ended December 29, 2012, December 31, 2011</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and January 1, 2011</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240" w:type="dxa"/>
            <w:vAlign w:val="bottom"/>
            <w:shd w:val="clear" w:color="auto" w:fill="C0FFFF"/>
          </w:tcPr>
          <w:p>
            <w:pPr>
              <w:spacing w:after="0"/>
              <w:rPr>
                <w:sz w:val="20"/>
                <w:szCs w:val="20"/>
                <w:color w:val="auto"/>
              </w:rPr>
            </w:pPr>
            <w:r>
              <w:rPr>
                <w:rFonts w:ascii="Arial" w:cs="Arial" w:eastAsia="Arial" w:hAnsi="Arial"/>
                <w:sz w:val="18"/>
                <w:szCs w:val="18"/>
                <w:color w:val="auto"/>
              </w:rPr>
              <w:t>Notes to Consolidated Financial Statements</w:t>
            </w:r>
          </w:p>
        </w:tc>
        <w:tc>
          <w:tcPr>
            <w:tcW w:w="38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56</w:t>
            </w:r>
          </w:p>
        </w:tc>
        <w:tc>
          <w:tcPr>
            <w:tcW w:w="5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9400" w:type="dxa"/>
            <w:vAlign w:val="bottom"/>
            <w:gridSpan w:val="2"/>
          </w:tcPr>
          <w:p>
            <w:pPr>
              <w:jc w:val="right"/>
              <w:ind w:right="351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82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audited the accompanying consolidated balance sheets of Build-A-Bear Workshop, Inc. and subsidiaries (collectively, the Company) as of December 29, 2012 and December 31, 2011, and the related consolidated statements of operations, comprehensive income (loss), stockholders’ equity, and cash flows for each of the two years in the period ended December 29, 2012. Our audits also included the financial statement schedule listed in the Index at Item 15(a)</w:t>
      </w:r>
    </w:p>
    <w:p>
      <w:pPr>
        <w:jc w:val="both"/>
        <w:spacing w:after="0" w:line="261" w:lineRule="auto"/>
        <w:rPr>
          <w:sz w:val="20"/>
          <w:szCs w:val="20"/>
          <w:color w:val="auto"/>
        </w:rPr>
      </w:pPr>
      <w:r>
        <w:rPr>
          <w:rFonts w:ascii="Arial" w:cs="Arial" w:eastAsia="Arial" w:hAnsi="Arial"/>
          <w:sz w:val="18"/>
          <w:szCs w:val="18"/>
          <w:color w:val="auto"/>
        </w:rPr>
        <w:t>(2). These financial statements and schedule are the responsibility of the Company's management. Our responsibility is to express an opinion on these financial statements and schedule based on our audits.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Build-A-Bear Workshop, Inc. and subsidiaries at December 29, 2012 and December 31, 2011, and the consolidated results of their operations and their cash flows for each of the two years in the period ended December 29, 2012 in conformity with U.S. generally accepted accounting principles. Also, in our opinion, the financial statement schedule, when considered in relation to the basic financial statements taken as a whole, presents fairly in all material respects the information set forth therein.</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Build-A-Bear Workshop, Inc. and subsidiaries’ internal control over financial reporting as of December 29,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14, 2013 expressed an unqualified opinion thereon.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statements of operations, comprehensive income (loss), stockholders’ equity, and cash flows of Build-A-Bear Workshop, Inc. and subsidiaries (the Company) for the fiscal year ended January 1, 2011. These consolidated financial statements are the responsibility of the Company’s management. Our responsibility is to express an opinion on these consolidated financial statements based on our audit.</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Build-A-Bear Workshop Inc. and subsidiaries’ results of its operations and its cash flows for the fiscal year ended January 1, 2011, in conformity with U.S. generally accepted accounting principles.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/s/KPMG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2011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0FFFF"/>
          </w:tcPr>
          <w:p>
            <w:pPr>
              <w:ind w:left="53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0FF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45,171</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46,367</w:t>
            </w: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46,904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51,860</w:t>
            </w:r>
          </w:p>
        </w:tc>
      </w:tr>
      <w:tr>
        <w:trPr>
          <w:trHeight w:val="216"/>
        </w:trPr>
        <w:tc>
          <w:tcPr>
            <w:tcW w:w="7900" w:type="dxa"/>
            <w:vAlign w:val="bottom"/>
            <w:shd w:val="clear" w:color="auto" w:fill="C0FFFF"/>
          </w:tcPr>
          <w:p>
            <w:pPr>
              <w:ind w:left="28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9,428</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7,878</w:t>
            </w: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14,216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17,854</w:t>
            </w:r>
          </w:p>
        </w:tc>
      </w:tr>
      <w:tr>
        <w:trPr>
          <w:trHeight w:val="216"/>
        </w:trPr>
        <w:tc>
          <w:tcPr>
            <w:tcW w:w="7900" w:type="dxa"/>
            <w:vAlign w:val="bottom"/>
            <w:shd w:val="clear" w:color="auto" w:fill="C0FFFF"/>
          </w:tcPr>
          <w:p>
            <w:pPr>
              <w:ind w:left="28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419</w:t>
            </w:r>
          </w:p>
        </w:tc>
      </w:tr>
      <w:tr>
        <w:trPr>
          <w:trHeight w:val="27"/>
        </w:trPr>
        <w:tc>
          <w:tcPr>
            <w:tcW w:w="7900" w:type="dxa"/>
            <w:vAlign w:val="bottom"/>
            <w:shd w:val="clear" w:color="auto" w:fill="C0FFFF"/>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790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116,706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124,378</w:t>
            </w:r>
          </w:p>
        </w:tc>
      </w:tr>
      <w:tr>
        <w:trPr>
          <w:trHeight w:val="216"/>
        </w:trPr>
        <w:tc>
          <w:tcPr>
            <w:tcW w:w="79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71,459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77,445</w:t>
            </w:r>
          </w:p>
        </w:tc>
      </w:tr>
      <w:tr>
        <w:trPr>
          <w:trHeight w:val="216"/>
        </w:trPr>
        <w:tc>
          <w:tcPr>
            <w:tcW w:w="7900" w:type="dxa"/>
            <w:vAlign w:val="bottom"/>
            <w:shd w:val="clear" w:color="auto" w:fill="C0FFFF"/>
          </w:tcPr>
          <w:p>
            <w:pPr>
              <w:ind w:left="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32,306</w:t>
            </w: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7900" w:type="dxa"/>
            <w:vAlign w:val="bottom"/>
            <w:shd w:val="clear" w:color="auto" w:fill="C0FFFF"/>
          </w:tcPr>
          <w:p>
            <w:pPr>
              <w:ind w:left="60"/>
              <w:spacing w:after="0"/>
              <w:rPr>
                <w:sz w:val="20"/>
                <w:szCs w:val="20"/>
                <w:color w:val="auto"/>
              </w:rPr>
            </w:pPr>
            <w:r>
              <w:rPr>
                <w:rFonts w:ascii="Arial" w:cs="Arial" w:eastAsia="Arial" w:hAnsi="Arial"/>
                <w:sz w:val="18"/>
                <w:szCs w:val="18"/>
                <w:color w:val="auto"/>
              </w:rPr>
              <w:t>Other assets, net</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3,304</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6,787</w:t>
            </w:r>
          </w:p>
        </w:tc>
      </w:tr>
      <w:tr>
        <w:trPr>
          <w:trHeight w:val="27"/>
        </w:trPr>
        <w:tc>
          <w:tcPr>
            <w:tcW w:w="7900" w:type="dxa"/>
            <w:vAlign w:val="bottom"/>
            <w:shd w:val="clear" w:color="auto" w:fill="C0FFFF"/>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192,102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241,571</w:t>
            </w:r>
          </w:p>
        </w:tc>
      </w:tr>
      <w:tr>
        <w:trPr>
          <w:trHeight w:val="21"/>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900" w:type="dxa"/>
            <w:vAlign w:val="bottom"/>
          </w:tcPr>
          <w:p>
            <w:pPr>
              <w:ind w:left="37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0FFFF"/>
          </w:tcPr>
          <w:p>
            <w:pPr>
              <w:ind w:left="6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38,984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41,032</w:t>
            </w:r>
          </w:p>
        </w:tc>
      </w:tr>
      <w:tr>
        <w:trPr>
          <w:trHeight w:val="216"/>
        </w:trPr>
        <w:tc>
          <w:tcPr>
            <w:tcW w:w="7900" w:type="dxa"/>
            <w:vAlign w:val="bottom"/>
            <w:shd w:val="clear" w:color="auto" w:fill="C0FF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11,570</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12,128</w:t>
            </w: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30,849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28,323</w:t>
            </w:r>
          </w:p>
        </w:tc>
      </w:tr>
      <w:tr>
        <w:trPr>
          <w:trHeight w:val="216"/>
        </w:trPr>
        <w:tc>
          <w:tcPr>
            <w:tcW w:w="7900" w:type="dxa"/>
            <w:vAlign w:val="bottom"/>
            <w:shd w:val="clear" w:color="auto" w:fill="C0FFFF"/>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4,800</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5,285</w:t>
            </w:r>
          </w:p>
        </w:tc>
      </w:tr>
      <w:tr>
        <w:trPr>
          <w:trHeight w:val="27"/>
        </w:trPr>
        <w:tc>
          <w:tcPr>
            <w:tcW w:w="7900" w:type="dxa"/>
            <w:vAlign w:val="bottom"/>
            <w:shd w:val="clear" w:color="auto" w:fill="C0FFFF"/>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23"/>
        </w:trPr>
        <w:tc>
          <w:tcPr>
            <w:tcW w:w="790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86,203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86,768</w:t>
            </w:r>
          </w:p>
        </w:tc>
      </w:tr>
      <w:tr>
        <w:trPr>
          <w:trHeight w:val="216"/>
        </w:trPr>
        <w:tc>
          <w:tcPr>
            <w:tcW w:w="79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tcBorders>
              <w:top w:val="single" w:sz="8" w:color="auto"/>
            </w:tcBorders>
            <w:shd w:val="clear" w:color="auto" w:fill="C0FFFF"/>
          </w:tcPr>
          <w:p>
            <w:pPr>
              <w:spacing w:after="0"/>
              <w:rPr>
                <w:sz w:val="18"/>
                <w:szCs w:val="18"/>
                <w:color w:val="auto"/>
              </w:rPr>
            </w:pPr>
          </w:p>
        </w:tc>
        <w:tc>
          <w:tcPr>
            <w:tcW w:w="13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Deferred franchise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r>
      <w:tr>
        <w:trPr>
          <w:trHeight w:val="216"/>
        </w:trPr>
        <w:tc>
          <w:tcPr>
            <w:tcW w:w="7900" w:type="dxa"/>
            <w:vAlign w:val="bottom"/>
            <w:shd w:val="clear" w:color="auto" w:fill="C0FFFF"/>
          </w:tcPr>
          <w:p>
            <w:pPr>
              <w:ind w:left="60"/>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20,843</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23,867</w:t>
            </w:r>
          </w:p>
        </w:tc>
      </w:tr>
      <w:tr>
        <w:trPr>
          <w:trHeight w:val="216"/>
        </w:trPr>
        <w:tc>
          <w:tcPr>
            <w:tcW w:w="7900" w:type="dxa"/>
            <w:vAlign w:val="bottom"/>
          </w:tcPr>
          <w:p>
            <w:pPr>
              <w:ind w:left="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7900" w:type="dxa"/>
            <w:vAlign w:val="bottom"/>
            <w:shd w:val="clear" w:color="auto" w:fill="C0FFFF"/>
          </w:tcPr>
          <w:p>
            <w:pPr>
              <w:ind w:left="6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0FFFF"/>
          </w:tcPr>
          <w:p>
            <w:pPr>
              <w:ind w:left="6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900" w:type="dxa"/>
            <w:vAlign w:val="bottom"/>
            <w:shd w:val="clear" w:color="auto" w:fill="C0FFFF"/>
          </w:tcPr>
          <w:p>
            <w:pPr>
              <w:ind w:left="340"/>
              <w:spacing w:after="0" w:line="201" w:lineRule="exact"/>
              <w:rPr>
                <w:sz w:val="20"/>
                <w:szCs w:val="20"/>
                <w:color w:val="auto"/>
              </w:rPr>
            </w:pPr>
            <w:r>
              <w:rPr>
                <w:rFonts w:ascii="Arial" w:cs="Arial" w:eastAsia="Arial" w:hAnsi="Arial"/>
                <w:sz w:val="18"/>
                <w:szCs w:val="18"/>
                <w:color w:val="auto"/>
              </w:rPr>
              <w:t>Preferred stock, par value $0.01, Shares authorized: 15,000,000;</w:t>
            </w:r>
          </w:p>
        </w:tc>
        <w:tc>
          <w:tcPr>
            <w:tcW w:w="22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34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3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r>
      <w:tr>
        <w:trPr>
          <w:trHeight w:val="230"/>
        </w:trPr>
        <w:tc>
          <w:tcPr>
            <w:tcW w:w="7900" w:type="dxa"/>
            <w:vAlign w:val="bottom"/>
            <w:shd w:val="clear" w:color="auto" w:fill="C0FFFF"/>
          </w:tcPr>
          <w:p>
            <w:pPr>
              <w:ind w:left="500"/>
              <w:spacing w:after="0"/>
              <w:rPr>
                <w:sz w:val="20"/>
                <w:szCs w:val="20"/>
                <w:color w:val="auto"/>
              </w:rPr>
            </w:pPr>
            <w:r>
              <w:rPr>
                <w:rFonts w:ascii="Arial" w:cs="Arial" w:eastAsia="Arial" w:hAnsi="Arial"/>
                <w:sz w:val="18"/>
                <w:szCs w:val="18"/>
                <w:color w:val="auto"/>
              </w:rPr>
              <w:t>No shares issued or outstanding at December 29, 2012 and December 31, 2011</w:t>
            </w:r>
          </w:p>
        </w:tc>
        <w:tc>
          <w:tcPr>
            <w:tcW w:w="22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900" w:type="dxa"/>
            <w:vAlign w:val="bottom"/>
          </w:tcPr>
          <w:p>
            <w:pPr>
              <w:ind w:left="380"/>
              <w:spacing w:after="0" w:line="201" w:lineRule="exact"/>
              <w:rPr>
                <w:sz w:val="20"/>
                <w:szCs w:val="20"/>
                <w:color w:val="auto"/>
              </w:rPr>
            </w:pPr>
            <w:r>
              <w:rPr>
                <w:rFonts w:ascii="Arial" w:cs="Arial" w:eastAsia="Arial" w:hAnsi="Arial"/>
                <w:sz w:val="18"/>
                <w:szCs w:val="18"/>
                <w:color w:val="auto"/>
              </w:rPr>
              <w:t>Common stock, par value $0.01, Shares authorized: 50,000,000;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00" w:type="dxa"/>
            <w:vAlign w:val="bottom"/>
          </w:tcPr>
          <w:p>
            <w:pPr>
              <w:ind w:left="500"/>
              <w:spacing w:after="0"/>
              <w:rPr>
                <w:sz w:val="20"/>
                <w:szCs w:val="20"/>
                <w:color w:val="auto"/>
              </w:rPr>
            </w:pPr>
            <w:r>
              <w:rPr>
                <w:rFonts w:ascii="Arial" w:cs="Arial" w:eastAsia="Arial" w:hAnsi="Arial"/>
                <w:sz w:val="18"/>
                <w:szCs w:val="18"/>
                <w:color w:val="auto"/>
              </w:rPr>
              <w:t>Issued and outstanding:  17,068,182 and 17,405,270 shares, respectively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7900" w:type="dxa"/>
            <w:vAlign w:val="bottom"/>
            <w:shd w:val="clear" w:color="auto" w:fill="C0FF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66,112</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65,402</w:t>
            </w: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(7,683)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(10,165)</w:t>
            </w:r>
          </w:p>
        </w:tc>
      </w:tr>
      <w:tr>
        <w:trPr>
          <w:trHeight w:val="216"/>
        </w:trPr>
        <w:tc>
          <w:tcPr>
            <w:tcW w:w="7900" w:type="dxa"/>
            <w:vAlign w:val="bottom"/>
            <w:shd w:val="clear" w:color="auto" w:fill="C0FF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24,537</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73,832</w:t>
            </w:r>
          </w:p>
        </w:tc>
      </w:tr>
      <w:tr>
        <w:trPr>
          <w:trHeight w:val="27"/>
        </w:trPr>
        <w:tc>
          <w:tcPr>
            <w:tcW w:w="7900" w:type="dxa"/>
            <w:vAlign w:val="bottom"/>
            <w:shd w:val="clear" w:color="auto" w:fill="C0FFFF"/>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7900" w:type="dxa"/>
            <w:vAlign w:val="bottom"/>
          </w:tcPr>
          <w:p>
            <w:pPr>
              <w:ind w:left="7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83,137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129,243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900" w:type="dxa"/>
            <w:vAlign w:val="bottom"/>
            <w:shd w:val="clear" w:color="auto" w:fill="C0FF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0FFFF"/>
          </w:tcPr>
          <w:p>
            <w:pPr>
              <w:spacing w:after="0"/>
              <w:rPr>
                <w:sz w:val="20"/>
                <w:szCs w:val="20"/>
                <w:color w:val="auto"/>
              </w:rPr>
            </w:pP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192,102</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241,571</w:t>
            </w:r>
          </w:p>
        </w:tc>
      </w:tr>
      <w:tr>
        <w:trPr>
          <w:trHeight w:val="20"/>
        </w:trPr>
        <w:tc>
          <w:tcPr>
            <w:tcW w:w="790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Net retail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374,553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387,041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Commercial revenue</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3,943</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Franchise fees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0FFFF"/>
          </w:tcPr>
          <w:p>
            <w:pPr>
              <w:ind w:left="90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0FFFF"/>
          </w:tcPr>
          <w:p>
            <w:pPr>
              <w:spacing w:after="0"/>
              <w:rPr>
                <w:sz w:val="19"/>
                <w:szCs w:val="19"/>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380,941</w:t>
            </w:r>
          </w:p>
        </w:tc>
        <w:tc>
          <w:tcPr>
            <w:tcW w:w="10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394,375</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401,452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Cost of merchandise sold</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230,181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234,227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165,516</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162,881</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90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429,370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397,027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0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(48,429)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14,410</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0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(49,295)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(17,062)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C0FFFF"/>
          </w:tcPr>
          <w:p>
            <w:pPr>
              <w:ind w:left="4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(3.02)</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(0.98)</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(0.98)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Shares used in computing per common share amounts: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16,331,672</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17,371,315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18,601,465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16,331,672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17,371,315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18,653,012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7" w:name="page58"/>
    <w:bookmarkEnd w:id="57"/>
    <w:p>
      <w:pPr>
        <w:jc w:val="center"/>
        <w:spacing w:after="0" w:line="266" w:lineRule="auto"/>
        <w:rPr>
          <w:sz w:val="20"/>
          <w:szCs w:val="20"/>
          <w:color w:val="auto"/>
        </w:rPr>
      </w:pPr>
      <w:r>
        <w:rPr>
          <w:rFonts w:ascii="Arial" w:cs="Arial" w:eastAsia="Arial" w:hAnsi="Arial"/>
          <w:sz w:val="18"/>
          <w:szCs w:val="18"/>
          <w:b w:val="1"/>
          <w:bCs w:val="1"/>
          <w:color w:val="auto"/>
        </w:rPr>
        <w:t xml:space="preserve">BUILD-A-BEAR WORKSHOP, INC. AND SUBSIDIARIES CONSOLIDATED STATEMENTS COMPREHENSIVE INCOME (LOSS) </w:t>
      </w:r>
      <w:r>
        <w:rPr>
          <w:rFonts w:ascii="Arial" w:cs="Arial" w:eastAsia="Arial" w:hAnsi="Arial"/>
          <w:sz w:val="18"/>
          <w:szCs w:val="18"/>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0FF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89"/>
              </w:rPr>
              <w:t>(49,295)</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(17,062)</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640"/>
              <w:spacing w:after="0"/>
              <w:rPr>
                <w:sz w:val="20"/>
                <w:szCs w:val="20"/>
                <w:color w:val="auto"/>
              </w:rPr>
            </w:pPr>
            <w:r>
              <w:rPr>
                <w:rFonts w:ascii="Arial" w:cs="Arial" w:eastAsia="Arial" w:hAnsi="Arial"/>
                <w:sz w:val="18"/>
                <w:szCs w:val="18"/>
                <w:color w:val="auto"/>
              </w:rPr>
              <w:t>Reclass realized gain on liquidation of investment in a foreign entity</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Comprehensive income (loss)</w:t>
            </w:r>
          </w:p>
        </w:tc>
        <w:tc>
          <w:tcPr>
            <w:tcW w:w="940" w:type="dxa"/>
            <w:vAlign w:val="bottom"/>
            <w:shd w:val="clear" w:color="auto" w:fill="C0FF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89"/>
              </w:rPr>
              <w:t>(46,813)</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(17,268)</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other</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Common</w:t>
            </w:r>
          </w:p>
        </w:tc>
        <w:tc>
          <w:tcPr>
            <w:tcW w:w="2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paid-in</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comprehensive</w:t>
            </w:r>
          </w:p>
        </w:tc>
        <w:tc>
          <w:tcPr>
            <w:tcW w:w="24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Retained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earnings</w:t>
            </w:r>
          </w:p>
        </w:tc>
        <w:tc>
          <w:tcPr>
            <w:tcW w:w="3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Balance, January 2, 2010</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80,122</w:t>
            </w:r>
          </w:p>
        </w:tc>
        <w:tc>
          <w:tcPr>
            <w:tcW w:w="30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(6,336)</w:t>
            </w:r>
          </w:p>
        </w:tc>
        <w:tc>
          <w:tcPr>
            <w:tcW w:w="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90,790</w:t>
            </w:r>
          </w:p>
        </w:tc>
        <w:tc>
          <w:tcPr>
            <w:tcW w:w="30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164,780</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 repurchase</w:t>
            </w: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(7,263)</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4,818</w:t>
            </w:r>
          </w:p>
        </w:tc>
        <w:tc>
          <w:tcPr>
            <w:tcW w:w="3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4,818</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5"/>
              </w:rPr>
              <w:t>Shares issued under employee stock plans, net of tax benefit</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(3,623)</w:t>
            </w: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Balance, January 1, 2011</w:t>
            </w:r>
          </w:p>
        </w:tc>
        <w:tc>
          <w:tcPr>
            <w:tcW w:w="16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76,582</w:t>
            </w:r>
          </w:p>
        </w:tc>
        <w:tc>
          <w:tcPr>
            <w:tcW w:w="30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(9,959)</w:t>
            </w: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90,894</w:t>
            </w:r>
          </w:p>
        </w:tc>
        <w:tc>
          <w:tcPr>
            <w:tcW w:w="30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157,713</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Share repurchase</w:t>
            </w:r>
          </w:p>
        </w:tc>
        <w:tc>
          <w:tcPr>
            <w:tcW w:w="16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(14,977)</w:t>
            </w:r>
          </w:p>
        </w:tc>
        <w:tc>
          <w:tcPr>
            <w:tcW w:w="3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4,605</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w w:val="95"/>
              </w:rPr>
              <w:t>Shares issued under employee stock plans, net of tax benefit</w:t>
            </w:r>
          </w:p>
        </w:tc>
        <w:tc>
          <w:tcPr>
            <w:tcW w:w="16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(808)</w:t>
            </w:r>
          </w:p>
        </w:tc>
        <w:tc>
          <w:tcPr>
            <w:tcW w:w="3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0FFFF"/>
          </w:tcPr>
          <w:p>
            <w:pPr>
              <w:spacing w:after="0"/>
              <w:rPr>
                <w:sz w:val="19"/>
                <w:szCs w:val="19"/>
                <w:color w:val="auto"/>
              </w:rPr>
            </w:pPr>
          </w:p>
        </w:tc>
        <w:tc>
          <w:tcPr>
            <w:tcW w:w="11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9"/>
                <w:szCs w:val="19"/>
                <w:color w:val="auto"/>
              </w:rPr>
            </w:pPr>
          </w:p>
        </w:tc>
        <w:tc>
          <w:tcPr>
            <w:tcW w:w="116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9"/>
                <w:szCs w:val="19"/>
                <w:color w:val="auto"/>
              </w:rPr>
            </w:pPr>
          </w:p>
        </w:tc>
        <w:tc>
          <w:tcPr>
            <w:tcW w:w="104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9"/>
                <w:szCs w:val="19"/>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(17,062)</w:t>
            </w:r>
          </w:p>
        </w:tc>
        <w:tc>
          <w:tcPr>
            <w:tcW w:w="300" w:type="dxa"/>
            <w:vAlign w:val="bottom"/>
            <w:shd w:val="clear" w:color="auto" w:fill="C0FFFF"/>
          </w:tcPr>
          <w:p>
            <w:pPr>
              <w:spacing w:after="0"/>
              <w:rPr>
                <w:sz w:val="19"/>
                <w:szCs w:val="19"/>
                <w:color w:val="auto"/>
              </w:rPr>
            </w:pPr>
          </w:p>
        </w:tc>
        <w:tc>
          <w:tcPr>
            <w:tcW w:w="10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Balance, December 31, 2011</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174</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65,402</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73,832</w:t>
            </w: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129,243</w:t>
            </w: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 repurchase</w:t>
            </w: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(1,343)</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3,611</w:t>
            </w:r>
          </w:p>
        </w:tc>
        <w:tc>
          <w:tcPr>
            <w:tcW w:w="3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5"/>
              </w:rPr>
              <w:t>Shares issued under employee stock plans, net of tax benefit</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(1,558)</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16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104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2,482</w:t>
            </w: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(49,295)</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auto"/>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spacing w:after="0"/>
              <w:rPr>
                <w:sz w:val="19"/>
                <w:szCs w:val="19"/>
                <w:color w:val="auto"/>
              </w:rPr>
            </w:pPr>
          </w:p>
        </w:tc>
        <w:tc>
          <w:tcPr>
            <w:tcW w:w="300" w:type="dxa"/>
            <w:vAlign w:val="bottom"/>
            <w:tcBorders>
              <w:bottom w:val="single" w:sz="8" w:color="auto"/>
            </w:tcBorders>
            <w:shd w:val="clear" w:color="auto" w:fill="C0FFFF"/>
          </w:tcPr>
          <w:p>
            <w:pPr>
              <w:spacing w:after="0"/>
              <w:rPr>
                <w:sz w:val="19"/>
                <w:szCs w:val="19"/>
                <w:color w:val="auto"/>
              </w:rPr>
            </w:pPr>
          </w:p>
        </w:tc>
        <w:tc>
          <w:tcPr>
            <w:tcW w:w="1040" w:type="dxa"/>
            <w:vAlign w:val="bottom"/>
            <w:tcBorders>
              <w:bottom w:val="single" w:sz="8" w:color="auto"/>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spacing w:after="0"/>
              <w:rPr>
                <w:sz w:val="19"/>
                <w:szCs w:val="19"/>
                <w:color w:val="auto"/>
              </w:rPr>
            </w:pPr>
          </w:p>
        </w:tc>
        <w:tc>
          <w:tcPr>
            <w:tcW w:w="300" w:type="dxa"/>
            <w:vAlign w:val="bottom"/>
            <w:tcBorders>
              <w:bottom w:val="single" w:sz="8" w:color="auto"/>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December 29, 2012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66,112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24,537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Net (loss)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(49,295)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(17,062)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rPr>
              <w:t>Adjustments to reconcile net (loss) income to net cash provided by operating</w:t>
            </w:r>
          </w:p>
        </w:tc>
        <w:tc>
          <w:tcPr>
            <w:tcW w:w="9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activities:</w:t>
            </w:r>
          </w:p>
        </w:tc>
        <w:tc>
          <w:tcPr>
            <w:tcW w:w="940" w:type="dxa"/>
            <w:vAlign w:val="bottom"/>
            <w:shd w:val="clear" w:color="auto" w:fill="C0FFFF"/>
          </w:tcPr>
          <w:p>
            <w:pPr>
              <w:spacing w:after="0"/>
              <w:rPr>
                <w:sz w:val="20"/>
                <w:szCs w:val="20"/>
                <w:color w:val="auto"/>
              </w:rPr>
            </w:pPr>
          </w:p>
        </w:tc>
        <w:tc>
          <w:tcPr>
            <w:tcW w:w="56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80" w:type="dxa"/>
            <w:vAlign w:val="bottom"/>
            <w:shd w:val="clear" w:color="auto" w:fill="C0FFFF"/>
          </w:tcPr>
          <w:p>
            <w:pPr>
              <w:spacing w:after="0"/>
              <w:rPr>
                <w:sz w:val="20"/>
                <w:szCs w:val="20"/>
                <w:color w:val="auto"/>
              </w:rPr>
            </w:pPr>
          </w:p>
        </w:tc>
        <w:tc>
          <w:tcPr>
            <w:tcW w:w="1280" w:type="dxa"/>
            <w:vAlign w:val="bottom"/>
            <w:shd w:val="clear" w:color="auto" w:fill="C0FFFF"/>
          </w:tcPr>
          <w:p>
            <w:pPr>
              <w:spacing w:after="0"/>
              <w:rPr>
                <w:sz w:val="20"/>
                <w:szCs w:val="20"/>
                <w:color w:val="auto"/>
              </w:rPr>
            </w:pPr>
          </w:p>
        </w:tc>
        <w:tc>
          <w:tcPr>
            <w:tcW w:w="14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16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21,422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24,232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Goodwill impairment</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8"/>
              </w:rPr>
              <w:t>33,670</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Asset impairment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Deferred taxes</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14,560</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Losses from investment in affiliate</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Excess tax benefit from share-based payments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4,605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Trade credit utilization</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Change in assets and liabilities: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680"/>
              <w:spacing w:after="0"/>
              <w:rPr>
                <w:sz w:val="20"/>
                <w:szCs w:val="20"/>
                <w:color w:val="auto"/>
              </w:rPr>
            </w:pPr>
            <w:r>
              <w:rPr>
                <w:rFonts w:ascii="Arial" w:cs="Arial" w:eastAsia="Arial" w:hAnsi="Arial"/>
                <w:sz w:val="18"/>
                <w:szCs w:val="18"/>
                <w:color w:val="auto"/>
              </w:rPr>
              <w:t>Receivables</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Lease related liabilities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(4,743)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680"/>
              <w:spacing w:after="0"/>
              <w:rPr>
                <w:sz w:val="20"/>
                <w:szCs w:val="20"/>
                <w:color w:val="auto"/>
              </w:rPr>
            </w:pPr>
            <w:r>
              <w:rPr>
                <w:rFonts w:ascii="Arial" w:cs="Arial" w:eastAsia="Arial" w:hAnsi="Arial"/>
                <w:sz w:val="18"/>
                <w:szCs w:val="18"/>
                <w:color w:val="auto"/>
              </w:rPr>
              <w:t>Gift cards and customer deposits</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(1,664)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0FFFF"/>
          </w:tcPr>
          <w:p>
            <w:pPr>
              <w:ind w:left="90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0FFFF"/>
          </w:tcPr>
          <w:p>
            <w:pPr>
              <w:spacing w:after="0"/>
              <w:rPr>
                <w:sz w:val="19"/>
                <w:szCs w:val="19"/>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8"/>
              </w:rPr>
              <w:t>14,864</w:t>
            </w:r>
          </w:p>
        </w:tc>
        <w:tc>
          <w:tcPr>
            <w:tcW w:w="10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16,010</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Purchases of property and equipment, net</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89"/>
              </w:rPr>
              <w:t>(16,633)</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(12,035)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Purchases of other assets and other intangible assets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Proceeds from sale or maturity of short term investments</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4,829</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Purchases of short term investments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(5,899)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Proceeds from sale of assets</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Investment in unconsolidated affiliate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0FFFF"/>
          </w:tcPr>
          <w:p>
            <w:pPr>
              <w:ind w:left="900"/>
              <w:spacing w:after="0"/>
              <w:rPr>
                <w:sz w:val="20"/>
                <w:szCs w:val="20"/>
                <w:color w:val="auto"/>
              </w:rPr>
            </w:pPr>
            <w:r>
              <w:rPr>
                <w:rFonts w:ascii="Arial" w:cs="Arial" w:eastAsia="Arial" w:hAnsi="Arial"/>
                <w:sz w:val="18"/>
                <w:szCs w:val="18"/>
                <w:color w:val="auto"/>
              </w:rPr>
              <w:t>Cash flow used in investing activities</w:t>
            </w:r>
          </w:p>
        </w:tc>
        <w:tc>
          <w:tcPr>
            <w:tcW w:w="940" w:type="dxa"/>
            <w:vAlign w:val="bottom"/>
            <w:shd w:val="clear" w:color="auto" w:fill="C0FFFF"/>
          </w:tcPr>
          <w:p>
            <w:pPr>
              <w:spacing w:after="0"/>
              <w:rPr>
                <w:sz w:val="19"/>
                <w:szCs w:val="19"/>
                <w:color w:val="auto"/>
              </w:rPr>
            </w:pPr>
          </w:p>
        </w:tc>
        <w:tc>
          <w:tcPr>
            <w:tcW w:w="7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89"/>
              </w:rPr>
              <w:t>(15,096)</w:t>
            </w:r>
          </w:p>
        </w:tc>
        <w:tc>
          <w:tcPr>
            <w:tcW w:w="10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(13,318)</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Exercise of employee stock options and employee stock purchases</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Purchases of Company's common stock</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(15,002)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00"/>
              <w:spacing w:after="0"/>
              <w:rPr>
                <w:sz w:val="20"/>
                <w:szCs w:val="20"/>
                <w:color w:val="auto"/>
              </w:rPr>
            </w:pPr>
            <w:r>
              <w:rPr>
                <w:rFonts w:ascii="Arial" w:cs="Arial" w:eastAsia="Arial" w:hAnsi="Arial"/>
                <w:sz w:val="18"/>
                <w:szCs w:val="18"/>
                <w:color w:val="auto"/>
              </w:rPr>
              <w:t>Cash flow used in financing activities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(14,587)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Effect of exchange rates on cash</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(12,388)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8"/>
              </w:rPr>
              <w:t>46,367</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58,755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60,399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45,171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46,367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58,755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Supplemental disclosure of cash flow information:</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Net cash paid (received) during the period for income taxes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Noncash Transactions: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Return of common stock in lieu of tax withholdings and option exercises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1,432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692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Exchange of inventory for trade credits</w:t>
            </w:r>
          </w:p>
        </w:tc>
        <w:tc>
          <w:tcPr>
            <w:tcW w:w="940" w:type="dxa"/>
            <w:vAlign w:val="bottom"/>
            <w:shd w:val="clear" w:color="auto" w:fill="C0FF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83"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Build-A-Bear Workshop, Inc. (the Company) is a specialty retailer of plush animals and related products. The Company began operations in October 1997. The Company sells its products through its 351 company-owned stores located in the United States, Canada, Puerto Rico, the United Kingdom and Ireland along with its Web sites. Operations in foreign countries where the Company does not have company-owned stores are through franchise agreements.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reclassifications of prior year amounts have been made to conform to current year presentation.</w:t>
      </w:r>
    </w:p>
    <w:p>
      <w:pPr>
        <w:spacing w:after="0" w:line="275"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83"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A summary of the Company’s significant accounting policies applied in the preparation of the accompanying consolidated financial statements follows:</w:t>
      </w:r>
    </w:p>
    <w:p>
      <w:pPr>
        <w:spacing w:after="0" w:line="224" w:lineRule="exact"/>
        <w:rPr>
          <w:sz w:val="20"/>
          <w:szCs w:val="20"/>
          <w:color w:val="auto"/>
        </w:rPr>
      </w:pPr>
    </w:p>
    <w:p>
      <w:pPr>
        <w:ind w:left="920" w:hanging="480"/>
        <w:spacing w:after="0"/>
        <w:tabs>
          <w:tab w:leader="none" w:pos="9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7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Build-A-Bear Workshop, Inc. and its wholly-owned subsidiaries. All significant intercompany accounts are eliminated in consolidation.</w:t>
      </w:r>
    </w:p>
    <w:p>
      <w:pPr>
        <w:spacing w:after="0" w:line="224" w:lineRule="exact"/>
        <w:rPr>
          <w:sz w:val="20"/>
          <w:szCs w:val="20"/>
          <w:color w:val="auto"/>
        </w:rPr>
      </w:pPr>
    </w:p>
    <w:p>
      <w:pPr>
        <w:ind w:left="920" w:hanging="480"/>
        <w:spacing w:after="0"/>
        <w:tabs>
          <w:tab w:leader="none" w:pos="9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Fiscal Year</w:t>
      </w:r>
    </w:p>
    <w:p>
      <w:pPr>
        <w:spacing w:after="0" w:line="279" w:lineRule="exact"/>
        <w:rPr>
          <w:sz w:val="20"/>
          <w:szCs w:val="20"/>
          <w:color w:val="auto"/>
        </w:rPr>
      </w:pPr>
    </w:p>
    <w:p>
      <w:pPr>
        <w:ind w:right="220" w:firstLine="486"/>
        <w:spacing w:after="0" w:line="312" w:lineRule="auto"/>
        <w:rPr>
          <w:sz w:val="20"/>
          <w:szCs w:val="20"/>
          <w:color w:val="auto"/>
        </w:rPr>
      </w:pPr>
      <w:r>
        <w:rPr>
          <w:rFonts w:ascii="Arial" w:cs="Arial" w:eastAsia="Arial" w:hAnsi="Arial"/>
          <w:sz w:val="16"/>
          <w:szCs w:val="16"/>
          <w:color w:val="auto"/>
        </w:rPr>
        <w:t>The Company operates on a 52- or 53-week fiscal year ending on the Saturday closest to December 31. The periods presented in these financial statements are the fiscal years ended December 29, 2012 (fiscal 2012), December 31, 2011 (fiscal 2011) and January 1, 2011 (fiscal 2010). All fiscal years presented included 52 weeks. References to years in these financial statements relate to fiscal years or year ends rather than calendar years.</w:t>
      </w:r>
    </w:p>
    <w:p>
      <w:pPr>
        <w:spacing w:after="0" w:line="201" w:lineRule="exact"/>
        <w:rPr>
          <w:sz w:val="20"/>
          <w:szCs w:val="20"/>
          <w:color w:val="auto"/>
        </w:rPr>
      </w:pPr>
    </w:p>
    <w:p>
      <w:pPr>
        <w:ind w:left="920" w:hanging="480"/>
        <w:spacing w:after="0"/>
        <w:tabs>
          <w:tab w:leader="none" w:pos="9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Cash and cash equivalents include cash and short-term highly liquid investments with an original maturity of three months or less held in both domestic and foreign financial institutions.</w:t>
      </w:r>
    </w:p>
    <w:p>
      <w:pPr>
        <w:spacing w:after="0" w:line="224"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201" w:lineRule="exact"/>
        <w:rPr>
          <w:sz w:val="20"/>
          <w:szCs w:val="20"/>
          <w:color w:val="auto"/>
        </w:rPr>
      </w:pPr>
    </w:p>
    <w:p>
      <w:pPr>
        <w:ind w:left="920" w:hanging="480"/>
        <w:spacing w:after="0"/>
        <w:tabs>
          <w:tab w:leader="none" w:pos="9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Inventories are stated at the lower of cost or market, with cost determined on an average-cost basis. Inventory includes supplies of $3.5 million and $3.7 million as of December 29, 2012 and December 31, 2011, respectively.</w:t>
      </w:r>
    </w:p>
    <w:p>
      <w:pPr>
        <w:spacing w:after="0" w:line="170" w:lineRule="exact"/>
        <w:rPr>
          <w:sz w:val="20"/>
          <w:szCs w:val="20"/>
          <w:color w:val="auto"/>
        </w:rPr>
      </w:pPr>
    </w:p>
    <w:p>
      <w:pPr>
        <w:ind w:left="920" w:hanging="480"/>
        <w:spacing w:after="0"/>
        <w:tabs>
          <w:tab w:leader="none" w:pos="9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279"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Receivables consist primarily of amounts due to the Company in relation to tenant allowances, corporate product sales, franchisee royalties and product sales, and licensing revenue. The Company assesses the collectability of all receivables on an ongoing basis by considering its historical credit loss experience, current economic conditions, and other relevant factors. Based on this analysis, the Company has determined that no material allowance for doubtful accounts was necessary at either December 29, 2012 or December 31, 2011.</w:t>
      </w:r>
    </w:p>
    <w:p>
      <w:pPr>
        <w:spacing w:after="0" w:line="225" w:lineRule="exact"/>
        <w:rPr>
          <w:sz w:val="20"/>
          <w:szCs w:val="20"/>
          <w:color w:val="auto"/>
        </w:rPr>
      </w:pPr>
    </w:p>
    <w:p>
      <w:pPr>
        <w:ind w:left="920" w:hanging="480"/>
        <w:spacing w:after="0"/>
        <w:tabs>
          <w:tab w:leader="none" w:pos="9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7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232" w:lineRule="exact"/>
        <w:rPr>
          <w:sz w:val="20"/>
          <w:szCs w:val="20"/>
          <w:color w:val="auto"/>
        </w:rPr>
      </w:pPr>
    </w:p>
    <w:p>
      <w:pPr>
        <w:ind w:left="920" w:hanging="480"/>
        <w:spacing w:after="0"/>
        <w:tabs>
          <w:tab w:leader="none" w:pos="9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279"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Goodwill is tested for impairment annually or more frequently if events or changes in circumstances indicate that the asset might be impaired. This testing requires comparison of the carrying value of the reporting unit to its fair value and a reconciliation to the Company’s total market capitalization, and when appropriate, the carrying value of impaired assets is reduced to fair value. The calculation of fair value requires multiple assumptions regarding our future operations to determine future cash flows, including but not limited to, sales volume, margin rates, store growth rates and discount rates, all of which are Level 3 inputs. Based on the annual impairment test performed for the Company’s UK reporting unit as of December 29, 2012, the Company has determined that the fair value of the reporting unit was less than its carrying value, which resulted in an impairment of the entire goodwill balance in 2012.</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302" w:gutter="0" w:footer="0" w:header="0"/>
        </w:sectPr>
      </w:pPr>
    </w:p>
    <w:bookmarkStart w:id="61" w:name="page62"/>
    <w:bookmarkEnd w:id="61"/>
    <w:p>
      <w:pPr>
        <w:ind w:left="920" w:hanging="480"/>
        <w:spacing w:after="0"/>
        <w:tabs>
          <w:tab w:leader="none" w:pos="9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Intangible Assets</w:t>
      </w:r>
    </w:p>
    <w:p>
      <w:pPr>
        <w:spacing w:after="0" w:line="279"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Other intangible assets consist primarily of initial costs related to trademarks and other intellectual property and key money deposits. Trademarks and other intellectual property represent third-party costs that are capitalized and amortized over their estimated lives ranging from one to three years using the straight-line method. Key money deposits represent amounts paid to a tenant to acquire the rights of tenancy under a commercial property lease for a property located in France. These rights can be subsequently sold by us to a new tenant. All key money deposits were sold in 2010.</w:t>
      </w:r>
    </w:p>
    <w:p>
      <w:pPr>
        <w:spacing w:after="0" w:line="208" w:lineRule="exact"/>
        <w:rPr>
          <w:sz w:val="20"/>
          <w:szCs w:val="20"/>
          <w:color w:val="auto"/>
        </w:rPr>
      </w:pPr>
    </w:p>
    <w:p>
      <w:pPr>
        <w:ind w:left="920" w:hanging="480"/>
        <w:spacing w:after="0"/>
        <w:tabs>
          <w:tab w:leader="none" w:pos="9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w:t>
      </w:r>
    </w:p>
    <w:p>
      <w:pPr>
        <w:spacing w:after="0" w:line="27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Other assets consist primarily of deferred leasing fees and deferred costs related to franchise agreements.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 Amortization expense related to other assets was $0.3 million, $0.5 million and $0.7 million for 2012, 2011 and 2010, respectively.</w:t>
      </w:r>
    </w:p>
    <w:p>
      <w:pPr>
        <w:spacing w:after="0" w:line="241" w:lineRule="exact"/>
        <w:rPr>
          <w:sz w:val="20"/>
          <w:szCs w:val="20"/>
          <w:color w:val="auto"/>
        </w:rPr>
      </w:pPr>
    </w:p>
    <w:p>
      <w:pPr>
        <w:ind w:left="920" w:hanging="480"/>
        <w:spacing w:after="0"/>
        <w:tabs>
          <w:tab w:leader="none" w:pos="9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Long-lived Assets</w:t>
      </w:r>
    </w:p>
    <w:p>
      <w:pPr>
        <w:spacing w:after="0" w:line="27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See Note 4 – Property and Equipment and Note 6 – Other Intangible Assets for further discussion regarding the impairment of long-lived assets.</w:t>
      </w:r>
    </w:p>
    <w:p>
      <w:pPr>
        <w:spacing w:after="0" w:line="24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235" w:lineRule="exact"/>
        <w:rPr>
          <w:sz w:val="20"/>
          <w:szCs w:val="20"/>
          <w:color w:val="auto"/>
        </w:rPr>
      </w:pPr>
    </w:p>
    <w:p>
      <w:pPr>
        <w:ind w:left="920" w:hanging="480"/>
        <w:spacing w:after="0"/>
        <w:tabs>
          <w:tab w:leader="none" w:pos="9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Rent</w:t>
      </w:r>
    </w:p>
    <w:p>
      <w:pPr>
        <w:spacing w:after="0" w:line="279"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65" w:lineRule="exact"/>
        <w:rPr>
          <w:sz w:val="20"/>
          <w:szCs w:val="20"/>
          <w:color w:val="auto"/>
        </w:rPr>
      </w:pPr>
    </w:p>
    <w:p>
      <w:pPr>
        <w:ind w:left="920" w:hanging="480"/>
        <w:spacing w:after="0"/>
        <w:tabs>
          <w:tab w:leader="none" w:pos="92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Franchises</w:t>
      </w:r>
    </w:p>
    <w:p>
      <w:pPr>
        <w:spacing w:after="0" w:line="279" w:lineRule="exact"/>
        <w:rPr>
          <w:sz w:val="20"/>
          <w:szCs w:val="20"/>
          <w:color w:val="auto"/>
        </w:rPr>
      </w:pPr>
    </w:p>
    <w:p>
      <w:pPr>
        <w:ind w:right="180" w:firstLine="486"/>
        <w:spacing w:after="0" w:line="312" w:lineRule="auto"/>
        <w:rPr>
          <w:sz w:val="20"/>
          <w:szCs w:val="20"/>
          <w:color w:val="auto"/>
        </w:rPr>
      </w:pPr>
      <w:r>
        <w:rPr>
          <w:rFonts w:ascii="Arial" w:cs="Arial" w:eastAsia="Arial" w:hAnsi="Arial"/>
          <w:sz w:val="16"/>
          <w:szCs w:val="16"/>
          <w:color w:val="auto"/>
        </w:rPr>
        <w:t>The Company defers initial, one-time nonrefundable franchise fees and amortizes them over the life of the respective franchise agreements, which extend for periods up to 25 years. The Company’s obligations under the contract are ongoing and include operations and product development support and training, generally concentrated around new store openings. Continuing franchise fees are recognized as revenue as the fees are earned.</w:t>
      </w:r>
    </w:p>
    <w:p>
      <w:pPr>
        <w:spacing w:after="0" w:line="201" w:lineRule="exact"/>
        <w:rPr>
          <w:sz w:val="20"/>
          <w:szCs w:val="20"/>
          <w:color w:val="auto"/>
        </w:rPr>
      </w:pPr>
    </w:p>
    <w:p>
      <w:pPr>
        <w:ind w:left="920" w:hanging="480"/>
        <w:spacing w:after="0"/>
        <w:tabs>
          <w:tab w:leader="none" w:pos="9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Retail Revenue Recognition</w:t>
      </w:r>
    </w:p>
    <w:p>
      <w:pPr>
        <w:spacing w:after="0" w:line="27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Net retail sales are net of discounts, exclude sales tax, and are recognized at the time of sale. Shipping and handling costs billed to customers are included in net retail sales.</w:t>
      </w:r>
    </w:p>
    <w:p>
      <w:pPr>
        <w:spacing w:after="0" w:line="22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Revenues from the sale of gift cards are recognized at the time of redemption. Unredeemed gift cards are included in gift cards and customer deposits on the consolidated balance sheets. The company escheats a portion of unredeemed gift cards according to the escheatment regulations of the relevant authority that generally require remittance of the cost of merchandise portion of unredeemed gift cards over five years old. The difference between the value of gift cards and the amount escheated is recorded as income in the consolidated statement of operations.</w:t>
      </w:r>
    </w:p>
    <w:p>
      <w:pPr>
        <w:spacing w:after="0" w:line="22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 has a customer loyalty program, the Stuff Fur Stuff club, whereby guests enroll in the program and receive one point for every dollar and receive awards for various discounts on future purchases after acheiving defined point thresholds. An estimate of the obligation related to the program, based on historical redemption patterns, is recorded as deferred revenue and a reduction of net retail sales. The deferred revenue obligation is reduced, and a corresponding amount is recognized in net retail sales, in the amount of and at the time of redemption of the awards.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62" w:name="page63"/>
    <w:bookmarkEnd w:id="62"/>
    <w:p>
      <w:pPr>
        <w:ind w:right="80" w:firstLine="486"/>
        <w:spacing w:after="0" w:line="302" w:lineRule="auto"/>
        <w:rPr>
          <w:sz w:val="20"/>
          <w:szCs w:val="20"/>
          <w:color w:val="auto"/>
        </w:rPr>
      </w:pPr>
      <w:r>
        <w:rPr>
          <w:rFonts w:ascii="Arial" w:cs="Arial" w:eastAsia="Arial" w:hAnsi="Arial"/>
          <w:sz w:val="16"/>
          <w:szCs w:val="16"/>
          <w:color w:val="auto"/>
        </w:rPr>
        <w:t>For 2012, 2011 and 2010, historical rates for points converting into awards and ultimate award redemption were applied to actual points and awards outstanding at the respective balance sheet date to calculate the liability and corresponding adjustment to net retail sales. Management reviews these patterns and assesses the adequacy of the deferred revenue liability at the end of each fiscal quarter. Due to the estimates involved in these assessments, adjustments to the historical rates are generally made no more often than annually in order to allow time for more definite trends to emerge.</w:t>
      </w:r>
    </w:p>
    <w:p>
      <w:pPr>
        <w:spacing w:after="0" w:line="208"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Based on the assessment at the end of 2012, 2011 and 2010, the deferred revenue liability was adjusted downward by $0.5 million,$1.5 million and $4.3 million, respectively, with corresponding increases to net retail sales, and net income was increased by $0.5 million, $0.9 million and $2.6 million, respectively.</w:t>
      </w:r>
    </w:p>
    <w:p>
      <w:pPr>
        <w:spacing w:after="0" w:line="235" w:lineRule="exact"/>
        <w:rPr>
          <w:sz w:val="20"/>
          <w:szCs w:val="20"/>
          <w:color w:val="auto"/>
        </w:rPr>
      </w:pPr>
    </w:p>
    <w:p>
      <w:pPr>
        <w:ind w:left="920" w:hanging="480"/>
        <w:spacing w:after="0"/>
        <w:tabs>
          <w:tab w:leader="none" w:pos="9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Merchandise Sold</w:t>
      </w:r>
    </w:p>
    <w:p>
      <w:pPr>
        <w:spacing w:after="0" w:line="279"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Cost of merchandise sold includes the cost of the merchandise, including royalties paid to licensors of third party branded merchandise; store occupancy cost, including store depreciation and store asset impairment charges; cost of warehousing and distribution; packaging; stuffing; damages and shortages; and shipping and handling costs incurred in shipment to customers.</w:t>
      </w:r>
    </w:p>
    <w:p>
      <w:pPr>
        <w:spacing w:after="0" w:line="235" w:lineRule="exact"/>
        <w:rPr>
          <w:sz w:val="20"/>
          <w:szCs w:val="20"/>
          <w:color w:val="auto"/>
        </w:rPr>
      </w:pPr>
    </w:p>
    <w:p>
      <w:pPr>
        <w:ind w:left="920" w:hanging="480"/>
        <w:spacing w:after="0"/>
        <w:tabs>
          <w:tab w:leader="none" w:pos="9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General, and Administrative Expenses</w:t>
      </w:r>
    </w:p>
    <w:p>
      <w:pPr>
        <w:spacing w:after="0" w:line="27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w:t>
      </w:r>
    </w:p>
    <w:p>
      <w:pPr>
        <w:spacing w:after="0" w:line="241" w:lineRule="exact"/>
        <w:rPr>
          <w:sz w:val="20"/>
          <w:szCs w:val="20"/>
          <w:color w:val="auto"/>
        </w:rPr>
      </w:pPr>
    </w:p>
    <w:p>
      <w:pPr>
        <w:ind w:left="920" w:hanging="480"/>
        <w:spacing w:after="0"/>
        <w:tabs>
          <w:tab w:leader="none" w:pos="9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Store Preopening Expenses</w:t>
      </w:r>
    </w:p>
    <w:p>
      <w:pPr>
        <w:spacing w:after="0" w:line="27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Store preopening expenses, including store set-up, certain labor and hiring costs, and rental charges incurred prior to store openings are expensed as incurred.</w:t>
      </w:r>
    </w:p>
    <w:p>
      <w:pPr>
        <w:spacing w:after="0" w:line="224" w:lineRule="exact"/>
        <w:rPr>
          <w:sz w:val="20"/>
          <w:szCs w:val="20"/>
          <w:color w:val="auto"/>
        </w:rPr>
      </w:pPr>
    </w:p>
    <w:p>
      <w:pPr>
        <w:ind w:left="920" w:hanging="480"/>
        <w:spacing w:after="0"/>
        <w:tabs>
          <w:tab w:leader="none" w:pos="9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w:t>
      </w:r>
    </w:p>
    <w:p>
      <w:pPr>
        <w:spacing w:after="0" w:line="27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$23.0 million, $19.3 million and $18.5 million for fiscal years 2012, 2011 and 2010, respectively.</w:t>
      </w:r>
    </w:p>
    <w:p>
      <w:pPr>
        <w:spacing w:after="0" w:line="170" w:lineRule="exact"/>
        <w:rPr>
          <w:sz w:val="20"/>
          <w:szCs w:val="20"/>
          <w:color w:val="auto"/>
        </w:rPr>
      </w:pPr>
    </w:p>
    <w:p>
      <w:pPr>
        <w:ind w:left="920" w:hanging="480"/>
        <w:spacing w:after="0"/>
        <w:tabs>
          <w:tab w:leader="none" w:pos="9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Income taxes are accounted for using a balance sheet approach known as the asset and liability method. The asset and liability method accounts for deferred income taxes by applying the statutory tax rates in effect at the date of the consolidated balance sheets to differences between the book basis and the tax basis of assets and liabilities. Deferred taxes are reported on a jurisdictional basis. Noncurrent deferred tax assets are included in other assets, net and noncurrent deferred tax liabilities are included in other liabilities.</w:t>
      </w:r>
    </w:p>
    <w:p>
      <w:pPr>
        <w:spacing w:after="0" w:line="24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225" w:lineRule="exact"/>
        <w:rPr>
          <w:sz w:val="20"/>
          <w:szCs w:val="20"/>
          <w:color w:val="auto"/>
        </w:rPr>
      </w:pPr>
    </w:p>
    <w:p>
      <w:pPr>
        <w:ind w:right="560" w:firstLine="486"/>
        <w:spacing w:after="0" w:line="342" w:lineRule="auto"/>
        <w:rPr>
          <w:sz w:val="20"/>
          <w:szCs w:val="20"/>
          <w:color w:val="auto"/>
        </w:rPr>
      </w:pPr>
      <w:r>
        <w:rPr>
          <w:rFonts w:ascii="Arial" w:cs="Arial" w:eastAsia="Arial" w:hAnsi="Arial"/>
          <w:sz w:val="16"/>
          <w:szCs w:val="16"/>
          <w:color w:val="auto"/>
        </w:rPr>
        <w:t>The Company accounts for its total liability for uncertain tax positions according to the provisions of ASC section 740-10-25. The Company recognizes estimated interest and penalties related to uncertain tax positions in income tax expense. See Note 9—Income Taxes for further discussion.</w:t>
      </w:r>
    </w:p>
    <w:p>
      <w:pPr>
        <w:spacing w:after="0" w:line="178" w:lineRule="exact"/>
        <w:rPr>
          <w:sz w:val="20"/>
          <w:szCs w:val="20"/>
          <w:color w:val="auto"/>
        </w:rPr>
      </w:pPr>
    </w:p>
    <w:p>
      <w:pPr>
        <w:ind w:left="920" w:hanging="480"/>
        <w:spacing w:after="0"/>
        <w:tabs>
          <w:tab w:leader="none" w:pos="9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(Loss) Per Share</w:t>
      </w:r>
    </w:p>
    <w:p>
      <w:pPr>
        <w:spacing w:after="0" w:line="27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Under the two-class method, basic earnings (loss) per share is determined by dividing net income or loss allocated to common stockholders by the weighted average number of common shares outstanding during the period. Diluted earnings or loss per share reflects the potential dilution that could occur if options to issue common stock were exercised. In periods in which the inclusion of such instruments is anti-dilutive, the effect of such securities is not given consideration.</w:t>
      </w:r>
    </w:p>
    <w:p>
      <w:pPr>
        <w:spacing w:after="0" w:line="241" w:lineRule="exact"/>
        <w:rPr>
          <w:sz w:val="20"/>
          <w:szCs w:val="20"/>
          <w:color w:val="auto"/>
        </w:rPr>
      </w:pPr>
    </w:p>
    <w:p>
      <w:pPr>
        <w:ind w:left="920" w:hanging="480"/>
        <w:spacing w:after="0"/>
        <w:tabs>
          <w:tab w:leader="none" w:pos="9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 has share-based compensation plans covering the majority of its management groups and its Board of Directors. The Company accounts for share-based payments utilizing the fair value recognition provisions of ASC section 718. The Company recognizes compensation cost for equity awards over the requisite service period for the entire award. See Note 13 – Stock Incentive Plans.</w:t>
      </w:r>
    </w:p>
    <w:p>
      <w:pPr>
        <w:spacing w:after="0" w:line="235"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For fiscal 2012, 2011 and 2010, selling, general and administrative expense includes $3.6 million, $4.6 million and $4.8 million, respectively, of stock-based compensation expense. As of December 29, 2012, there was $4.3 million of total unrecognized compensation expense related to non-vested restricted stock awards and options which is expected to be recognized over a weighted-average period of 1.5 years.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626" w:gutter="0" w:footer="0" w:header="0"/>
        </w:sectPr>
      </w:pPr>
    </w:p>
    <w:bookmarkStart w:id="63" w:name="page64"/>
    <w:bookmarkEnd w:id="63"/>
    <w:p>
      <w:pPr>
        <w:ind w:left="920" w:hanging="480"/>
        <w:spacing w:after="0"/>
        <w:tabs>
          <w:tab w:leader="none" w:pos="92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Income (Loss)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Comprehensive income (loss) is comprised of net income or loss and foreign currency translation adjustments.</w:t>
      </w:r>
    </w:p>
    <w:p>
      <w:pPr>
        <w:spacing w:after="0" w:line="279" w:lineRule="exact"/>
        <w:rPr>
          <w:sz w:val="20"/>
          <w:szCs w:val="20"/>
          <w:color w:val="auto"/>
        </w:rPr>
      </w:pPr>
    </w:p>
    <w:p>
      <w:pPr>
        <w:ind w:left="920" w:hanging="480"/>
        <w:spacing w:after="0"/>
        <w:tabs>
          <w:tab w:leader="none" w:pos="92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79"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For purposes of financial reporting, management has determined that the fair value of financial instruments, including cash and cash equivalents, receivables, accounts payable and accrued expenses, approximates book value at December 29, 2012 and December 31, 2011.</w:t>
      </w:r>
    </w:p>
    <w:p>
      <w:pPr>
        <w:spacing w:after="0" w:line="201" w:lineRule="exact"/>
        <w:rPr>
          <w:sz w:val="20"/>
          <w:szCs w:val="20"/>
          <w:color w:val="auto"/>
        </w:rPr>
      </w:pPr>
    </w:p>
    <w:p>
      <w:pPr>
        <w:ind w:left="920" w:hanging="480"/>
        <w:spacing w:after="0"/>
        <w:tabs>
          <w:tab w:leader="none" w:pos="9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w:t>
      </w:r>
    </w:p>
    <w:p>
      <w:pPr>
        <w:spacing w:after="0" w:line="2"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significantly. Significant items subject to such estimates and assumptions include the valuation of long-lived assets, including goodwill, trade credits and deferred income tax assets, inventories, and the determination of deferred revenue under the Company’s customer loyalty program.</w:t>
      </w:r>
    </w:p>
    <w:p>
      <w:pPr>
        <w:spacing w:after="0" w:line="216" w:lineRule="exact"/>
        <w:rPr>
          <w:sz w:val="20"/>
          <w:szCs w:val="20"/>
          <w:color w:val="auto"/>
        </w:rPr>
      </w:pPr>
    </w:p>
    <w:p>
      <w:pPr>
        <w:ind w:left="920" w:hanging="480"/>
        <w:spacing w:after="0"/>
        <w:tabs>
          <w:tab w:leader="none" w:pos="92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Tax Policy</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79" w:lineRule="exact"/>
        <w:rPr>
          <w:sz w:val="20"/>
          <w:szCs w:val="20"/>
          <w:color w:val="auto"/>
        </w:rPr>
      </w:pPr>
    </w:p>
    <w:p>
      <w:pPr>
        <w:ind w:left="920" w:hanging="480"/>
        <w:spacing w:after="0"/>
        <w:tabs>
          <w:tab w:leader="none" w:pos="92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79"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years. Translation adjustments are reported in accumulated other comprehensive income, a separate component of stockholders’ equity.</w:t>
      </w:r>
    </w:p>
    <w:p>
      <w:pPr>
        <w:spacing w:after="0" w:line="235" w:lineRule="exact"/>
        <w:rPr>
          <w:sz w:val="20"/>
          <w:szCs w:val="20"/>
          <w:color w:val="auto"/>
        </w:rPr>
      </w:pPr>
    </w:p>
    <w:p>
      <w:pPr>
        <w:ind w:left="920" w:hanging="480"/>
        <w:spacing w:after="0"/>
        <w:tabs>
          <w:tab w:leader="none" w:pos="9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Affiliate</w:t>
      </w:r>
    </w:p>
    <w:p>
      <w:pPr>
        <w:spacing w:after="0" w:line="279"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Company holds a minority interest in Ridemakerz, LLC of approximately 21%, which is accounted for under the equity method. Ridemakerz has developed a wholesale toy product line and selectively operates interactive retail stores, primarily in tourist locations that allow children and families to build and customize their own personalized cars. In 2009, the carrying value of this investment was reduced to $-0-. In 2012, certain investors exercised a put option on 1.25 million shares, requiring an additional investment of $0.5 million, which was immediately impaired and is included in selling general and administrative expenses as a component of net loss before income taxes in the Retail segment. No income or loss allocations, impairments or other charges related to Ridemakerz were recorded in fiscal 2011 or 2010. Under the current agreements, the Company could, at its discretion, own up to approximately 28% of fully diluted equity in Ridemakerz. The Company has no further obligations relating to its investment in Ridemakerz.</w:t>
      </w:r>
    </w:p>
    <w:p>
      <w:pPr>
        <w:spacing w:after="0" w:line="217"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Assets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29,</w:t>
            </w:r>
          </w:p>
        </w:tc>
        <w:tc>
          <w:tcPr>
            <w:tcW w:w="1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shd w:val="clear" w:color="auto" w:fill="C0FFFF"/>
          </w:tcPr>
          <w:p>
            <w:pPr>
              <w:spacing w:after="0"/>
              <w:rPr>
                <w:sz w:val="20"/>
                <w:szCs w:val="20"/>
                <w:color w:val="auto"/>
              </w:rPr>
            </w:pPr>
            <w:r>
              <w:rPr>
                <w:rFonts w:ascii="Arial" w:cs="Arial" w:eastAsia="Arial" w:hAnsi="Arial"/>
                <w:sz w:val="18"/>
                <w:szCs w:val="18"/>
                <w:color w:val="auto"/>
              </w:rPr>
              <w:t>Prepaid rent</w:t>
            </w:r>
          </w:p>
        </w:tc>
        <w:tc>
          <w:tcPr>
            <w:tcW w:w="374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8,736</w:t>
            </w:r>
          </w:p>
        </w:tc>
        <w:tc>
          <w:tcPr>
            <w:tcW w:w="4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7,745</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Prepaid income taxes</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w:t>
            </w:r>
          </w:p>
        </w:tc>
        <w:tc>
          <w:tcPr>
            <w:tcW w:w="350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5,480</w:t>
            </w:r>
          </w:p>
        </w:tc>
        <w:tc>
          <w:tcPr>
            <w:tcW w:w="16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8,139</w:t>
            </w:r>
          </w:p>
        </w:tc>
        <w:tc>
          <w:tcPr>
            <w:tcW w:w="80" w:type="dxa"/>
            <w:vAlign w:val="bottom"/>
            <w:tcBorders>
              <w:bottom w:val="single" w:sz="8" w:color="C0FFFF"/>
            </w:tcBorders>
            <w:shd w:val="clear" w:color="auto" w:fill="C0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14,216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17,854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500" w:type="dxa"/>
            <w:vAlign w:val="bottom"/>
            <w:vMerge w:val="restart"/>
          </w:tcPr>
          <w:p>
            <w:pPr>
              <w:jc w:val="right"/>
              <w:ind w:right="1770"/>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1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40" w:type="dxa"/>
            <w:vAlign w:val="bottom"/>
            <w:gridSpan w:val="3"/>
          </w:tcPr>
          <w:p>
            <w:pPr>
              <w:ind w:left="360"/>
              <w:spacing w:after="0"/>
              <w:rPr>
                <w:sz w:val="20"/>
                <w:szCs w:val="20"/>
                <w:color w:val="auto"/>
              </w:rPr>
            </w:pPr>
            <w:r>
              <w:rPr>
                <w:rFonts w:ascii="Arial" w:cs="Arial" w:eastAsia="Arial" w:hAnsi="Arial"/>
                <w:sz w:val="18"/>
                <w:szCs w:val="18"/>
                <w:b w:val="1"/>
                <w:bCs w:val="1"/>
                <w:color w:val="auto"/>
              </w:rPr>
              <w:t>December 29,</w:t>
            </w:r>
          </w:p>
        </w:tc>
        <w:tc>
          <w:tcPr>
            <w:tcW w:w="2300" w:type="dxa"/>
            <w:vAlign w:val="bottom"/>
            <w:gridSpan w:val="3"/>
          </w:tcPr>
          <w:p>
            <w:pPr>
              <w:ind w:left="3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2012</w:t>
            </w:r>
          </w:p>
        </w:tc>
        <w:tc>
          <w:tcPr>
            <w:tcW w:w="10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2011</w:t>
            </w:r>
          </w:p>
        </w:tc>
        <w:tc>
          <w:tcPr>
            <w:tcW w:w="5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0FF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2,261</w:t>
            </w:r>
          </w:p>
        </w:tc>
        <w:tc>
          <w:tcPr>
            <w:tcW w:w="1080" w:type="dxa"/>
            <w:vAlign w:val="bottom"/>
            <w:shd w:val="clear" w:color="auto" w:fill="C0FFFF"/>
          </w:tcPr>
          <w:p>
            <w:pPr>
              <w:spacing w:after="0"/>
              <w:rPr>
                <w:sz w:val="18"/>
                <w:szCs w:val="18"/>
                <w:color w:val="auto"/>
              </w:rPr>
            </w:pP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0FFFF"/>
          </w:tcPr>
          <w:p>
            <w:pPr>
              <w:jc w:val="right"/>
              <w:ind w:right="540"/>
              <w:spacing w:after="0"/>
              <w:rPr>
                <w:sz w:val="20"/>
                <w:szCs w:val="20"/>
                <w:color w:val="auto"/>
              </w:rPr>
            </w:pPr>
            <w:r>
              <w:rPr>
                <w:rFonts w:ascii="Arial" w:cs="Arial" w:eastAsia="Arial" w:hAnsi="Arial"/>
                <w:sz w:val="18"/>
                <w:szCs w:val="18"/>
                <w:color w:val="auto"/>
              </w:rPr>
              <w:t>2,261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40,516</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39,306</w:t>
            </w:r>
          </w:p>
        </w:tc>
      </w:tr>
      <w:tr>
        <w:trPr>
          <w:trHeight w:val="216"/>
        </w:trPr>
        <w:tc>
          <w:tcPr>
            <w:tcW w:w="20" w:type="dxa"/>
            <w:vAlign w:val="bottom"/>
          </w:tcPr>
          <w:p>
            <w:pPr>
              <w:spacing w:after="0"/>
              <w:rPr>
                <w:sz w:val="18"/>
                <w:szCs w:val="18"/>
                <w:color w:val="auto"/>
              </w:rPr>
            </w:pPr>
          </w:p>
        </w:tc>
        <w:tc>
          <w:tcPr>
            <w:tcW w:w="3980" w:type="dxa"/>
            <w:vAlign w:val="bottom"/>
            <w:shd w:val="clear" w:color="auto" w:fill="C0FFFF"/>
          </w:tcPr>
          <w:p>
            <w:pPr>
              <w:spacing w:after="0"/>
              <w:rPr>
                <w:sz w:val="20"/>
                <w:szCs w:val="20"/>
                <w:color w:val="auto"/>
              </w:rPr>
            </w:pPr>
            <w:r>
              <w:rPr>
                <w:rFonts w:ascii="Arial" w:cs="Arial" w:eastAsia="Arial" w:hAnsi="Arial"/>
                <w:sz w:val="18"/>
                <w:szCs w:val="18"/>
                <w:color w:val="auto"/>
              </w:rPr>
              <w:t>Computer hardware</w:t>
            </w:r>
          </w:p>
        </w:tc>
        <w:tc>
          <w:tcPr>
            <w:tcW w:w="64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23,120</w:t>
            </w:r>
          </w:p>
        </w:tc>
        <w:tc>
          <w:tcPr>
            <w:tcW w:w="108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1660" w:type="dxa"/>
            <w:vAlign w:val="bottom"/>
            <w:gridSpan w:val="2"/>
            <w:shd w:val="clear" w:color="auto" w:fill="C0FFFF"/>
          </w:tcPr>
          <w:p>
            <w:pPr>
              <w:jc w:val="right"/>
              <w:ind w:right="540"/>
              <w:spacing w:after="0"/>
              <w:rPr>
                <w:sz w:val="20"/>
                <w:szCs w:val="20"/>
                <w:color w:val="auto"/>
              </w:rPr>
            </w:pPr>
            <w:r>
              <w:rPr>
                <w:rFonts w:ascii="Arial" w:cs="Arial" w:eastAsia="Arial" w:hAnsi="Arial"/>
                <w:sz w:val="18"/>
                <w:szCs w:val="18"/>
                <w:color w:val="auto"/>
              </w:rPr>
              <w:t>20,705</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Building</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14,970</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14,970</w:t>
            </w:r>
          </w:p>
        </w:tc>
      </w:tr>
      <w:tr>
        <w:trPr>
          <w:trHeight w:val="216"/>
        </w:trPr>
        <w:tc>
          <w:tcPr>
            <w:tcW w:w="20" w:type="dxa"/>
            <w:vAlign w:val="bottom"/>
          </w:tcPr>
          <w:p>
            <w:pPr>
              <w:spacing w:after="0"/>
              <w:rPr>
                <w:sz w:val="18"/>
                <w:szCs w:val="18"/>
                <w:color w:val="auto"/>
              </w:rPr>
            </w:pPr>
          </w:p>
        </w:tc>
        <w:tc>
          <w:tcPr>
            <w:tcW w:w="3980" w:type="dxa"/>
            <w:vAlign w:val="bottom"/>
            <w:shd w:val="clear" w:color="auto" w:fill="C0FFFF"/>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136,402</w:t>
            </w:r>
          </w:p>
        </w:tc>
        <w:tc>
          <w:tcPr>
            <w:tcW w:w="108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1660" w:type="dxa"/>
            <w:vAlign w:val="bottom"/>
            <w:gridSpan w:val="2"/>
            <w:shd w:val="clear" w:color="auto" w:fill="C0FFFF"/>
          </w:tcPr>
          <w:p>
            <w:pPr>
              <w:jc w:val="right"/>
              <w:ind w:right="540"/>
              <w:spacing w:after="0"/>
              <w:rPr>
                <w:sz w:val="20"/>
                <w:szCs w:val="20"/>
                <w:color w:val="auto"/>
              </w:rPr>
            </w:pPr>
            <w:r>
              <w:rPr>
                <w:rFonts w:ascii="Arial" w:cs="Arial" w:eastAsia="Arial" w:hAnsi="Arial"/>
                <w:sz w:val="18"/>
                <w:szCs w:val="18"/>
                <w:color w:val="auto"/>
              </w:rPr>
              <w:t>137,352</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Computer software</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40,943</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35,326</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2,381</w:t>
            </w:r>
          </w:p>
        </w:tc>
        <w:tc>
          <w:tcPr>
            <w:tcW w:w="1080" w:type="dxa"/>
            <w:vAlign w:val="bottom"/>
            <w:tcBorders>
              <w:bottom w:val="single" w:sz="8" w:color="C0FFFF"/>
            </w:tcBorders>
            <w:shd w:val="clear" w:color="auto" w:fill="C0FFFF"/>
          </w:tcPr>
          <w:p>
            <w:pPr>
              <w:spacing w:after="0"/>
              <w:rPr>
                <w:sz w:val="19"/>
                <w:szCs w:val="19"/>
                <w:color w:val="auto"/>
              </w:rPr>
            </w:pPr>
          </w:p>
        </w:tc>
        <w:tc>
          <w:tcPr>
            <w:tcW w:w="64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2,543</w:t>
            </w:r>
          </w:p>
        </w:tc>
        <w:tc>
          <w:tcPr>
            <w:tcW w:w="54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260,593</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252,463</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189,134</w:t>
            </w:r>
          </w:p>
        </w:tc>
        <w:tc>
          <w:tcPr>
            <w:tcW w:w="1080" w:type="dxa"/>
            <w:vAlign w:val="bottom"/>
            <w:tcBorders>
              <w:bottom w:val="single" w:sz="8" w:color="C0FFFF"/>
            </w:tcBorders>
            <w:shd w:val="clear" w:color="auto" w:fill="C0FFFF"/>
          </w:tcPr>
          <w:p>
            <w:pPr>
              <w:spacing w:after="0"/>
              <w:rPr>
                <w:sz w:val="19"/>
                <w:szCs w:val="19"/>
                <w:color w:val="auto"/>
              </w:rPr>
            </w:pPr>
          </w:p>
        </w:tc>
        <w:tc>
          <w:tcPr>
            <w:tcW w:w="640" w:type="dxa"/>
            <w:vAlign w:val="bottom"/>
            <w:tcBorders>
              <w:bottom w:val="single" w:sz="8" w:color="auto"/>
            </w:tcBorders>
            <w:shd w:val="clear" w:color="auto" w:fill="C0FFFF"/>
          </w:tcPr>
          <w:p>
            <w:pPr>
              <w:spacing w:after="0"/>
              <w:rPr>
                <w:sz w:val="19"/>
                <w:szCs w:val="19"/>
                <w:color w:val="auto"/>
              </w:rPr>
            </w:pPr>
          </w:p>
        </w:tc>
        <w:tc>
          <w:tcPr>
            <w:tcW w:w="11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175,018</w:t>
            </w:r>
          </w:p>
        </w:tc>
        <w:tc>
          <w:tcPr>
            <w:tcW w:w="54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71,459</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77,445</w:t>
            </w: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2012, 2011 and 2010, depreciation expense was $20.4 million, $22.8 million and $24.9 million, respectively.</w:t>
      </w:r>
    </w:p>
    <w:p>
      <w:pPr>
        <w:spacing w:after="0" w:line="27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2012, the Company made the decision to close a number of stores. The Company considers a more likely than not assessment that an individual location will close as a triggering event to review the store asset group for recoverability. As a result of these reviews,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$0.9 million were recorded in fiscal 2012, which are included in selling, general and administrative expenses as a component of net loss before income taxes in the Retail segment. The inputs used to determine the fair value of the assets are Level 3 inputs as defined by ASC section 820-10. Any remaining net book value is depreciated over the shortened expected life.</w:t>
      </w:r>
    </w:p>
    <w:p>
      <w:pPr>
        <w:spacing w:after="0" w:line="221" w:lineRule="exact"/>
        <w:rPr>
          <w:sz w:val="20"/>
          <w:szCs w:val="20"/>
          <w:color w:val="auto"/>
        </w:rPr>
      </w:pPr>
    </w:p>
    <w:p>
      <w:pPr>
        <w:ind w:right="220" w:firstLine="486"/>
        <w:spacing w:after="0" w:line="290" w:lineRule="auto"/>
        <w:rPr>
          <w:sz w:val="20"/>
          <w:szCs w:val="20"/>
          <w:color w:val="auto"/>
        </w:rPr>
      </w:pPr>
      <w:r>
        <w:rPr>
          <w:rFonts w:ascii="Arial" w:cs="Arial" w:eastAsia="Arial" w:hAnsi="Arial"/>
          <w:sz w:val="16"/>
          <w:szCs w:val="16"/>
          <w:color w:val="auto"/>
        </w:rPr>
        <w:t>Also during 2012, the Company reviewed the operating performance and forecasts of future performance for the stores in its Retail segment. As a result of that review, it was determined that several stores would not be able to recover the carrying value of certain store leasehold improvements through expected undiscounted cash flows over the remaining life of the related assets. Accordingly, the carrying value of the assets was reduced to fair value, calculated as the net present value of estimated future cash flows for each asset group, and asset impairment charges of $1.4 million were recorded in the fourth quarter of fiscal 2012, which are included in cost of merchandise sold as a component of net loss before income taxes in the Retail segment. The inputs used to determine the fair value of the assets are Level 3 inputs as defined by ASC section 820-10. In the event that we decide to close any or all of these stores in the future, we may be required to record additional impairments, lease termination charges, severance charges and other charges. The Company recorded asset impairment charges of $0.4 million in the fourth quarter of fiscal 2011 and $0.6 million in the fourth quarter of fiscal 2010.</w:t>
      </w:r>
    </w:p>
    <w:p>
      <w:pPr>
        <w:spacing w:after="0" w:line="216"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8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Goodwill is accounted for in accordance with ASC Section 350-20 and is reported as a component of the Company’s Retail segment. The following table summarizes the Company’s goodwill (in thousands):</w:t>
      </w:r>
    </w:p>
    <w:p>
      <w:pPr>
        <w:sectPr>
          <w:pgSz w:w="11900" w:h="16838" w:orient="portrait"/>
          <w:cols w:equalWidth="0" w:num="1">
            <w:col w:w="11340"/>
          </w:cols>
          <w:pgMar w:left="240" w:top="540" w:right="319" w:bottom="1440" w:gutter="0" w:footer="0" w:header="0"/>
        </w:sect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Effect of foreign currency translation</w:t>
      </w:r>
    </w:p>
    <w:p>
      <w:pPr>
        <w:spacing w:after="0" w:line="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Effect of foreign currency translation</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29, 2012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700" w:hanging="691"/>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32,407</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wp:posOffset>
            </wp:positionV>
            <wp:extent cx="7543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54380" cy="17145"/>
                    </a:xfrm>
                    <a:prstGeom prst="rect">
                      <a:avLst/>
                    </a:prstGeom>
                    <a:noFill/>
                  </pic:spPr>
                </pic:pic>
              </a:graphicData>
            </a:graphic>
          </wp:anchor>
        </w:drawing>
      </w:r>
    </w:p>
    <w:p>
      <w:pPr>
        <w:spacing w:after="0" w:line="13"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32,306</w:t>
      </w:r>
    </w:p>
    <w:p>
      <w:pPr>
        <w:spacing w:after="0" w:line="23"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1,364</w:t>
      </w:r>
    </w:p>
    <w:p>
      <w:pPr>
        <w:spacing w:after="0" w:line="9"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(33,670)</w:t>
      </w:r>
    </w:p>
    <w:p>
      <w:pPr>
        <w:spacing w:after="0" w:line="22" w:lineRule="exact"/>
        <w:rPr>
          <w:sz w:val="20"/>
          <w:szCs w:val="20"/>
          <w:color w:val="auto"/>
        </w:rPr>
      </w:pPr>
    </w:p>
    <w:p>
      <w:pPr>
        <w:ind w:left="1140" w:hanging="1131"/>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543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40640</wp:posOffset>
            </wp:positionV>
            <wp:extent cx="7543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340"/>
          </w:cols>
          <w:pgMar w:left="240" w:top="540" w:right="319" w:bottom="1440" w:gutter="0" w:footer="0" w:header="0"/>
          <w:type w:val="continuous"/>
        </w:sectPr>
      </w:pPr>
    </w:p>
    <w:p>
      <w:pPr>
        <w:spacing w:after="0" w:line="133"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Due primarily to the decline in the market value of the Company’s share price at the impairment testing date of December 29, 2012, the fair value related to the UK reporting unit was less than its carrying amount which resulted in an impairment charge of $33.7 million. This represented the entire balance of the Company’s goodwill.</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tax-deductible goodwill as of December 29, 2012 or December 31, 2011.</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40" w:right="319" w:bottom="1440" w:gutter="0" w:footer="0" w:header="0"/>
          <w:type w:val="continuous"/>
        </w:sectPr>
      </w:pPr>
    </w:p>
    <w:bookmarkStart w:id="65" w:name="page66"/>
    <w:bookmarkEnd w:id="65"/>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Intangible Assets</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intangible assets consist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0FFFF"/>
          </w:tcPr>
          <w:p>
            <w:pPr>
              <w:spacing w:after="0"/>
              <w:rPr>
                <w:sz w:val="20"/>
                <w:szCs w:val="20"/>
                <w:color w:val="auto"/>
              </w:rPr>
            </w:pPr>
            <w:r>
              <w:rPr>
                <w:rFonts w:ascii="Arial" w:cs="Arial" w:eastAsia="Arial" w:hAnsi="Arial"/>
                <w:sz w:val="18"/>
                <w:szCs w:val="18"/>
                <w:color w:val="auto"/>
              </w:rPr>
              <w:t>Trademarks and other intellectual property</w:t>
            </w:r>
          </w:p>
        </w:tc>
        <w:tc>
          <w:tcPr>
            <w:tcW w:w="19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12,151</w:t>
            </w:r>
          </w:p>
        </w:tc>
        <w:tc>
          <w:tcPr>
            <w:tcW w:w="4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11,516</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11,518</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shd w:val="clear" w:color="auto" w:fill="C0FFFF"/>
          </w:tcPr>
          <w:p>
            <w:pPr>
              <w:ind w:left="260"/>
              <w:spacing w:after="0"/>
              <w:rPr>
                <w:sz w:val="20"/>
                <w:szCs w:val="20"/>
                <w:color w:val="auto"/>
              </w:rPr>
            </w:pPr>
            <w:r>
              <w:rPr>
                <w:rFonts w:ascii="Arial" w:cs="Arial" w:eastAsia="Arial" w:hAnsi="Arial"/>
                <w:sz w:val="18"/>
                <w:szCs w:val="18"/>
                <w:color w:val="auto"/>
              </w:rPr>
              <w:t>Total, net</w:t>
            </w:r>
          </w:p>
        </w:tc>
        <w:tc>
          <w:tcPr>
            <w:tcW w:w="19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633</w:t>
            </w:r>
          </w:p>
        </w:tc>
        <w:tc>
          <w:tcPr>
            <w:tcW w:w="4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0FFFF"/>
            </w:tcBorders>
            <w:shd w:val="clear" w:color="auto" w:fill="C0FFFF"/>
          </w:tcPr>
          <w:p>
            <w:pPr>
              <w:spacing w:after="0" w:line="20" w:lineRule="exact"/>
              <w:rPr>
                <w:sz w:val="1"/>
                <w:szCs w:val="1"/>
                <w:color w:val="auto"/>
              </w:rPr>
            </w:pPr>
          </w:p>
        </w:tc>
        <w:tc>
          <w:tcPr>
            <w:tcW w:w="172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Trademarks and intellectual property are amortized over three years. Amortization expense related to trademarks and intellectual property was $0.7 million, $0.9 million and $1.4 million in 2012, 2011 and 2010, respectively.</w:t>
      </w:r>
    </w:p>
    <w:p>
      <w:pPr>
        <w:spacing w:after="0" w:line="220"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28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2010, certain other non-current assets were obtained through a series of wholesale transactions whereby the Company exchanged $6.4 million of inventory, at cost, with a third-party vendor for $4.9 million of credits for future media purchases and $1.5 million in cash. The transaction was accounted for based upon the fair values of the assets involved in the transaction. In accordance with Accounting Standards Codification (ASC) Section 845-10, in an exchange transaction for trade credits, the fair value of the asset being surrendered cannot exceed its carrying value, meaning that the sale of the inventory was recorded at its cost in the Commercial segment. The trade credits expire in 2015.</w:t>
      </w:r>
    </w:p>
    <w:p>
      <w:pPr>
        <w:spacing w:after="0" w:line="24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Company evaluated its trade credits to determine if an impairment existed at December 29, 2012. Based on current utilization expectations, the Company determined that the full value of the asset was not recoverable. Accordingly, the carrying value of the trade credits was reduced to fair value, calculated as the expected present value of estimated future utilization. An impairment charge of $2.2 million was recorded in the fiscal 2012 fourth quarter and is included in selling, general and administrative expenses as a component of net loss before income taxes in the Commercial segment. The inputs used to determine the fair value of the asset are level 3 inputs as defined by ASC 820-10. As of December 29, 2012 and December 31, 2011, $0.7 million was included in prepaid expenses and other current assets and $1.2 million and $3.9 million, respectively, was included in other assets, net, related to these credits.</w:t>
      </w:r>
    </w:p>
    <w:p>
      <w:pPr>
        <w:spacing w:after="0" w:line="215"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80" w:type="dxa"/>
            <w:vAlign w:val="bottom"/>
            <w:shd w:val="clear" w:color="auto" w:fill="C0FFFF"/>
          </w:tcPr>
          <w:p>
            <w:pPr>
              <w:spacing w:after="0"/>
              <w:rPr>
                <w:sz w:val="20"/>
                <w:szCs w:val="20"/>
                <w:color w:val="auto"/>
              </w:rPr>
            </w:pPr>
            <w:r>
              <w:rPr>
                <w:rFonts w:ascii="Arial" w:cs="Arial" w:eastAsia="Arial" w:hAnsi="Arial"/>
                <w:sz w:val="18"/>
                <w:szCs w:val="18"/>
                <w:color w:val="auto"/>
              </w:rPr>
              <w:t>Accrued wages, bonuses and related expenses</w:t>
            </w:r>
          </w:p>
        </w:tc>
        <w:tc>
          <w:tcPr>
            <w:tcW w:w="28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5,455</w:t>
            </w:r>
          </w:p>
        </w:tc>
        <w:tc>
          <w:tcPr>
            <w:tcW w:w="4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5,200</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Sales tax payable</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0FFFF"/>
          </w:tcPr>
          <w:p>
            <w:pPr>
              <w:spacing w:after="0"/>
              <w:rPr>
                <w:sz w:val="20"/>
                <w:szCs w:val="20"/>
                <w:color w:val="auto"/>
              </w:rPr>
            </w:pPr>
            <w:r>
              <w:rPr>
                <w:rFonts w:ascii="Arial" w:cs="Arial" w:eastAsia="Arial" w:hAnsi="Arial"/>
                <w:sz w:val="18"/>
                <w:szCs w:val="18"/>
                <w:color w:val="auto"/>
              </w:rPr>
              <w:t>Accrued rent and related expenses</w:t>
            </w:r>
          </w:p>
        </w:tc>
        <w:tc>
          <w:tcPr>
            <w:tcW w:w="26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880" w:type="dxa"/>
            <w:vAlign w:val="bottom"/>
            <w:shd w:val="clear" w:color="auto" w:fill="C0FFFF"/>
          </w:tcPr>
          <w:p>
            <w:pPr>
              <w:spacing w:after="0"/>
              <w:rPr>
                <w:sz w:val="22"/>
                <w:szCs w:val="22"/>
                <w:color w:val="auto"/>
              </w:rPr>
            </w:pPr>
          </w:p>
        </w:tc>
        <w:tc>
          <w:tcPr>
            <w:tcW w:w="28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11,570</w:t>
            </w:r>
          </w:p>
        </w:tc>
        <w:tc>
          <w:tcPr>
            <w:tcW w:w="4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12,128</w:t>
            </w:r>
          </w:p>
        </w:tc>
        <w:tc>
          <w:tcPr>
            <w:tcW w:w="80" w:type="dxa"/>
            <w:vAlign w:val="bottom"/>
            <w:shd w:val="clear" w:color="auto" w:fill="C0FF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1160" w:type="dxa"/>
            <w:vAlign w:val="bottom"/>
          </w:tcPr>
          <w:p>
            <w:pPr>
              <w:spacing w:after="0"/>
              <w:rPr>
                <w:sz w:val="24"/>
                <w:szCs w:val="24"/>
                <w:color w:val="auto"/>
              </w:rPr>
            </w:pPr>
          </w:p>
        </w:tc>
        <w:tc>
          <w:tcPr>
            <w:tcW w:w="3880" w:type="dxa"/>
            <w:vAlign w:val="bottom"/>
            <w:tcBorders>
              <w:top w:val="single" w:sz="8" w:color="C0FFFF"/>
            </w:tcBorders>
          </w:tcPr>
          <w:p>
            <w:pPr>
              <w:spacing w:after="0"/>
              <w:rPr>
                <w:sz w:val="24"/>
                <w:szCs w:val="24"/>
                <w:color w:val="auto"/>
              </w:rPr>
            </w:pPr>
          </w:p>
        </w:tc>
        <w:tc>
          <w:tcPr>
            <w:tcW w:w="2620" w:type="dxa"/>
            <w:vAlign w:val="bottom"/>
            <w:tcBorders>
              <w:top w:val="single" w:sz="8" w:color="C0FFFF"/>
            </w:tcBorders>
          </w:tcPr>
          <w:p>
            <w:pPr>
              <w:jc w:val="right"/>
              <w:ind w:right="1770"/>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0FF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66" w:name="page67"/>
    <w:bookmarkEnd w:id="66"/>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provision for income taxes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0FFFF"/>
          </w:tcPr>
          <w:p>
            <w:pPr>
              <w:spacing w:after="0"/>
              <w:rPr>
                <w:sz w:val="20"/>
                <w:szCs w:val="20"/>
                <w:color w:val="auto"/>
              </w:rPr>
            </w:pPr>
            <w:r>
              <w:rPr>
                <w:rFonts w:ascii="Arial" w:cs="Arial" w:eastAsia="Arial" w:hAnsi="Arial"/>
                <w:sz w:val="18"/>
                <w:szCs w:val="18"/>
                <w:color w:val="auto"/>
              </w:rPr>
              <w:t>Current:</w:t>
            </w:r>
          </w:p>
        </w:tc>
        <w:tc>
          <w:tcPr>
            <w:tcW w:w="1200" w:type="dxa"/>
            <w:vAlign w:val="bottom"/>
            <w:shd w:val="clear" w:color="auto" w:fill="C0FFFF"/>
          </w:tcPr>
          <w:p>
            <w:pPr>
              <w:spacing w:after="0"/>
              <w:rPr>
                <w:sz w:val="18"/>
                <w:szCs w:val="18"/>
                <w:color w:val="auto"/>
              </w:rPr>
            </w:pPr>
          </w:p>
        </w:tc>
        <w:tc>
          <w:tcPr>
            <w:tcW w:w="820" w:type="dxa"/>
            <w:vAlign w:val="bottom"/>
            <w:tcBorders>
              <w:top w:val="single" w:sz="8" w:color="auto"/>
            </w:tcBorders>
            <w:shd w:val="clear" w:color="auto" w:fill="C0FFFF"/>
          </w:tcPr>
          <w:p>
            <w:pPr>
              <w:spacing w:after="0"/>
              <w:rPr>
                <w:sz w:val="18"/>
                <w:szCs w:val="18"/>
                <w:color w:val="auto"/>
              </w:rPr>
            </w:pPr>
          </w:p>
        </w:tc>
        <w:tc>
          <w:tcPr>
            <w:tcW w:w="380" w:type="dxa"/>
            <w:vAlign w:val="bottom"/>
            <w:tcBorders>
              <w:top w:val="single" w:sz="8" w:color="auto"/>
            </w:tcBorders>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260" w:type="dxa"/>
            <w:vAlign w:val="bottom"/>
            <w:tcBorders>
              <w:top w:val="single" w:sz="8" w:color="auto"/>
            </w:tcBorders>
            <w:shd w:val="clear" w:color="auto" w:fill="C0FFFF"/>
          </w:tcPr>
          <w:p>
            <w:pPr>
              <w:spacing w:after="0"/>
              <w:rPr>
                <w:sz w:val="18"/>
                <w:szCs w:val="18"/>
                <w:color w:val="auto"/>
              </w:rPr>
            </w:pPr>
          </w:p>
        </w:tc>
        <w:tc>
          <w:tcPr>
            <w:tcW w:w="940" w:type="dxa"/>
            <w:vAlign w:val="bottom"/>
            <w:tcBorders>
              <w:top w:val="single" w:sz="8" w:color="auto"/>
            </w:tcBorders>
            <w:shd w:val="clear" w:color="auto" w:fill="C0FFFF"/>
          </w:tcPr>
          <w:p>
            <w:pPr>
              <w:spacing w:after="0"/>
              <w:rPr>
                <w:sz w:val="18"/>
                <w:szCs w:val="18"/>
                <w:color w:val="auto"/>
              </w:rPr>
            </w:pP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94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Federal</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39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right w:val="single" w:sz="8" w:color="C0FFFF"/>
            </w:tcBorders>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Foreign</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0FFFF"/>
          </w:tcPr>
          <w:p>
            <w:pPr>
              <w:spacing w:after="0"/>
              <w:rPr>
                <w:sz w:val="20"/>
                <w:szCs w:val="20"/>
                <w:color w:val="auto"/>
              </w:rPr>
            </w:pPr>
            <w:r>
              <w:rPr>
                <w:rFonts w:ascii="Arial" w:cs="Arial" w:eastAsia="Arial" w:hAnsi="Arial"/>
                <w:sz w:val="18"/>
                <w:szCs w:val="18"/>
                <w:color w:val="auto"/>
              </w:rPr>
              <w:t>Deferred:</w:t>
            </w:r>
          </w:p>
        </w:tc>
        <w:tc>
          <w:tcPr>
            <w:tcW w:w="12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(1,965)</w:t>
            </w:r>
          </w:p>
        </w:tc>
      </w:tr>
      <w:tr>
        <w:trPr>
          <w:trHeight w:val="216"/>
        </w:trPr>
        <w:tc>
          <w:tcPr>
            <w:tcW w:w="20" w:type="dxa"/>
            <w:vAlign w:val="bottom"/>
          </w:tcPr>
          <w:p>
            <w:pPr>
              <w:spacing w:after="0"/>
              <w:rPr>
                <w:sz w:val="18"/>
                <w:szCs w:val="18"/>
                <w:color w:val="auto"/>
              </w:rPr>
            </w:pPr>
          </w:p>
        </w:tc>
        <w:tc>
          <w:tcPr>
            <w:tcW w:w="39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5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w w:val="99"/>
              </w:rPr>
              <w:t>(928)</w:t>
            </w:r>
          </w:p>
        </w:tc>
        <w:tc>
          <w:tcPr>
            <w:tcW w:w="26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2,281</w:t>
            </w: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(1,205)</w:t>
            </w: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Foreign</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0FFFF"/>
          </w:tcPr>
          <w:p>
            <w:pPr>
              <w:ind w:left="640"/>
              <w:spacing w:after="0"/>
              <w:rPr>
                <w:sz w:val="20"/>
                <w:szCs w:val="20"/>
                <w:color w:val="auto"/>
              </w:rPr>
            </w:pPr>
            <w:r>
              <w:rPr>
                <w:rFonts w:ascii="Arial" w:cs="Arial" w:eastAsia="Arial" w:hAnsi="Arial"/>
                <w:sz w:val="18"/>
                <w:szCs w:val="18"/>
                <w:color w:val="auto"/>
              </w:rPr>
              <w:t>Income tax expense (benefit)</w:t>
            </w:r>
          </w:p>
        </w:tc>
        <w:tc>
          <w:tcPr>
            <w:tcW w:w="2020" w:type="dxa"/>
            <w:vAlign w:val="bottom"/>
            <w:gridSpan w:val="2"/>
            <w:shd w:val="clear" w:color="auto" w:fill="C0FFFF"/>
          </w:tcPr>
          <w:p>
            <w:pPr>
              <w:jc w:val="right"/>
              <w:ind w:right="7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866</w:t>
            </w:r>
          </w:p>
        </w:tc>
        <w:tc>
          <w:tcPr>
            <w:tcW w:w="180" w:type="dxa"/>
            <w:vAlign w:val="bottom"/>
            <w:tcBorders>
              <w:right w:val="single" w:sz="8" w:color="C0FFFF"/>
            </w:tcBorders>
            <w:shd w:val="clear" w:color="auto" w:fill="C0FFFF"/>
          </w:tcPr>
          <w:p>
            <w:pPr>
              <w:spacing w:after="0"/>
              <w:rPr>
                <w:sz w:val="20"/>
                <w:szCs w:val="20"/>
                <w:color w:val="auto"/>
              </w:rPr>
            </w:pPr>
          </w:p>
        </w:tc>
        <w:tc>
          <w:tcPr>
            <w:tcW w:w="260" w:type="dxa"/>
            <w:vAlign w:val="bottom"/>
            <w:shd w:val="clear" w:color="auto" w:fill="C0FF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14,410</w:t>
            </w:r>
          </w:p>
        </w:tc>
        <w:tc>
          <w:tcPr>
            <w:tcW w:w="160" w:type="dxa"/>
            <w:vAlign w:val="bottom"/>
            <w:tcBorders>
              <w:right w:val="single" w:sz="8" w:color="C0FFFF"/>
            </w:tcBorders>
            <w:shd w:val="clear" w:color="auto" w:fill="C0FFFF"/>
          </w:tcPr>
          <w:p>
            <w:pPr>
              <w:spacing w:after="0"/>
              <w:rPr>
                <w:sz w:val="20"/>
                <w:szCs w:val="20"/>
                <w:color w:val="auto"/>
              </w:rPr>
            </w:pP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(2,576)</w:t>
            </w: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0FFFF"/>
            </w:tcBorders>
            <w:shd w:val="clear" w:color="auto" w:fill="C0FFFF"/>
          </w:tcPr>
          <w:p>
            <w:pPr>
              <w:spacing w:after="0" w:line="20" w:lineRule="exact"/>
              <w:rPr>
                <w:sz w:val="1"/>
                <w:szCs w:val="1"/>
                <w:color w:val="auto"/>
              </w:rPr>
            </w:pPr>
          </w:p>
        </w:tc>
        <w:tc>
          <w:tcPr>
            <w:tcW w:w="1200" w:type="dxa"/>
            <w:vAlign w:val="bottom"/>
            <w:tcBorders>
              <w:top w:val="single" w:sz="8" w:color="C0FFFF"/>
            </w:tcBorders>
            <w:shd w:val="clear" w:color="auto" w:fill="C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between the statutory federal income tax rate and the effective income tax rate is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color w:val="auto"/>
              </w:rPr>
              <w:t>Loss before income taxes</w:t>
            </w:r>
          </w:p>
        </w:tc>
        <w:tc>
          <w:tcPr>
            <w:tcW w:w="6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0FFFF"/>
            </w:tcBorders>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(48,429)</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0FFFF"/>
            </w:tcBorders>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(2,652)</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Statutory federal income tax rate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260"/>
              <w:spacing w:after="0"/>
              <w:rPr>
                <w:sz w:val="20"/>
                <w:szCs w:val="20"/>
                <w:color w:val="auto"/>
              </w:rPr>
            </w:pPr>
            <w:r>
              <w:rPr>
                <w:rFonts w:ascii="Arial" w:cs="Arial" w:eastAsia="Arial" w:hAnsi="Arial"/>
                <w:sz w:val="18"/>
                <w:szCs w:val="18"/>
                <w:color w:val="auto"/>
                <w:w w:val="98"/>
              </w:rPr>
              <w:t>Income tax expense (benefit) at statutory federal rate</w:t>
            </w:r>
          </w:p>
        </w:tc>
        <w:tc>
          <w:tcPr>
            <w:tcW w:w="4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220" w:type="dxa"/>
            <w:vAlign w:val="bottom"/>
            <w:tcBorders>
              <w:right w:val="single" w:sz="8" w:color="C0FFFF"/>
            </w:tcBorders>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(16,466)</w:t>
            </w:r>
          </w:p>
        </w:tc>
        <w:tc>
          <w:tcPr>
            <w:tcW w:w="240" w:type="dxa"/>
            <w:vAlign w:val="bottom"/>
            <w:shd w:val="clear" w:color="auto" w:fill="C0FFFF"/>
          </w:tcPr>
          <w:p>
            <w:pPr>
              <w:spacing w:after="0"/>
              <w:rPr>
                <w:sz w:val="18"/>
                <w:szCs w:val="18"/>
                <w:color w:val="auto"/>
              </w:rPr>
            </w:pPr>
          </w:p>
        </w:tc>
        <w:tc>
          <w:tcPr>
            <w:tcW w:w="1220" w:type="dxa"/>
            <w:vAlign w:val="bottom"/>
            <w:tcBorders>
              <w:right w:val="single" w:sz="8" w:color="C0FFFF"/>
            </w:tcBorders>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color w:val="auto"/>
              </w:rPr>
              <w:t>Permanent difference - Goodwill impairment</w:t>
            </w:r>
          </w:p>
        </w:tc>
        <w:tc>
          <w:tcPr>
            <w:tcW w:w="4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11,448</w:t>
            </w:r>
          </w:p>
        </w:tc>
        <w:tc>
          <w:tcPr>
            <w:tcW w:w="30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color w:val="auto"/>
              </w:rPr>
              <w:t>Effect of lower foreign taxes</w:t>
            </w:r>
          </w:p>
        </w:tc>
        <w:tc>
          <w:tcPr>
            <w:tcW w:w="4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220" w:type="dxa"/>
            <w:vAlign w:val="bottom"/>
            <w:tcBorders>
              <w:right w:val="single" w:sz="8" w:color="C0FFFF"/>
            </w:tcBorders>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Release of state tax reserves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color w:val="auto"/>
              </w:rPr>
              <w:t>Other items, net</w:t>
            </w:r>
          </w:p>
        </w:tc>
        <w:tc>
          <w:tcPr>
            <w:tcW w:w="4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748</w:t>
            </w:r>
          </w:p>
        </w:tc>
        <w:tc>
          <w:tcPr>
            <w:tcW w:w="30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0FFFF"/>
          </w:tcPr>
          <w:p>
            <w:pPr>
              <w:spacing w:after="0"/>
              <w:rPr>
                <w:sz w:val="2"/>
                <w:szCs w:val="2"/>
                <w:color w:val="auto"/>
              </w:rPr>
            </w:pPr>
          </w:p>
        </w:tc>
        <w:tc>
          <w:tcPr>
            <w:tcW w:w="4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C0FFFF"/>
            </w:tcBorders>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C0FFFF"/>
            </w:tcBorders>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866</w:t>
            </w:r>
          </w:p>
        </w:tc>
        <w:tc>
          <w:tcPr>
            <w:tcW w:w="3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14,410</w:t>
            </w:r>
          </w:p>
        </w:tc>
        <w:tc>
          <w:tcPr>
            <w:tcW w:w="3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22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0FFFF"/>
          </w:tcPr>
          <w:p>
            <w:pPr>
              <w:spacing w:after="0"/>
              <w:rPr>
                <w:sz w:val="18"/>
                <w:szCs w:val="18"/>
                <w:color w:val="auto"/>
              </w:rPr>
            </w:pPr>
          </w:p>
        </w:tc>
        <w:tc>
          <w:tcPr>
            <w:tcW w:w="122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(543.4)%</w:t>
            </w:r>
          </w:p>
        </w:tc>
        <w:tc>
          <w:tcPr>
            <w:tcW w:w="24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0FFFF"/>
          </w:tcPr>
          <w:p>
            <w:pPr>
              <w:spacing w:after="0"/>
              <w:rPr>
                <w:sz w:val="20"/>
                <w:szCs w:val="20"/>
                <w:color w:val="auto"/>
              </w:rPr>
            </w:pPr>
            <w:r>
              <w:rPr>
                <w:rFonts w:ascii="Arial" w:cs="Arial" w:eastAsia="Arial" w:hAnsi="Arial"/>
                <w:sz w:val="18"/>
                <w:szCs w:val="18"/>
                <w:color w:val="auto"/>
              </w:rPr>
              <w:t>Deferred tax assets:</w:t>
            </w:r>
          </w:p>
        </w:tc>
        <w:tc>
          <w:tcPr>
            <w:tcW w:w="30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4,676</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Accrued rents</w:t>
            </w:r>
          </w:p>
        </w:tc>
        <w:tc>
          <w:tcPr>
            <w:tcW w:w="30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1,884</w:t>
            </w: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2,414</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Intangible assets</w:t>
            </w:r>
          </w:p>
        </w:tc>
        <w:tc>
          <w:tcPr>
            <w:tcW w:w="30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1,799</w:t>
            </w: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1,837</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Carryforward of tax credits</w:t>
            </w:r>
          </w:p>
        </w:tc>
        <w:tc>
          <w:tcPr>
            <w:tcW w:w="30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4,585</w:t>
            </w: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2,251</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Receivable write-offs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Stock compensation</w:t>
            </w:r>
          </w:p>
        </w:tc>
        <w:tc>
          <w:tcPr>
            <w:tcW w:w="30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2,054</w:t>
            </w:r>
          </w:p>
        </w:tc>
        <w:tc>
          <w:tcPr>
            <w:tcW w:w="160" w:type="dxa"/>
            <w:vAlign w:val="bottom"/>
            <w:tcBorders>
              <w:bottom w:val="single" w:sz="8" w:color="C0FFFF"/>
              <w:right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1,925</w:t>
            </w:r>
          </w:p>
        </w:tc>
        <w:tc>
          <w:tcPr>
            <w:tcW w:w="80" w:type="dxa"/>
            <w:vAlign w:val="bottom"/>
            <w:tcBorders>
              <w:bottom w:val="single" w:sz="8" w:color="C0FFFF"/>
            </w:tcBorders>
            <w:shd w:val="clear" w:color="auto" w:fill="C0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Less: Valuation allowance</w:t>
            </w:r>
          </w:p>
        </w:tc>
        <w:tc>
          <w:tcPr>
            <w:tcW w:w="302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20,865</w:t>
            </w:r>
          </w:p>
        </w:tc>
        <w:tc>
          <w:tcPr>
            <w:tcW w:w="160" w:type="dxa"/>
            <w:vAlign w:val="bottom"/>
            <w:tcBorders>
              <w:bottom w:val="single" w:sz="8" w:color="C0FFFF"/>
              <w:right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16,126</w:t>
            </w:r>
          </w:p>
        </w:tc>
        <w:tc>
          <w:tcPr>
            <w:tcW w:w="80" w:type="dxa"/>
            <w:vAlign w:val="bottom"/>
            <w:tcBorders>
              <w:bottom w:val="single" w:sz="8" w:color="C0FFFF"/>
            </w:tcBorders>
            <w:shd w:val="clear" w:color="auto" w:fill="C0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3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0FFFF"/>
          </w:tcPr>
          <w:p>
            <w:pPr>
              <w:spacing w:after="0"/>
              <w:rPr>
                <w:sz w:val="18"/>
                <w:szCs w:val="18"/>
                <w:color w:val="auto"/>
              </w:rPr>
            </w:pPr>
          </w:p>
        </w:tc>
        <w:tc>
          <w:tcPr>
            <w:tcW w:w="30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Depreciation</w:t>
            </w:r>
          </w:p>
        </w:tc>
        <w:tc>
          <w:tcPr>
            <w:tcW w:w="30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(2,321)</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0FFFF"/>
          </w:tcPr>
          <w:p>
            <w:pPr>
              <w:ind w:left="480"/>
              <w:spacing w:after="0"/>
              <w:rPr>
                <w:sz w:val="20"/>
                <w:szCs w:val="20"/>
                <w:color w:val="auto"/>
              </w:rPr>
            </w:pPr>
            <w:r>
              <w:rPr>
                <w:rFonts w:ascii="Arial" w:cs="Arial" w:eastAsia="Arial" w:hAnsi="Arial"/>
                <w:sz w:val="18"/>
                <w:szCs w:val="18"/>
                <w:color w:val="auto"/>
              </w:rPr>
              <w:t>Total deferred tax liabilities</w:t>
            </w:r>
          </w:p>
        </w:tc>
        <w:tc>
          <w:tcPr>
            <w:tcW w:w="30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(2,321)</w:t>
            </w:r>
          </w:p>
        </w:tc>
        <w:tc>
          <w:tcPr>
            <w:tcW w:w="24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(1,925)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80" w:type="dxa"/>
            <w:vAlign w:val="bottom"/>
            <w:shd w:val="clear" w:color="auto" w:fill="C0FFFF"/>
          </w:tcPr>
          <w:p>
            <w:pPr>
              <w:spacing w:after="0"/>
              <w:rPr>
                <w:sz w:val="2"/>
                <w:szCs w:val="2"/>
                <w:color w:val="auto"/>
              </w:rPr>
            </w:pPr>
          </w:p>
        </w:tc>
        <w:tc>
          <w:tcPr>
            <w:tcW w:w="30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C0FFFF"/>
            </w:tcBorders>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Net deferred tax asset</w:t>
            </w:r>
          </w:p>
        </w:tc>
        <w:tc>
          <w:tcPr>
            <w:tcW w:w="3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20" w:type="dxa"/>
            <w:vAlign w:val="bottom"/>
            <w:vMerge w:val="restart"/>
          </w:tcPr>
          <w:p>
            <w:pPr>
              <w:jc w:val="right"/>
              <w:ind w:right="1770"/>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7" w:name="page68"/>
    <w:bookmarkEnd w:id="67"/>
    <w:p>
      <w:pPr>
        <w:ind w:right="20" w:firstLine="486"/>
        <w:spacing w:after="0" w:line="270" w:lineRule="auto"/>
        <w:rPr>
          <w:sz w:val="20"/>
          <w:szCs w:val="20"/>
          <w:color w:val="auto"/>
        </w:rPr>
      </w:pPr>
      <w:r>
        <w:rPr>
          <w:rFonts w:ascii="Arial" w:cs="Arial" w:eastAsia="Arial" w:hAnsi="Arial"/>
          <w:sz w:val="17"/>
          <w:szCs w:val="17"/>
          <w:color w:val="auto"/>
        </w:rPr>
        <w:t>We evaluate the realizability of our deferred tax assets on a quarterly basis. As the Company has incurred a cumulative book loss over the three year period ended December 31, 2011, management evaluated the realizability of the Company’s deferred tax assets. The Company performed an analysis of all available evidence, both positive and negative, consistent with the provisions of ASC 740-10-30-17. Some of the evidence evaluated includes our historical operating performance, the macroeconomic factors contributing to the recent fiscal loss for which the tax benefits have been fully realized by the carryback availability, and our forecast of future taxable income, including the availability of prudent and feasible tax planning strategies. The three-year cumulative loss is a significant piece of negative evidence and while management believes that it is primarily a result of losses that were primarily attributable to the significant economic conditions experienced in 2009 and not an indication of continuing operations, ASC 740 requires that objective historical evidence be given more weight than subjective evidence, such as forecasts of future income. Accordingly, in the fiscal 2011 fourth quarter, the Company recorded a $15.6 million valuation allowance on its US deferred tax assets.</w:t>
      </w:r>
    </w:p>
    <w:p>
      <w:pPr>
        <w:spacing w:after="0" w:line="23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valuation allowance on US deferred tax assets will continue to increase as a result of temporary differences between the financial reporting and tax basis of the assets and liabilities as well as the generation of net operating loss and tax credit carryforwards. Accordingly, the Company recorded an additional valuation allowance of $3.2 million on it US deferred tax assets in 2012. The Company also evaluated the realizability of deferred tax assets in foreign jurisdictions and , upon determining that it was more likely than not that the assets were not realizable, recorded a $1.5 million valuation allowance of foreign deferred tax assets in 2012.</w:t>
      </w:r>
    </w:p>
    <w:p>
      <w:pPr>
        <w:spacing w:after="0" w:line="24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Included in the deferred tax asset is $4.3 million related to federal, state and foreign net operating loss carryforwards for which a valuation allowance of $4.3 million has been recorded. US federal and foreign net operating loss carryforwards total $11.7 million and $4.3 million as of December 29, 2012, respectively, and do not expire. Also included in the deferred tax asset is $4.6 million related to tax credits for which a valuation allowance of $4.6 million has been recorded.</w:t>
      </w:r>
    </w:p>
    <w:p>
      <w:pPr>
        <w:spacing w:after="0" w:line="241" w:lineRule="exact"/>
        <w:rPr>
          <w:sz w:val="20"/>
          <w:szCs w:val="20"/>
          <w:color w:val="auto"/>
        </w:rPr>
      </w:pPr>
    </w:p>
    <w:p>
      <w:pPr>
        <w:ind w:right="120" w:firstLine="486"/>
        <w:spacing w:after="0" w:line="288" w:lineRule="auto"/>
        <w:rPr>
          <w:sz w:val="20"/>
          <w:szCs w:val="20"/>
          <w:color w:val="auto"/>
        </w:rPr>
      </w:pPr>
      <w:r>
        <w:rPr>
          <w:rFonts w:ascii="Arial" w:cs="Arial" w:eastAsia="Arial" w:hAnsi="Arial"/>
          <w:sz w:val="16"/>
          <w:szCs w:val="16"/>
          <w:color w:val="auto"/>
        </w:rPr>
        <w:t>The Company has not provided for United States income taxes on the accumulated but undistributed earnings of its non-U.S. subsidiaries of $9.0 million and $20.5 million as of December 29, 2012 and December 31, 2011, respectively, as the Company intends to indefinitely reinvest these undistributed earnings. However, if any portion were to be distributed, the related U.S. tax liability may be reduced by foreign income taxes paid on these</w:t>
      </w:r>
    </w:p>
    <w:p>
      <w:pPr>
        <w:ind w:right="180"/>
        <w:spacing w:after="0" w:line="261" w:lineRule="auto"/>
        <w:rPr>
          <w:sz w:val="20"/>
          <w:szCs w:val="20"/>
          <w:color w:val="auto"/>
        </w:rPr>
      </w:pPr>
      <w:r>
        <w:rPr>
          <w:rFonts w:ascii="Arial" w:cs="Arial" w:eastAsia="Arial" w:hAnsi="Arial"/>
          <w:sz w:val="18"/>
          <w:szCs w:val="18"/>
          <w:color w:val="auto"/>
        </w:rPr>
        <w:t>earnings. Determination of the unrecognized deferred tax liability related to these undistributed earnings is not practicable because of the complexities with its hypothetical calculation.</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0FFFF"/>
          </w:tcPr>
          <w:p>
            <w:pPr>
              <w:spacing w:after="0"/>
              <w:rPr>
                <w:sz w:val="20"/>
                <w:szCs w:val="20"/>
                <w:color w:val="auto"/>
              </w:rPr>
            </w:pPr>
            <w:r>
              <w:rPr>
                <w:rFonts w:ascii="Arial" w:cs="Arial" w:eastAsia="Arial" w:hAnsi="Arial"/>
                <w:sz w:val="18"/>
                <w:szCs w:val="18"/>
                <w:color w:val="auto"/>
              </w:rPr>
              <w:t>Balance as of January 1, 2011</w:t>
            </w:r>
          </w:p>
        </w:tc>
        <w:tc>
          <w:tcPr>
            <w:tcW w:w="940" w:type="dxa"/>
            <w:vAlign w:val="bottom"/>
            <w:shd w:val="clear" w:color="auto" w:fill="C0FF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263</w:t>
            </w:r>
          </w:p>
        </w:tc>
        <w:tc>
          <w:tcPr>
            <w:tcW w:w="54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60" w:type="dxa"/>
            <w:vAlign w:val="bottom"/>
            <w:shd w:val="clear" w:color="auto" w:fill="C0FFFF"/>
          </w:tcPr>
          <w:p>
            <w:pPr>
              <w:spacing w:after="0"/>
              <w:rPr>
                <w:sz w:val="20"/>
                <w:szCs w:val="20"/>
                <w:color w:val="auto"/>
              </w:rPr>
            </w:pPr>
            <w:r>
              <w:rPr>
                <w:rFonts w:ascii="Arial" w:cs="Arial" w:eastAsia="Arial" w:hAnsi="Arial"/>
                <w:sz w:val="18"/>
                <w:szCs w:val="18"/>
                <w:color w:val="auto"/>
              </w:rPr>
              <w:t>Balance as of December 31, 2011</w:t>
            </w:r>
          </w:p>
        </w:tc>
        <w:tc>
          <w:tcPr>
            <w:tcW w:w="940" w:type="dxa"/>
            <w:vAlign w:val="bottom"/>
            <w:shd w:val="clear" w:color="auto" w:fill="C0FFFF"/>
          </w:tcPr>
          <w:p>
            <w:pPr>
              <w:spacing w:after="0"/>
              <w:rPr>
                <w:sz w:val="18"/>
                <w:szCs w:val="18"/>
                <w:color w:val="auto"/>
              </w:rPr>
            </w:pPr>
          </w:p>
        </w:tc>
        <w:tc>
          <w:tcPr>
            <w:tcW w:w="6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213</w:t>
            </w:r>
          </w:p>
        </w:tc>
        <w:tc>
          <w:tcPr>
            <w:tcW w:w="54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9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Balance as of December 29, 2012</w:t>
            </w:r>
          </w:p>
        </w:tc>
        <w:tc>
          <w:tcPr>
            <w:tcW w:w="940" w:type="dxa"/>
            <w:vAlign w:val="bottom"/>
            <w:tcBorders>
              <w:bottom w:val="single" w:sz="8" w:color="auto"/>
            </w:tcBorders>
            <w:shd w:val="clear" w:color="auto" w:fill="C0FF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185</w:t>
            </w:r>
          </w:p>
        </w:tc>
        <w:tc>
          <w:tcPr>
            <w:tcW w:w="54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of December 29, 2012 and December 31, 2011, approximately $0.2 million of the unrecognized tax benefits would impact the Company’s provision for income taxes and effective tax rate if recognized. In the normal course of business, the Company provides for uncertain tax positions and the related interest and penalties and adjusts its unrecognized tax benefits and accrued interest and penalties accordingly. During the next fiscal year, unrecognized tax benefits are expected to remain unchanged.</w:t>
      </w:r>
    </w:p>
    <w:p>
      <w:pPr>
        <w:spacing w:after="0" w:line="241" w:lineRule="exact"/>
        <w:rPr>
          <w:sz w:val="20"/>
          <w:szCs w:val="20"/>
          <w:color w:val="auto"/>
        </w:rPr>
      </w:pPr>
    </w:p>
    <w:p>
      <w:pPr>
        <w:ind w:right="580" w:firstLine="486"/>
        <w:spacing w:after="0" w:line="308"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There was approximately $50,000 and $40,000 of accrued interest related to uncertain tax positions as of December 29, 2012 and December 31, 2011, respectively.</w:t>
      </w:r>
    </w:p>
    <w:p>
      <w:pPr>
        <w:spacing w:after="0" w:line="20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Company’s income before income taxes from domestic and foreign operations (which include the United Kingdom, Canada, France and Ireland),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580" w:type="dxa"/>
            <w:vAlign w:val="bottom"/>
            <w:shd w:val="clear" w:color="auto" w:fill="C0FFFF"/>
          </w:tcPr>
          <w:p>
            <w:pPr>
              <w:spacing w:after="0"/>
              <w:rPr>
                <w:sz w:val="20"/>
                <w:szCs w:val="20"/>
                <w:color w:val="auto"/>
              </w:rPr>
            </w:pPr>
            <w:r>
              <w:rPr>
                <w:rFonts w:ascii="Arial" w:cs="Arial" w:eastAsia="Arial" w:hAnsi="Arial"/>
                <w:sz w:val="18"/>
                <w:szCs w:val="18"/>
                <w:color w:val="auto"/>
              </w:rPr>
              <w:t>Domestic</w:t>
            </w:r>
          </w:p>
        </w:tc>
        <w:tc>
          <w:tcPr>
            <w:tcW w:w="27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(11,550)</w:t>
            </w:r>
          </w:p>
        </w:tc>
        <w:tc>
          <w:tcPr>
            <w:tcW w:w="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(6,200)</w:t>
            </w:r>
          </w:p>
        </w:tc>
        <w:tc>
          <w:tcPr>
            <w:tcW w:w="3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(8,744)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Foreign</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(36,879)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1160" w:type="dxa"/>
            <w:vAlign w:val="bottom"/>
          </w:tcPr>
          <w:p>
            <w:pPr>
              <w:spacing w:after="0"/>
              <w:rPr>
                <w:sz w:val="22"/>
                <w:szCs w:val="22"/>
                <w:color w:val="auto"/>
              </w:rPr>
            </w:pPr>
          </w:p>
        </w:tc>
        <w:tc>
          <w:tcPr>
            <w:tcW w:w="25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(48,429)</w:t>
            </w:r>
          </w:p>
        </w:tc>
        <w:tc>
          <w:tcPr>
            <w:tcW w:w="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(2,652)</w:t>
            </w:r>
          </w:p>
        </w:tc>
        <w:tc>
          <w:tcPr>
            <w:tcW w:w="3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(2,472)</w:t>
            </w:r>
          </w:p>
        </w:tc>
        <w:tc>
          <w:tcPr>
            <w:tcW w:w="1140" w:type="dxa"/>
            <w:vAlign w:val="bottom"/>
          </w:tcPr>
          <w:p>
            <w:pPr>
              <w:spacing w:after="0"/>
              <w:rPr>
                <w:sz w:val="22"/>
                <w:szCs w:val="22"/>
                <w:color w:val="auto"/>
              </w:rPr>
            </w:pPr>
          </w:p>
        </w:tc>
      </w:tr>
      <w:tr>
        <w:trPr>
          <w:trHeight w:val="628"/>
        </w:trPr>
        <w:tc>
          <w:tcPr>
            <w:tcW w:w="1160" w:type="dxa"/>
            <w:vAlign w:val="bottom"/>
          </w:tcPr>
          <w:p>
            <w:pPr>
              <w:spacing w:after="0"/>
              <w:rPr>
                <w:sz w:val="24"/>
                <w:szCs w:val="24"/>
                <w:color w:val="auto"/>
              </w:rPr>
            </w:pPr>
          </w:p>
        </w:tc>
        <w:tc>
          <w:tcPr>
            <w:tcW w:w="2580" w:type="dxa"/>
            <w:vAlign w:val="bottom"/>
            <w:tcBorders>
              <w:top w:val="single" w:sz="8" w:color="C0FFFF"/>
            </w:tcBorders>
          </w:tcPr>
          <w:p>
            <w:pPr>
              <w:spacing w:after="0"/>
              <w:rPr>
                <w:sz w:val="24"/>
                <w:szCs w:val="24"/>
                <w:color w:val="auto"/>
              </w:rPr>
            </w:pPr>
          </w:p>
        </w:tc>
        <w:tc>
          <w:tcPr>
            <w:tcW w:w="2540" w:type="dxa"/>
            <w:vAlign w:val="bottom"/>
            <w:tcBorders>
              <w:top w:val="single" w:sz="8" w:color="C0FFFF"/>
            </w:tcBorders>
          </w:tcPr>
          <w:p>
            <w:pPr>
              <w:jc w:val="right"/>
              <w:ind w:right="390"/>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60" w:type="dxa"/>
            <w:vAlign w:val="bottom"/>
            <w:tcBorders>
              <w:top w:val="single" w:sz="8" w:color="C0FF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60" w:type="dxa"/>
            <w:vAlign w:val="bottom"/>
            <w:tcBorders>
              <w:top w:val="single" w:sz="8" w:color="C0FF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tbl>
      <w:tblPr>
        <w:tblLayout w:type="fixed"/>
        <w:tblInd w:w="50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w w:val="95"/>
              </w:rPr>
              <w:t>The following tax years remain open in the Company’s major taxing jurisdictions as of December 29, 2012:</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vMerge w:val="restart"/>
          </w:tcPr>
          <w:p>
            <w:pPr>
              <w:spacing w:after="0"/>
              <w:rPr>
                <w:sz w:val="23"/>
                <w:szCs w:val="23"/>
                <w:color w:val="auto"/>
              </w:rPr>
            </w:pPr>
          </w:p>
        </w:tc>
        <w:tc>
          <w:tcPr>
            <w:tcW w:w="74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United States (Federal)</w:t>
            </w:r>
          </w:p>
        </w:tc>
        <w:tc>
          <w:tcPr>
            <w:tcW w:w="1700" w:type="dxa"/>
            <w:vAlign w:val="bottom"/>
            <w:shd w:val="clear" w:color="auto" w:fill="C0FFFF"/>
          </w:tcPr>
          <w:p>
            <w:pPr>
              <w:ind w:left="320"/>
              <w:spacing w:after="0"/>
              <w:rPr>
                <w:sz w:val="20"/>
                <w:szCs w:val="20"/>
                <w:color w:val="auto"/>
              </w:rPr>
            </w:pPr>
            <w:r>
              <w:rPr>
                <w:rFonts w:ascii="Arial" w:cs="Arial" w:eastAsia="Arial" w:hAnsi="Arial"/>
                <w:sz w:val="18"/>
                <w:szCs w:val="18"/>
                <w:color w:val="auto"/>
                <w:w w:val="89"/>
              </w:rPr>
              <w:t>2008 through 2012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United Kingdom</w:t>
            </w:r>
          </w:p>
        </w:tc>
        <w:tc>
          <w:tcPr>
            <w:tcW w:w="1700" w:type="dxa"/>
            <w:vAlign w:val="bottom"/>
          </w:tcPr>
          <w:p>
            <w:pPr>
              <w:ind w:left="320"/>
              <w:spacing w:after="0"/>
              <w:rPr>
                <w:sz w:val="20"/>
                <w:szCs w:val="20"/>
                <w:color w:val="auto"/>
              </w:rPr>
            </w:pPr>
            <w:r>
              <w:rPr>
                <w:rFonts w:ascii="Arial" w:cs="Arial" w:eastAsia="Arial" w:hAnsi="Arial"/>
                <w:sz w:val="18"/>
                <w:szCs w:val="18"/>
                <w:color w:val="auto"/>
                <w:w w:val="89"/>
              </w:rPr>
              <w:t>2006 through 2012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Canada</w:t>
            </w:r>
          </w:p>
        </w:tc>
        <w:tc>
          <w:tcPr>
            <w:tcW w:w="1700" w:type="dxa"/>
            <w:vAlign w:val="bottom"/>
            <w:shd w:val="clear" w:color="auto" w:fill="C0FFFF"/>
          </w:tcPr>
          <w:p>
            <w:pPr>
              <w:ind w:left="320"/>
              <w:spacing w:after="0"/>
              <w:rPr>
                <w:sz w:val="20"/>
                <w:szCs w:val="20"/>
                <w:color w:val="auto"/>
              </w:rPr>
            </w:pPr>
            <w:r>
              <w:rPr>
                <w:rFonts w:ascii="Arial" w:cs="Arial" w:eastAsia="Arial" w:hAnsi="Arial"/>
                <w:sz w:val="18"/>
                <w:szCs w:val="18"/>
                <w:color w:val="auto"/>
                <w:w w:val="89"/>
              </w:rPr>
              <w:t>2009 through 2012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France</w:t>
            </w:r>
          </w:p>
        </w:tc>
        <w:tc>
          <w:tcPr>
            <w:tcW w:w="1700" w:type="dxa"/>
            <w:vAlign w:val="bottom"/>
          </w:tcPr>
          <w:p>
            <w:pPr>
              <w:ind w:left="320"/>
              <w:spacing w:after="0"/>
              <w:rPr>
                <w:sz w:val="20"/>
                <w:szCs w:val="20"/>
                <w:color w:val="auto"/>
              </w:rPr>
            </w:pPr>
            <w:r>
              <w:rPr>
                <w:rFonts w:ascii="Arial" w:cs="Arial" w:eastAsia="Arial" w:hAnsi="Arial"/>
                <w:sz w:val="18"/>
                <w:szCs w:val="18"/>
                <w:color w:val="auto"/>
                <w:w w:val="89"/>
              </w:rPr>
              <w:t>2007 through 2012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Ireland</w:t>
            </w:r>
          </w:p>
        </w:tc>
        <w:tc>
          <w:tcPr>
            <w:tcW w:w="1700" w:type="dxa"/>
            <w:vAlign w:val="bottom"/>
            <w:shd w:val="clear" w:color="auto" w:fill="C0FFFF"/>
          </w:tcPr>
          <w:p>
            <w:pPr>
              <w:ind w:left="320"/>
              <w:spacing w:after="0"/>
              <w:rPr>
                <w:sz w:val="20"/>
                <w:szCs w:val="20"/>
                <w:color w:val="auto"/>
              </w:rPr>
            </w:pPr>
            <w:r>
              <w:rPr>
                <w:rFonts w:ascii="Arial" w:cs="Arial" w:eastAsia="Arial" w:hAnsi="Arial"/>
                <w:sz w:val="18"/>
                <w:szCs w:val="18"/>
                <w:color w:val="auto"/>
                <w:w w:val="89"/>
              </w:rPr>
              <w:t>2007 through 2012</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8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On December 21, 2012, the Company amended its existing bank line of credit that provides borrowing capacity of $35 million. Borrowings under the credit agreement are secured by our assets and a pledge of 65% of the Company’s ownership interest in foreign subsidiaries. The credit agreement expires on December 31, 2014 and contains various restrictions on indebtedness, liens, guarantees, redemptions, mergers, acquisitions or sale of assets, loans, transactions with affiliates, and investments. It prohibits the Company from declaring dividends without the bank’s prior consent, unless such payment of dividends would not violate any terms of the credit agreement. The Company is also prohibited from repurchasing shares of its common stock unless such purchase would not violate any terms of the credit agreement; the Company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On February 13, 2013, the Company amended its existing bank line of credit to reduce the fixed charge coverage ratio for the fiscal year ending December 29, 2012, returning to its previous requirement for thereafter. As of December 29, 2012: (i) the Company was in compliance with these covenants; (ii) there were no borrowings under the line of credit; and (iii) there was a standby letter of credit of approximately $1.1 million outstanding under the credit agreement. Giving effect to this standby letter of credit, there was approximately $33.9 million available for borrowing under the line of credit.</w:t>
      </w:r>
    </w:p>
    <w:p>
      <w:pPr>
        <w:spacing w:after="0" w:line="165"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83" w:lineRule="exact"/>
        <w:rPr>
          <w:rFonts w:ascii="Arial" w:cs="Arial" w:eastAsia="Arial" w:hAnsi="Arial"/>
          <w:sz w:val="18"/>
          <w:szCs w:val="18"/>
          <w:b w:val="1"/>
          <w:bCs w:val="1"/>
          <w:color w:val="auto"/>
        </w:rPr>
      </w:pPr>
    </w:p>
    <w:p>
      <w:pPr>
        <w:ind w:left="920" w:hanging="480"/>
        <w:spacing w:after="0"/>
        <w:tabs>
          <w:tab w:leader="none" w:pos="920" w:val="left"/>
        </w:tabs>
        <w:numPr>
          <w:ilvl w:val="1"/>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7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$48.2 million, $48.2 million and $47.7 million, and contingent rents were $1.2 million, $1.2 million and $1.0 million for 2012, 2011 and 2010, respectively.</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Future minimum lease payments at December 29, 2012, were as follows (in thousands):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vMerge w:val="restart"/>
          </w:tcPr>
          <w:p>
            <w:pPr>
              <w:spacing w:after="0"/>
              <w:rPr>
                <w:sz w:val="23"/>
                <w:szCs w:val="23"/>
                <w:color w:val="auto"/>
              </w:rPr>
            </w:pPr>
          </w:p>
        </w:tc>
        <w:tc>
          <w:tcPr>
            <w:tcW w:w="6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60" w:type="dxa"/>
            <w:vAlign w:val="bottom"/>
            <w:shd w:val="clear" w:color="auto" w:fill="C0FFFF"/>
          </w:tcPr>
          <w:p>
            <w:pPr>
              <w:spacing w:after="0"/>
              <w:rPr>
                <w:sz w:val="20"/>
                <w:szCs w:val="20"/>
                <w:color w:val="auto"/>
              </w:rPr>
            </w:pPr>
            <w:r>
              <w:rPr>
                <w:rFonts w:ascii="Arial" w:cs="Arial" w:eastAsia="Arial" w:hAnsi="Arial"/>
                <w:sz w:val="18"/>
                <w:szCs w:val="18"/>
                <w:color w:val="auto"/>
              </w:rPr>
              <w:t>2013</w:t>
            </w:r>
          </w:p>
        </w:tc>
        <w:tc>
          <w:tcPr>
            <w:tcW w:w="14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45,264</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0FFFF"/>
          </w:tcPr>
          <w:p>
            <w:pPr>
              <w:spacing w:after="0"/>
              <w:rPr>
                <w:sz w:val="20"/>
                <w:szCs w:val="20"/>
                <w:color w:val="auto"/>
              </w:rPr>
            </w:pPr>
            <w:r>
              <w:rPr>
                <w:rFonts w:ascii="Arial" w:cs="Arial" w:eastAsia="Arial" w:hAnsi="Arial"/>
                <w:sz w:val="18"/>
                <w:szCs w:val="18"/>
                <w:color w:val="auto"/>
              </w:rPr>
              <w:t>2015</w:t>
            </w:r>
          </w:p>
        </w:tc>
        <w:tc>
          <w:tcPr>
            <w:tcW w:w="1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8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33,587</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2016</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0FFFF"/>
          </w:tcPr>
          <w:p>
            <w:pPr>
              <w:spacing w:after="0"/>
              <w:rPr>
                <w:sz w:val="20"/>
                <w:szCs w:val="20"/>
                <w:color w:val="auto"/>
              </w:rPr>
            </w:pPr>
            <w:r>
              <w:rPr>
                <w:rFonts w:ascii="Arial" w:cs="Arial" w:eastAsia="Arial" w:hAnsi="Arial"/>
                <w:sz w:val="18"/>
                <w:szCs w:val="18"/>
                <w:color w:val="auto"/>
              </w:rPr>
              <w:t>2017</w:t>
            </w:r>
          </w:p>
        </w:tc>
        <w:tc>
          <w:tcPr>
            <w:tcW w:w="1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8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18,518</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Subsequent to 2017</w:t>
            </w:r>
          </w:p>
        </w:tc>
        <w:tc>
          <w:tcPr>
            <w:tcW w:w="1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760" w:type="dxa"/>
            <w:vAlign w:val="bottom"/>
            <w:shd w:val="clear" w:color="auto" w:fill="C0FFFF"/>
          </w:tcPr>
          <w:p>
            <w:pPr>
              <w:spacing w:after="0"/>
              <w:rPr>
                <w:sz w:val="20"/>
                <w:szCs w:val="20"/>
                <w:color w:val="auto"/>
              </w:rPr>
            </w:pPr>
          </w:p>
        </w:tc>
        <w:tc>
          <w:tcPr>
            <w:tcW w:w="14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205,675</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60" w:type="dxa"/>
            <w:vAlign w:val="bottom"/>
            <w:tcBorders>
              <w:top w:val="single" w:sz="8" w:color="C0FFFF"/>
            </w:tcBorders>
            <w:shd w:val="clear" w:color="auto" w:fill="C0FFFF"/>
          </w:tcPr>
          <w:p>
            <w:pPr>
              <w:spacing w:after="0" w:line="20" w:lineRule="exact"/>
              <w:rPr>
                <w:sz w:val="1"/>
                <w:szCs w:val="1"/>
                <w:color w:val="auto"/>
              </w:rPr>
            </w:pPr>
          </w:p>
        </w:tc>
        <w:tc>
          <w:tcPr>
            <w:tcW w:w="110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20" w:hanging="480"/>
        <w:spacing w:after="0"/>
        <w:tabs>
          <w:tab w:leader="none" w:pos="9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79"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In the normal course of business, the Company is subject to certain claims or lawsuits. Except as noted below, management is not aware of any claims or lawsuits that may have a material adverse effect on the consolidated financial position or results of operations of the Company.</w:t>
      </w:r>
    </w:p>
    <w:p>
      <w:pPr>
        <w:spacing w:after="0" w:line="20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October 2012, the Company received notification from the customs authority that it intends to assess approximately £1.2 million, or US$2.0 million at the exchange rate at the end of the quarter, for unpaid taxes, penalties and interest. The Company intends to appeal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83"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0FF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w w:val="99"/>
              </w:rPr>
              <w:t>Net (loss) earnings before allocation of earnings to participating securities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(49,295)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(17,062)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0FFFF"/>
            </w:tcBorders>
            <w:shd w:val="clear" w:color="auto" w:fill="C0FFFF"/>
          </w:tcPr>
          <w:p>
            <w:pPr>
              <w:ind w:left="300"/>
              <w:spacing w:after="0"/>
              <w:rPr>
                <w:sz w:val="20"/>
                <w:szCs w:val="20"/>
                <w:color w:val="auto"/>
              </w:rPr>
            </w:pPr>
            <w:r>
              <w:rPr>
                <w:rFonts w:ascii="Arial" w:cs="Arial" w:eastAsia="Arial" w:hAnsi="Arial"/>
                <w:sz w:val="18"/>
                <w:szCs w:val="18"/>
                <w:color w:val="auto"/>
              </w:rPr>
              <w:t>Less: Earnings allocated to participating securities</w:t>
            </w:r>
          </w:p>
        </w:tc>
        <w:tc>
          <w:tcPr>
            <w:tcW w:w="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0FFFF"/>
              <w:right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rPr>
              <w:t>Net (loss) earnings after allocation of earnings to participating securities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(49,295)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(17,062)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0FFFF"/>
          </w:tcPr>
          <w:p>
            <w:pPr>
              <w:ind w:left="140"/>
              <w:spacing w:after="0"/>
              <w:rPr>
                <w:sz w:val="20"/>
                <w:szCs w:val="20"/>
                <w:color w:val="auto"/>
              </w:rPr>
            </w:pPr>
            <w:r>
              <w:rPr>
                <w:rFonts w:ascii="Arial" w:cs="Arial" w:eastAsia="Arial" w:hAnsi="Arial"/>
                <w:sz w:val="18"/>
                <w:szCs w:val="18"/>
                <w:color w:val="auto"/>
              </w:rPr>
              <w:t>Weighted average number of common shares outstanding - basic</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16,331,672</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17,371,315</w:t>
            </w:r>
          </w:p>
        </w:tc>
        <w:tc>
          <w:tcPr>
            <w:tcW w:w="180" w:type="dxa"/>
            <w:vAlign w:val="bottom"/>
            <w:tcBorders>
              <w:right w:val="single" w:sz="8" w:color="C0FFFF"/>
            </w:tcBorders>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18,601,465</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300"/>
              <w:spacing w:after="0"/>
              <w:rPr>
                <w:sz w:val="20"/>
                <w:szCs w:val="20"/>
                <w:color w:val="auto"/>
              </w:rPr>
            </w:pPr>
            <w:r>
              <w:rPr>
                <w:rFonts w:ascii="Arial" w:cs="Arial" w:eastAsia="Arial" w:hAnsi="Arial"/>
                <w:sz w:val="18"/>
                <w:szCs w:val="18"/>
                <w:color w:val="auto"/>
              </w:rPr>
              <w:t>Dilutive effect of share-based awards: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tcBorders>
              <w:bottom w:val="single" w:sz="8" w:color="C0FFFF"/>
            </w:tcBorders>
            <w:shd w:val="clear" w:color="auto" w:fill="C0FFFF"/>
          </w:tcPr>
          <w:p>
            <w:pPr>
              <w:ind w:left="140"/>
              <w:spacing w:after="0"/>
              <w:rPr>
                <w:sz w:val="20"/>
                <w:szCs w:val="20"/>
                <w:color w:val="auto"/>
              </w:rPr>
            </w:pPr>
            <w:r>
              <w:rPr>
                <w:rFonts w:ascii="Arial" w:cs="Arial" w:eastAsia="Arial" w:hAnsi="Arial"/>
                <w:sz w:val="18"/>
                <w:szCs w:val="18"/>
                <w:color w:val="auto"/>
              </w:rPr>
              <w:t>Weighted average number of common shares outstanding - dilutive</w:t>
            </w:r>
          </w:p>
        </w:tc>
        <w:tc>
          <w:tcPr>
            <w:tcW w:w="80" w:type="dxa"/>
            <w:vAlign w:val="bottom"/>
            <w:tcBorders>
              <w:bottom w:val="single" w:sz="8" w:color="C0FFFF"/>
            </w:tcBorders>
            <w:shd w:val="clear" w:color="auto" w:fill="C0FFFF"/>
          </w:tcPr>
          <w:p>
            <w:pPr>
              <w:spacing w:after="0"/>
              <w:rPr>
                <w:sz w:val="22"/>
                <w:szCs w:val="22"/>
                <w:color w:val="auto"/>
              </w:rPr>
            </w:pPr>
          </w:p>
        </w:tc>
        <w:tc>
          <w:tcPr>
            <w:tcW w:w="240" w:type="dxa"/>
            <w:vAlign w:val="bottom"/>
            <w:tcBorders>
              <w:bottom w:val="single" w:sz="8" w:color="auto"/>
            </w:tcBorders>
            <w:shd w:val="clear" w:color="auto" w:fill="C0FFFF"/>
          </w:tcPr>
          <w:p>
            <w:pPr>
              <w:spacing w:after="0"/>
              <w:rPr>
                <w:sz w:val="22"/>
                <w:szCs w:val="22"/>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16,331,672</w:t>
            </w:r>
          </w:p>
        </w:tc>
        <w:tc>
          <w:tcPr>
            <w:tcW w:w="12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C0FFFF"/>
            </w:tcBorders>
            <w:shd w:val="clear" w:color="auto" w:fill="C0FFFF"/>
          </w:tcPr>
          <w:p>
            <w:pPr>
              <w:spacing w:after="0"/>
              <w:rPr>
                <w:sz w:val="22"/>
                <w:szCs w:val="22"/>
                <w:color w:val="auto"/>
              </w:rPr>
            </w:pPr>
          </w:p>
        </w:tc>
        <w:tc>
          <w:tcPr>
            <w:tcW w:w="240" w:type="dxa"/>
            <w:vAlign w:val="bottom"/>
            <w:tcBorders>
              <w:bottom w:val="single" w:sz="8" w:color="auto"/>
            </w:tcBorders>
            <w:shd w:val="clear" w:color="auto" w:fill="C0FFFF"/>
          </w:tcPr>
          <w:p>
            <w:pPr>
              <w:spacing w:after="0"/>
              <w:rPr>
                <w:sz w:val="22"/>
                <w:szCs w:val="22"/>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17,371,315</w:t>
            </w:r>
          </w:p>
        </w:tc>
        <w:tc>
          <w:tcPr>
            <w:tcW w:w="180" w:type="dxa"/>
            <w:vAlign w:val="bottom"/>
            <w:tcBorders>
              <w:bottom w:val="single" w:sz="8" w:color="C0FFFF"/>
              <w:right w:val="single" w:sz="8" w:color="C0FFFF"/>
            </w:tcBorders>
            <w:shd w:val="clear" w:color="auto" w:fill="C0FFFF"/>
          </w:tcPr>
          <w:p>
            <w:pPr>
              <w:spacing w:after="0"/>
              <w:rPr>
                <w:sz w:val="22"/>
                <w:szCs w:val="22"/>
                <w:color w:val="auto"/>
              </w:rPr>
            </w:pPr>
          </w:p>
        </w:tc>
        <w:tc>
          <w:tcPr>
            <w:tcW w:w="240" w:type="dxa"/>
            <w:vAlign w:val="bottom"/>
            <w:tcBorders>
              <w:bottom w:val="single" w:sz="8" w:color="auto"/>
            </w:tcBorders>
            <w:shd w:val="clear" w:color="auto" w:fill="C0FFFF"/>
          </w:tcPr>
          <w:p>
            <w:pPr>
              <w:spacing w:after="0"/>
              <w:rPr>
                <w:sz w:val="22"/>
                <w:szCs w:val="22"/>
                <w:color w:val="auto"/>
              </w:rPr>
            </w:pPr>
          </w:p>
        </w:tc>
        <w:tc>
          <w:tcPr>
            <w:tcW w:w="9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18,653,012</w:t>
            </w:r>
          </w:p>
        </w:tc>
        <w:tc>
          <w:tcPr>
            <w:tcW w:w="10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tcPr>
          <w:p>
            <w:pPr>
              <w:spacing w:after="0" w:line="195" w:lineRule="exact"/>
              <w:rPr>
                <w:sz w:val="20"/>
                <w:szCs w:val="20"/>
                <w:color w:val="auto"/>
              </w:rPr>
            </w:pPr>
            <w:r>
              <w:rPr>
                <w:rFonts w:ascii="Arial" w:cs="Arial" w:eastAsia="Arial" w:hAnsi="Arial"/>
                <w:sz w:val="18"/>
                <w:szCs w:val="18"/>
                <w:color w:val="auto"/>
                <w:w w:val="93"/>
              </w:rPr>
              <w:t>Basic (loss) earnings per common share attributable to Build-A-Bear Workshop,</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40"/>
              <w:spacing w:after="0"/>
              <w:rPr>
                <w:sz w:val="20"/>
                <w:szCs w:val="20"/>
                <w:color w:val="auto"/>
              </w:rPr>
            </w:pPr>
            <w:r>
              <w:rPr>
                <w:rFonts w:ascii="Arial" w:cs="Arial" w:eastAsia="Arial" w:hAnsi="Arial"/>
                <w:sz w:val="18"/>
                <w:szCs w:val="18"/>
                <w:color w:val="auto"/>
              </w:rPr>
              <w:t>Inc, stockholders: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(0.98)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shd w:val="clear" w:color="auto" w:fill="C0FFFF"/>
          </w:tcPr>
          <w:p>
            <w:pPr>
              <w:spacing w:after="0" w:line="195" w:lineRule="exact"/>
              <w:rPr>
                <w:sz w:val="20"/>
                <w:szCs w:val="20"/>
                <w:color w:val="auto"/>
              </w:rPr>
            </w:pPr>
            <w:r>
              <w:rPr>
                <w:rFonts w:ascii="Arial" w:cs="Arial" w:eastAsia="Arial" w:hAnsi="Arial"/>
                <w:sz w:val="18"/>
                <w:szCs w:val="18"/>
                <w:color w:val="auto"/>
                <w:w w:val="92"/>
              </w:rPr>
              <w:t>Diluted (loss) earnings per common share attributable to Build-A-Bear Workshop,</w:t>
            </w:r>
          </w:p>
        </w:tc>
        <w:tc>
          <w:tcPr>
            <w:tcW w:w="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00" w:type="dxa"/>
            <w:vAlign w:val="bottom"/>
            <w:shd w:val="clear" w:color="auto" w:fill="C0FFFF"/>
          </w:tcPr>
          <w:p>
            <w:pPr>
              <w:spacing w:after="0"/>
              <w:rPr>
                <w:sz w:val="16"/>
                <w:szCs w:val="16"/>
                <w:color w:val="auto"/>
              </w:rPr>
            </w:pPr>
          </w:p>
        </w:tc>
        <w:tc>
          <w:tcPr>
            <w:tcW w:w="180" w:type="dxa"/>
            <w:vAlign w:val="bottom"/>
            <w:tcBorders>
              <w:right w:val="single" w:sz="8" w:color="C0FFFF"/>
            </w:tcBorders>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98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80" w:type="dxa"/>
            <w:vAlign w:val="bottom"/>
            <w:shd w:val="clear" w:color="auto" w:fill="C0FFFF"/>
          </w:tcPr>
          <w:p>
            <w:pPr>
              <w:ind w:left="140"/>
              <w:spacing w:after="0"/>
              <w:rPr>
                <w:sz w:val="20"/>
                <w:szCs w:val="20"/>
                <w:color w:val="auto"/>
              </w:rPr>
            </w:pPr>
            <w:r>
              <w:rPr>
                <w:rFonts w:ascii="Arial" w:cs="Arial" w:eastAsia="Arial" w:hAnsi="Arial"/>
                <w:sz w:val="18"/>
                <w:szCs w:val="18"/>
                <w:color w:val="auto"/>
              </w:rPr>
              <w:t>Inc, stockholders</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(3.02)</w:t>
            </w:r>
          </w:p>
        </w:tc>
        <w:tc>
          <w:tcPr>
            <w:tcW w:w="3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0FFFF"/>
            </w:tcBorders>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(0.98)</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calculating diluted earnings per share for fiscal 2012, 2011 and 2010, options to purchase 1,155,239, 1,210,816, and 627,456, respectively, shares of common stock were outstanding at the end of the period, but were not included in the computation of diluted earnings per share due to their anti-dilutive effect.</w:t>
      </w:r>
    </w:p>
    <w:p>
      <w:pPr>
        <w:spacing w:after="0" w:line="235"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Due to the net loss in fiscal 2012 and fiscal 2011, the denominator for diluted earnings per common share is the same as the denominator for basic earnings per common share for those periods because the inclusion of stock options and unvested restricted shares would be anti-dilutive.</w:t>
      </w:r>
    </w:p>
    <w:p>
      <w:pPr>
        <w:spacing w:after="0" w:line="174"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283"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On April 3, 2000, the Company adopted the 2000 Stock Option Plan (the Plan). In 2003, the Company adopted the Build-A-Bear Workshop, Inc. 2002 Stock Incentive Plan, in 2004, the Company adopted the Build-A-Bear Workshop, Inc. 2004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Incentive Plan and in 2009, the Company amended and restated the Build-A-Bear Workshop, Inc. 2004 Stock Incentive Plan (collectively, the Plans).</w:t>
      </w:r>
    </w:p>
    <w:p>
      <w:pPr>
        <w:spacing w:after="0" w:line="276"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Under the Plans, as amended, from January 3, 2009, up to 3,230,000 shares of common stock were reserved and may be granted to employees and nonemployees of the Company. The Plan allows for the grant of incentive stock options, nonqualified stock options, stock appreciation rights (SAR) and restricted stock. Options granted under the Plan expire no later than 10 years from the date of the grant. The exercise price of each incentive stock option shall not be less than the fair value of the stock subject to the option on the date the option is granted. The vesting provision of individual options is at the discretion of the compensation committee of the board of directors and generally ranges from one to four years. Each share of stock awarded pursuant to an option or subject to the exercised portion of a SAR reduces the number of shares available by one share. Each share of stock awarded pursuant to any other stock-based awards, including restricted stock grants, reduces the number of shares available by 1.27 shares.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0" w:name="page71"/>
    <w:bookmarkEnd w:id="70"/>
    <w:p>
      <w:pPr>
        <w:ind w:left="920" w:hanging="480"/>
        <w:spacing w:after="0"/>
        <w:tabs>
          <w:tab w:leader="none" w:pos="92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2, 2010</w:t>
            </w: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805,347</w:t>
            </w:r>
          </w:p>
        </w:tc>
        <w:tc>
          <w:tcPr>
            <w:tcW w:w="3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391,228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28,484</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0.87</w:t>
            </w:r>
          </w:p>
        </w:tc>
        <w:tc>
          <w:tcPr>
            <w:tcW w:w="22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1, 2011</w:t>
            </w: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1,125,223</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8.73</w:t>
            </w:r>
          </w:p>
        </w:tc>
        <w:tc>
          <w:tcPr>
            <w:tcW w:w="22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305,727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55,501</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color w:val="auto"/>
              </w:rPr>
              <w:t>Outstanding, December 31, 2011</w:t>
            </w: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1,210,816</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color w:val="auto"/>
              </w:rPr>
              <w:t>Outstanding, December 29, 2012</w:t>
            </w: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1,155,239</w:t>
            </w:r>
          </w:p>
        </w:tc>
        <w:tc>
          <w:tcPr>
            <w:tcW w:w="3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8.53</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6.0</w:t>
            </w:r>
          </w:p>
        </w:tc>
        <w:tc>
          <w:tcPr>
            <w:tcW w:w="1340" w:type="dxa"/>
            <w:vAlign w:val="bottom"/>
            <w:gridSpan w:val="2"/>
            <w:shd w:val="clear" w:color="auto" w:fill="C0FFFF"/>
          </w:tcPr>
          <w:p>
            <w:pPr>
              <w:jc w:val="right"/>
              <w:ind w:right="99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0FF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Options Exercisable As Of:</w:t>
            </w: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December 29, 2012</w:t>
            </w:r>
          </w:p>
        </w:tc>
        <w:tc>
          <w:tcPr>
            <w:tcW w:w="1240" w:type="dxa"/>
            <w:vAlign w:val="bottom"/>
          </w:tcPr>
          <w:p>
            <w:pPr>
              <w:jc w:val="right"/>
              <w:spacing w:after="0"/>
              <w:rPr>
                <w:sz w:val="20"/>
                <w:szCs w:val="20"/>
                <w:color w:val="auto"/>
              </w:rPr>
            </w:pPr>
            <w:r>
              <w:rPr>
                <w:rFonts w:ascii="Arial" w:cs="Arial" w:eastAsia="Arial" w:hAnsi="Arial"/>
                <w:sz w:val="18"/>
                <w:szCs w:val="18"/>
                <w:color w:val="auto"/>
              </w:rPr>
              <w:t>704,937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34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expense recorded related to options granted during fiscal 2012 was immaterial. The expense recorded related to options granted during fiscal 2011 was determined using the Black-Scholes option pricing model and the provisions of Staff Accounting Bulletin (SAB) 107 and 110, which allow the use of a simplified method to estimate the expected term of “plain vanilla” options. The assumptions used in the option pricing model during fiscal 2011 were:</w:t>
      </w:r>
    </w:p>
    <w:p>
      <w:pPr>
        <w:ind w:right="200" w:firstLine="8"/>
        <w:spacing w:after="0" w:line="261" w:lineRule="auto"/>
        <w:tabs>
          <w:tab w:leader="none" w:pos="2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dividend yield of 0%; (b) volatility of 65%; (c) risk-free interest rates ranging from 1.2% to 2.5%; and (d) an expected life of 6.25 years. The grant date fair value of options granted in 2011 was approximately $1.2 million.</w:t>
      </w:r>
    </w:p>
    <w:p>
      <w:pPr>
        <w:spacing w:after="0" w:line="238"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color w:val="auto"/>
        </w:rPr>
        <w:t>The assumptions used in the option pricing model during fiscal 2010 were: (a) dividend yield of 0%; (b) volatility of 65%; (c) risk-free interest rates ranging from 2.1% to 3.4%; and (d) an expected life of 6.25 years. The assumptions used in the option pricing model during fiscal 2009 were: (a) dividend yield of 0%; (b) volatility of 65%; (c) risk-free interest rates ranging from 2.3% to 3.1%; and (d) an expected life of 6.25 years.</w:t>
      </w:r>
    </w:p>
    <w:p>
      <w:pPr>
        <w:spacing w:after="0" w:line="22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total intrinsic value of options exercised in fiscal 2011 and fiscal 2010 was approximately $0.1 and $0.2 million. No options were exercised in 2012. The Company generally issues new shares to satisfy option exercises.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Shares available for future option, non-vested stock and restricted stock grants were 608,864 and 1,104,894 at the end of 2012 and 2011, respectively.</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71" w:name="page72"/>
    <w:bookmarkEnd w:id="71"/>
    <w:p>
      <w:pPr>
        <w:ind w:left="920" w:hanging="480"/>
        <w:spacing w:after="0"/>
        <w:tabs>
          <w:tab w:leader="none" w:pos="92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79" w:lineRule="exact"/>
        <w:rPr>
          <w:sz w:val="20"/>
          <w:szCs w:val="20"/>
          <w:color w:val="auto"/>
        </w:rPr>
      </w:pPr>
    </w:p>
    <w:p>
      <w:pPr>
        <w:ind w:right="220" w:firstLine="486"/>
        <w:spacing w:after="0" w:line="258" w:lineRule="auto"/>
        <w:rPr>
          <w:sz w:val="20"/>
          <w:szCs w:val="20"/>
          <w:color w:val="auto"/>
        </w:rPr>
      </w:pPr>
      <w:r>
        <w:rPr>
          <w:rFonts w:ascii="Arial" w:cs="Arial" w:eastAsia="Arial" w:hAnsi="Arial"/>
          <w:sz w:val="18"/>
          <w:szCs w:val="18"/>
          <w:color w:val="auto"/>
        </w:rPr>
        <w:t>The following table is a summary of the balance and activity for the Plans related to unvested restricted stock granted as compensation to employees and directors for the periods presented:</w:t>
      </w:r>
    </w:p>
    <w:tbl>
      <w:tblPr>
        <w:tblLayout w:type="fixed"/>
        <w:tblInd w:w="114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line="200"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2, 2010</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1,450,308</w:t>
            </w:r>
          </w:p>
        </w:tc>
        <w:tc>
          <w:tcPr>
            <w:tcW w:w="3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486,302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376,142</w:t>
            </w:r>
          </w:p>
        </w:tc>
        <w:tc>
          <w:tcPr>
            <w:tcW w:w="2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1, 2011</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1,468,373</w:t>
            </w:r>
          </w:p>
        </w:tc>
        <w:tc>
          <w:tcPr>
            <w:tcW w:w="2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532,791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394,766</w:t>
            </w:r>
          </w:p>
        </w:tc>
        <w:tc>
          <w:tcPr>
            <w:tcW w:w="2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168,267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0FFFF"/>
          </w:tcPr>
          <w:p>
            <w:pPr>
              <w:spacing w:after="0"/>
              <w:rPr>
                <w:sz w:val="20"/>
                <w:szCs w:val="20"/>
                <w:color w:val="auto"/>
              </w:rPr>
            </w:pPr>
            <w:r>
              <w:rPr>
                <w:rFonts w:ascii="Arial" w:cs="Arial" w:eastAsia="Arial" w:hAnsi="Arial"/>
                <w:sz w:val="18"/>
                <w:szCs w:val="18"/>
                <w:color w:val="auto"/>
              </w:rPr>
              <w:t>Outstanding, December 31, 2011</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1,438,131</w:t>
            </w:r>
          </w:p>
        </w:tc>
        <w:tc>
          <w:tcPr>
            <w:tcW w:w="2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366,270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874,852</w:t>
            </w:r>
          </w:p>
        </w:tc>
        <w:tc>
          <w:tcPr>
            <w:tcW w:w="2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300" w:type="dxa"/>
            <w:vAlign w:val="bottom"/>
            <w:shd w:val="clear" w:color="auto" w:fill="C0FFFF"/>
          </w:tcPr>
          <w:p>
            <w:pPr>
              <w:spacing w:after="0"/>
              <w:rPr>
                <w:sz w:val="20"/>
                <w:szCs w:val="20"/>
                <w:color w:val="auto"/>
              </w:rPr>
            </w:pPr>
            <w:r>
              <w:rPr>
                <w:rFonts w:ascii="Arial" w:cs="Arial" w:eastAsia="Arial" w:hAnsi="Arial"/>
                <w:sz w:val="18"/>
                <w:szCs w:val="18"/>
                <w:color w:val="auto"/>
              </w:rPr>
              <w:t>Outstanding, December 29, 2012</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860,325</w:t>
            </w:r>
          </w:p>
        </w:tc>
        <w:tc>
          <w:tcPr>
            <w:tcW w:w="3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0FFFF"/>
            </w:tcBorders>
            <w:shd w:val="clear" w:color="auto" w:fill="C0FF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vesting date fair value of shares that vested in 2012, 2011 and 2010 was $4.6 million, $2.5 million and $2.6 million, respectively.</w:t>
      </w:r>
    </w:p>
    <w:p>
      <w:pPr>
        <w:spacing w:after="0" w:line="279"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During 2012, 278,308 shares of restricted stock were granted to employees of the Company. The shares vest over a period of four years from the grant date at grant date fair values ranging from $3.59 to $8.32. Various members of the Company’s board of directors were granted an additional 87,962 shares in the aggregate of restricted stock as compensation for services. The shares were issued subject to a restriction of continued service on the board of directors and all restrictions lapse six months from the grant date or upon a director’s retirement upon the completion of his or her term, if earlier.</w:t>
      </w:r>
    </w:p>
    <w:p>
      <w:pPr>
        <w:spacing w:after="0" w:line="208"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During 2011, 455,640 shares of restricted stock were granted to employees of the Company. The shares vest over a period of four years from the grant date at grant date fair values ranging from $5.31 to $7.94. Various members of the Company’s board of directors were granted an additional 77,151 shares in the aggregate of restricted stock as compensation for services. The shares were issued subject to a restriction of continued service on the board of directors and all restrictions lapse one year from the grant date or upon a director’s retirement upon the completion of his or her term, if earlier.</w:t>
      </w:r>
    </w:p>
    <w:p>
      <w:pPr>
        <w:spacing w:after="0" w:line="208"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During 2010, 402,656 shares of restricted stock were granted to employees of the Company. The shares vest over a period of four years from the grant date at grant date fair values ranging from $5.94 to $9.64. Various members of the Company’s board of directors were granted an additional 83,646 shares in the aggregate of restricted stock as compensation for services. The shares were issued subject to a restriction of continued service on the board of directors and all restrictions lapse one year from the grant date or upon a director’s retirement upon the completion of his or her term, if earlier.</w:t>
      </w:r>
    </w:p>
    <w:p>
      <w:pPr>
        <w:spacing w:after="0" w:line="208"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 aggregate unearned compensation expense related to options and restricted stock was $4.3 million as of December 29, 2012. Based on the vesting provisions of the underlying equity instruments, future compensation expense related to previously issued options and restricted stock at December 29, 2012 will be as follows (in thousands):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shd w:val="clear" w:color="auto" w:fill="C0FFFF"/>
          </w:tcPr>
          <w:p>
            <w:pPr>
              <w:jc w:val="right"/>
              <w:ind w:right="3630"/>
              <w:spacing w:after="0"/>
              <w:rPr>
                <w:sz w:val="20"/>
                <w:szCs w:val="20"/>
                <w:color w:val="auto"/>
              </w:rPr>
            </w:pPr>
            <w:r>
              <w:rPr>
                <w:rFonts w:ascii="Arial" w:cs="Arial" w:eastAsia="Arial" w:hAnsi="Arial"/>
                <w:sz w:val="18"/>
                <w:szCs w:val="18"/>
                <w:color w:val="auto"/>
                <w:w w:val="79"/>
              </w:rPr>
              <w:t>2013</w:t>
            </w:r>
          </w:p>
        </w:tc>
        <w:tc>
          <w:tcPr>
            <w:tcW w:w="4180" w:type="dxa"/>
            <w:vAlign w:val="bottom"/>
            <w:gridSpan w:val="2"/>
            <w:shd w:val="clear" w:color="auto" w:fill="C0FF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right"/>
              <w:ind w:right="3630"/>
              <w:spacing w:after="0"/>
              <w:rPr>
                <w:sz w:val="20"/>
                <w:szCs w:val="20"/>
                <w:color w:val="auto"/>
              </w:rPr>
            </w:pPr>
            <w:r>
              <w:rPr>
                <w:rFonts w:ascii="Arial" w:cs="Arial" w:eastAsia="Arial" w:hAnsi="Arial"/>
                <w:sz w:val="18"/>
                <w:szCs w:val="18"/>
                <w:color w:val="auto"/>
                <w:w w:val="79"/>
              </w:rPr>
              <w:t>2014</w:t>
            </w:r>
          </w:p>
        </w:tc>
        <w:tc>
          <w:tcPr>
            <w:tcW w:w="3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0FFFF"/>
          </w:tcPr>
          <w:p>
            <w:pPr>
              <w:jc w:val="right"/>
              <w:ind w:right="3630"/>
              <w:spacing w:after="0"/>
              <w:rPr>
                <w:sz w:val="20"/>
                <w:szCs w:val="20"/>
                <w:color w:val="auto"/>
              </w:rPr>
            </w:pPr>
            <w:r>
              <w:rPr>
                <w:rFonts w:ascii="Arial" w:cs="Arial" w:eastAsia="Arial" w:hAnsi="Arial"/>
                <w:sz w:val="18"/>
                <w:szCs w:val="18"/>
                <w:color w:val="auto"/>
                <w:w w:val="79"/>
              </w:rPr>
              <w:t>2015</w:t>
            </w:r>
          </w:p>
        </w:tc>
        <w:tc>
          <w:tcPr>
            <w:tcW w:w="370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jc w:val="right"/>
              <w:ind w:right="3630"/>
              <w:spacing w:after="0"/>
              <w:rPr>
                <w:sz w:val="20"/>
                <w:szCs w:val="20"/>
                <w:color w:val="auto"/>
              </w:rPr>
            </w:pPr>
            <w:r>
              <w:rPr>
                <w:rFonts w:ascii="Arial" w:cs="Arial" w:eastAsia="Arial" w:hAnsi="Arial"/>
                <w:sz w:val="18"/>
                <w:szCs w:val="18"/>
                <w:color w:val="auto"/>
                <w:w w:val="79"/>
              </w:rPr>
              <w:t>2016</w:t>
            </w:r>
          </w:p>
        </w:tc>
        <w:tc>
          <w:tcPr>
            <w:tcW w:w="3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060" w:type="dxa"/>
            <w:vAlign w:val="bottom"/>
            <w:shd w:val="clear" w:color="auto" w:fill="C0FFFF"/>
          </w:tcPr>
          <w:p>
            <w:pPr>
              <w:spacing w:after="0"/>
              <w:rPr>
                <w:sz w:val="20"/>
                <w:szCs w:val="20"/>
                <w:color w:val="auto"/>
              </w:rPr>
            </w:pPr>
          </w:p>
        </w:tc>
        <w:tc>
          <w:tcPr>
            <w:tcW w:w="4180" w:type="dxa"/>
            <w:vAlign w:val="bottom"/>
            <w:gridSpan w:val="2"/>
            <w:shd w:val="clear" w:color="auto" w:fill="C0FF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4,338</w:t>
            </w:r>
          </w:p>
        </w:tc>
        <w:tc>
          <w:tcPr>
            <w:tcW w:w="80" w:type="dxa"/>
            <w:vAlign w:val="bottom"/>
            <w:shd w:val="clear" w:color="auto" w:fill="C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0FFFF"/>
            </w:tcBorders>
            <w:shd w:val="clear" w:color="auto" w:fill="C0FFFF"/>
          </w:tcPr>
          <w:p>
            <w:pPr>
              <w:spacing w:after="0" w:line="20" w:lineRule="exact"/>
              <w:rPr>
                <w:sz w:val="1"/>
                <w:szCs w:val="1"/>
                <w:color w:val="auto"/>
              </w:rPr>
            </w:pPr>
          </w:p>
        </w:tc>
        <w:tc>
          <w:tcPr>
            <w:tcW w:w="3700" w:type="dxa"/>
            <w:vAlign w:val="bottom"/>
            <w:tcBorders>
              <w:top w:val="single" w:sz="8" w:color="C0FFFF"/>
            </w:tcBorders>
            <w:shd w:val="clear" w:color="auto" w:fill="C0FF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ind w:right="500" w:firstLine="486"/>
        <w:spacing w:after="0" w:line="312" w:lineRule="auto"/>
        <w:rPr>
          <w:sz w:val="20"/>
          <w:szCs w:val="20"/>
          <w:color w:val="auto"/>
        </w:rPr>
      </w:pPr>
      <w:r>
        <w:rPr>
          <w:rFonts w:ascii="Arial" w:cs="Arial" w:eastAsia="Arial" w:hAnsi="Arial"/>
          <w:sz w:val="16"/>
          <w:szCs w:val="16"/>
          <w:color w:val="auto"/>
        </w:rPr>
        <w:t>The outstanding non-vested restricted stock is included in the number of outstanding shares on the face of the consolidated balance sheets, but is treated as outstanding stock options for accounting purposes. The shares of non-vested restricted stock, accounted for as options, are included in the calculation of diluted earnings per share using the two-class method, with the proceeds equal to the sum of unrecognized compensation cost.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72" w:name="page73"/>
    <w:bookmarkEnd w:id="72"/>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8520" w:type="dxa"/>
            <w:vAlign w:val="bottom"/>
            <w:gridSpan w:val="2"/>
          </w:tcPr>
          <w:p>
            <w:pPr>
              <w:ind w:left="100"/>
              <w:spacing w:after="0"/>
              <w:rPr>
                <w:sz w:val="20"/>
                <w:szCs w:val="20"/>
                <w:color w:val="auto"/>
              </w:rPr>
            </w:pPr>
            <w:r>
              <w:rPr>
                <w:rFonts w:ascii="Arial" w:cs="Arial" w:eastAsia="Arial" w:hAnsi="Arial"/>
                <w:sz w:val="18"/>
                <w:szCs w:val="18"/>
                <w:color w:val="auto"/>
                <w:w w:val="90"/>
              </w:rPr>
              <w:t>The following table summarizes the changes in outstanding shares of common stock for fiscal 2010, 2011 and 2012:</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Common</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7760" w:type="dxa"/>
            <w:vAlign w:val="bottom"/>
            <w:shd w:val="clear" w:color="auto" w:fill="C0FFFF"/>
          </w:tcPr>
          <w:p>
            <w:pPr>
              <w:spacing w:after="0"/>
              <w:rPr>
                <w:sz w:val="20"/>
                <w:szCs w:val="20"/>
                <w:color w:val="auto"/>
              </w:rPr>
            </w:pPr>
            <w:r>
              <w:rPr>
                <w:rFonts w:ascii="Arial" w:cs="Arial" w:eastAsia="Arial" w:hAnsi="Arial"/>
                <w:sz w:val="18"/>
                <w:szCs w:val="18"/>
                <w:color w:val="auto"/>
              </w:rPr>
              <w:t>Shares as of January 2, 2010</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20,447,343</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280" w:type="dxa"/>
            <w:vAlign w:val="bottom"/>
          </w:tcPr>
          <w:p>
            <w:pPr>
              <w:jc w:val="right"/>
              <w:spacing w:after="0"/>
              <w:rPr>
                <w:sz w:val="20"/>
                <w:szCs w:val="20"/>
                <w:color w:val="auto"/>
              </w:rPr>
            </w:pPr>
            <w:r>
              <w:rPr>
                <w:rFonts w:ascii="Arial" w:cs="Arial" w:eastAsia="Arial" w:hAnsi="Arial"/>
                <w:sz w:val="18"/>
                <w:szCs w:val="18"/>
                <w:color w:val="auto"/>
              </w:rPr>
              <w:t>318,045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Repurchase of shares</w:t>
            </w:r>
          </w:p>
        </w:tc>
        <w:tc>
          <w:tcPr>
            <w:tcW w:w="13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(1,133,765)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6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Shares as of January 1, 2011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19,631,623</w:t>
            </w: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302,007</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(2,528,360)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60" w:type="dxa"/>
            <w:vAlign w:val="bottom"/>
            <w:shd w:val="clear" w:color="auto" w:fill="C0FFFF"/>
          </w:tcPr>
          <w:p>
            <w:pPr>
              <w:spacing w:after="0"/>
              <w:rPr>
                <w:sz w:val="20"/>
                <w:szCs w:val="20"/>
                <w:color w:val="auto"/>
              </w:rPr>
            </w:pPr>
            <w:r>
              <w:rPr>
                <w:rFonts w:ascii="Arial" w:cs="Arial" w:eastAsia="Arial" w:hAnsi="Arial"/>
                <w:sz w:val="18"/>
                <w:szCs w:val="18"/>
                <w:color w:val="auto"/>
              </w:rPr>
              <w:t>Shares as of December 31, 2011</w:t>
            </w:r>
          </w:p>
        </w:tc>
        <w:tc>
          <w:tcPr>
            <w:tcW w:w="128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17,405,270</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280" w:type="dxa"/>
            <w:vAlign w:val="bottom"/>
          </w:tcPr>
          <w:p>
            <w:pPr>
              <w:jc w:val="right"/>
              <w:spacing w:after="0"/>
              <w:rPr>
                <w:sz w:val="20"/>
                <w:szCs w:val="20"/>
                <w:color w:val="auto"/>
              </w:rPr>
            </w:pPr>
            <w:r>
              <w:rPr>
                <w:rFonts w:ascii="Arial" w:cs="Arial" w:eastAsia="Arial" w:hAnsi="Arial"/>
                <w:sz w:val="18"/>
                <w:szCs w:val="18"/>
                <w:color w:val="auto"/>
              </w:rPr>
              <w:t>29,612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Repurchase of shares</w:t>
            </w:r>
          </w:p>
        </w:tc>
        <w:tc>
          <w:tcPr>
            <w:tcW w:w="13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(366,700)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6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Shares as of December 29, 2012</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17,068,182</w:t>
            </w: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7"/>
              </w:rPr>
              <w:t>(15)</w:t>
            </w:r>
          </w:p>
        </w:tc>
        <w:tc>
          <w:tcPr>
            <w:tcW w:w="85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Related-Party Transactions</w:t>
            </w: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00" w:type="dxa"/>
            <w:vAlign w:val="bottom"/>
            <w:vMerge w:val="continue"/>
          </w:tcPr>
          <w:p>
            <w:pPr>
              <w:spacing w:after="0"/>
              <w:rPr>
                <w:sz w:val="24"/>
                <w:szCs w:val="24"/>
                <w:color w:val="auto"/>
              </w:rPr>
            </w:pPr>
          </w:p>
        </w:tc>
        <w:tc>
          <w:tcPr>
            <w:tcW w:w="85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Company bought fixtures for new stores and furniture for the corporate offices from a related party. The total payments to this related party for fixtures and furniture amounted to $0.9 million, $0.5 million and $0.6 million, in 2012, 2011 and 2010, respectively. The total amount due to this related party as of December 29, 2012 and December 31, 2011 was $-0-.</w:t>
      </w:r>
    </w:p>
    <w:p>
      <w:pPr>
        <w:spacing w:after="0" w:line="23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collected $2.2 million, $2.4 million and $2.8 million in 2012, 2011 and 2010, respectively, from its guests on behalf of charitable foundations controlled by certain executive officers of the Company. Substantially all of the contributions are collected from guests at the point of sale via pin pad prompts or as a portion of the proceeds of specifically identified products. The foundations support a variety of children’s causes, domestic animal shelters, disaster relief and other concerns. The foundations distribute grants to qualifying charitable organizations based upon decisions of their respective contribution committees most of whose members are employees of the Company. The total due to the charitable foundations as of December 29, 2012 and December 31, 2011 was $0.7 million and $0.5 million, respectively.</w:t>
      </w:r>
    </w:p>
    <w:p>
      <w:pPr>
        <w:spacing w:after="0" w:line="243"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Major Vendors</w:t>
      </w:r>
    </w:p>
    <w:p>
      <w:pPr>
        <w:spacing w:after="0" w:line="283"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Three vendors, each of whose primary manufacturing facilities are located in China, accounted for approximately 80%, 81% and 73% of inventory purchases in 2012, 2011 and 2010, respectively.</w:t>
      </w: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73" w:name="page74"/>
    <w:bookmarkEnd w:id="73"/>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8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Ireland, France and other retail delivery operations, including the Company’s web store, temporary stores and non-traditional store locations such as baseball ballparks. The international franchising segment includes the licensing activities of the Company’s franchise agreements with store locations in Europe, Asia, Australia, Africa, the Middle East, Mexico and South America. The commercial segment has been established to market the naming and branding rights of the Company’s intellectual properties for third party use.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 Following is a summary of the financial information for the Company’s reporting segments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Retail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Commercial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Franchising</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spacing w:after="0"/>
              <w:rPr>
                <w:sz w:val="20"/>
                <w:szCs w:val="20"/>
                <w:color w:val="auto"/>
              </w:rPr>
            </w:pPr>
            <w:r>
              <w:rPr>
                <w:rFonts w:ascii="Arial" w:cs="Arial" w:eastAsia="Arial" w:hAnsi="Arial"/>
                <w:sz w:val="18"/>
                <w:szCs w:val="18"/>
                <w:color w:val="auto"/>
              </w:rPr>
              <w:t>Fiscal 2012</w:t>
            </w:r>
          </w:p>
        </w:tc>
        <w:tc>
          <w:tcPr>
            <w:tcW w:w="78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10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tcBorders>
              <w:top w:val="single" w:sz="8" w:color="auto"/>
            </w:tcBorders>
            <w:shd w:val="clear" w:color="auto" w:fill="C0FFFF"/>
          </w:tcPr>
          <w:p>
            <w:pPr>
              <w:spacing w:after="0"/>
              <w:rPr>
                <w:sz w:val="18"/>
                <w:szCs w:val="18"/>
                <w:color w:val="auto"/>
              </w:rPr>
            </w:pPr>
          </w:p>
        </w:tc>
        <w:tc>
          <w:tcPr>
            <w:tcW w:w="112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9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80"/>
              <w:spacing w:after="0"/>
              <w:rPr>
                <w:sz w:val="20"/>
                <w:szCs w:val="20"/>
                <w:color w:val="auto"/>
              </w:rPr>
            </w:pPr>
            <w:r>
              <w:rPr>
                <w:rFonts w:ascii="Arial" w:cs="Arial" w:eastAsia="Arial" w:hAnsi="Arial"/>
                <w:sz w:val="18"/>
                <w:szCs w:val="18"/>
                <w:color w:val="auto"/>
              </w:rPr>
              <w:t>Net sales to external customers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374,553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3,598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ind w:left="280"/>
              <w:spacing w:after="0"/>
              <w:rPr>
                <w:sz w:val="20"/>
                <w:szCs w:val="20"/>
                <w:color w:val="auto"/>
              </w:rPr>
            </w:pPr>
            <w:r>
              <w:rPr>
                <w:rFonts w:ascii="Arial" w:cs="Arial" w:eastAsia="Arial" w:hAnsi="Arial"/>
                <w:sz w:val="18"/>
                <w:szCs w:val="18"/>
                <w:color w:val="auto"/>
              </w:rPr>
              <w:t>Net income (loss) before income taxes</w:t>
            </w:r>
          </w:p>
        </w:tc>
        <w:tc>
          <w:tcPr>
            <w:tcW w:w="7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(49,215)</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1,993</w:t>
            </w: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21,243</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21,422</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Fiscal 2011</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ind w:left="280"/>
              <w:spacing w:after="0"/>
              <w:rPr>
                <w:sz w:val="20"/>
                <w:szCs w:val="20"/>
                <w:color w:val="auto"/>
              </w:rPr>
            </w:pPr>
            <w:r>
              <w:rPr>
                <w:rFonts w:ascii="Arial" w:cs="Arial" w:eastAsia="Arial" w:hAnsi="Arial"/>
                <w:sz w:val="18"/>
                <w:szCs w:val="18"/>
                <w:color w:val="auto"/>
              </w:rPr>
              <w:t>Net sales to external customers</w:t>
            </w: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387,041</w:t>
            </w:r>
          </w:p>
        </w:tc>
        <w:tc>
          <w:tcPr>
            <w:tcW w:w="140" w:type="dxa"/>
            <w:vAlign w:val="bottom"/>
            <w:shd w:val="clear" w:color="auto" w:fill="C0FFFF"/>
          </w:tcPr>
          <w:p>
            <w:pPr>
              <w:spacing w:after="0"/>
              <w:rPr>
                <w:sz w:val="18"/>
                <w:szCs w:val="18"/>
                <w:color w:val="auto"/>
              </w:rPr>
            </w:pP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3,943</w:t>
            </w:r>
          </w:p>
        </w:tc>
        <w:tc>
          <w:tcPr>
            <w:tcW w:w="140" w:type="dxa"/>
            <w:vAlign w:val="bottom"/>
            <w:shd w:val="clear" w:color="auto" w:fill="C0FFFF"/>
          </w:tcPr>
          <w:p>
            <w:pPr>
              <w:spacing w:after="0"/>
              <w:rPr>
                <w:sz w:val="18"/>
                <w:szCs w:val="18"/>
                <w:color w:val="auto"/>
              </w:rPr>
            </w:pPr>
          </w:p>
        </w:tc>
        <w:tc>
          <w:tcPr>
            <w:tcW w:w="1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3,391</w:t>
            </w:r>
          </w:p>
        </w:tc>
        <w:tc>
          <w:tcPr>
            <w:tcW w:w="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394,375</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80"/>
              <w:spacing w:after="0"/>
              <w:rPr>
                <w:sz w:val="20"/>
                <w:szCs w:val="20"/>
                <w:color w:val="auto"/>
              </w:rPr>
            </w:pPr>
            <w:r>
              <w:rPr>
                <w:rFonts w:ascii="Arial" w:cs="Arial" w:eastAsia="Arial" w:hAnsi="Arial"/>
                <w:sz w:val="18"/>
                <w:szCs w:val="18"/>
                <w:color w:val="auto"/>
              </w:rPr>
              <w:t>Net income (loss) before income taxes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ind w:left="28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12,137</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spacing w:after="0"/>
              <w:rPr>
                <w:sz w:val="20"/>
                <w:szCs w:val="20"/>
                <w:color w:val="auto"/>
              </w:rPr>
            </w:pPr>
            <w:r>
              <w:rPr>
                <w:rFonts w:ascii="Arial" w:cs="Arial" w:eastAsia="Arial" w:hAnsi="Arial"/>
                <w:sz w:val="18"/>
                <w:szCs w:val="18"/>
                <w:color w:val="auto"/>
              </w:rPr>
              <w:t>Fiscal 2010</w:t>
            </w:r>
          </w:p>
        </w:tc>
        <w:tc>
          <w:tcPr>
            <w:tcW w:w="7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80"/>
              <w:spacing w:after="0"/>
              <w:rPr>
                <w:sz w:val="20"/>
                <w:szCs w:val="20"/>
                <w:color w:val="auto"/>
              </w:rPr>
            </w:pPr>
            <w:r>
              <w:rPr>
                <w:rFonts w:ascii="Arial" w:cs="Arial" w:eastAsia="Arial" w:hAnsi="Arial"/>
                <w:sz w:val="18"/>
                <w:szCs w:val="18"/>
                <w:color w:val="auto"/>
              </w:rPr>
              <w:t>Net sales to external customers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387,163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11,246</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3,043</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ind w:left="280"/>
              <w:spacing w:after="0"/>
              <w:rPr>
                <w:sz w:val="20"/>
                <w:szCs w:val="20"/>
                <w:color w:val="auto"/>
              </w:rPr>
            </w:pPr>
            <w:r>
              <w:rPr>
                <w:rFonts w:ascii="Arial" w:cs="Arial" w:eastAsia="Arial" w:hAnsi="Arial"/>
                <w:sz w:val="18"/>
                <w:szCs w:val="18"/>
                <w:color w:val="auto"/>
              </w:rPr>
              <w:t>Net income (loss) before income taxes</w:t>
            </w:r>
          </w:p>
        </w:tc>
        <w:tc>
          <w:tcPr>
            <w:tcW w:w="7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(6,858)</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2,827</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1,559</w:t>
            </w: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26,482</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26,976</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0FFFF"/>
          </w:tcPr>
          <w:p>
            <w:pPr>
              <w:spacing w:after="0"/>
              <w:rPr>
                <w:sz w:val="20"/>
                <w:szCs w:val="20"/>
                <w:color w:val="auto"/>
              </w:rPr>
            </w:pPr>
            <w:r>
              <w:rPr>
                <w:rFonts w:ascii="Arial" w:cs="Arial" w:eastAsia="Arial" w:hAnsi="Arial"/>
                <w:sz w:val="18"/>
                <w:szCs w:val="18"/>
                <w:color w:val="auto"/>
              </w:rPr>
              <w:t>Total Assets as of:</w:t>
            </w:r>
          </w:p>
        </w:tc>
        <w:tc>
          <w:tcPr>
            <w:tcW w:w="7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80"/>
              <w:spacing w:after="0"/>
              <w:rPr>
                <w:sz w:val="20"/>
                <w:szCs w:val="20"/>
                <w:color w:val="auto"/>
              </w:rPr>
            </w:pPr>
            <w:r>
              <w:rPr>
                <w:rFonts w:ascii="Arial" w:cs="Arial" w:eastAsia="Arial" w:hAnsi="Arial"/>
                <w:sz w:val="18"/>
                <w:szCs w:val="18"/>
                <w:color w:val="auto"/>
              </w:rPr>
              <w:t>December 29, 2012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182,186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7,098</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0FFFF"/>
          </w:tcPr>
          <w:p>
            <w:pPr>
              <w:ind w:left="280"/>
              <w:spacing w:after="0"/>
              <w:rPr>
                <w:sz w:val="20"/>
                <w:szCs w:val="20"/>
                <w:color w:val="auto"/>
              </w:rPr>
            </w:pPr>
            <w:r>
              <w:rPr>
                <w:rFonts w:ascii="Arial" w:cs="Arial" w:eastAsia="Arial" w:hAnsi="Arial"/>
                <w:sz w:val="18"/>
                <w:szCs w:val="18"/>
                <w:color w:val="auto"/>
              </w:rPr>
              <w:t>December 31, 2011</w:t>
            </w:r>
          </w:p>
        </w:tc>
        <w:tc>
          <w:tcPr>
            <w:tcW w:w="10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229,190</w:t>
            </w:r>
          </w:p>
        </w:tc>
        <w:tc>
          <w:tcPr>
            <w:tcW w:w="140" w:type="dxa"/>
            <w:vAlign w:val="bottom"/>
            <w:shd w:val="clear" w:color="auto" w:fill="C0FFFF"/>
          </w:tcPr>
          <w:p>
            <w:pPr>
              <w:spacing w:after="0"/>
              <w:rPr>
                <w:sz w:val="18"/>
                <w:szCs w:val="18"/>
                <w:color w:val="auto"/>
              </w:rPr>
            </w:pP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9,877</w:t>
            </w:r>
          </w:p>
        </w:tc>
        <w:tc>
          <w:tcPr>
            <w:tcW w:w="140" w:type="dxa"/>
            <w:vAlign w:val="bottom"/>
            <w:shd w:val="clear" w:color="auto" w:fill="C0FFFF"/>
          </w:tcPr>
          <w:p>
            <w:pPr>
              <w:spacing w:after="0"/>
              <w:rPr>
                <w:sz w:val="18"/>
                <w:szCs w:val="18"/>
                <w:color w:val="auto"/>
              </w:rPr>
            </w:pPr>
          </w:p>
        </w:tc>
        <w:tc>
          <w:tcPr>
            <w:tcW w:w="1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2,504</w:t>
            </w:r>
          </w:p>
        </w:tc>
        <w:tc>
          <w:tcPr>
            <w:tcW w:w="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241,571</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420" w:firstLine="486"/>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North</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America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Europe (2)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Other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500" w:type="dxa"/>
            <w:vAlign w:val="bottom"/>
            <w:shd w:val="clear" w:color="auto" w:fill="C0FFFF"/>
          </w:tcPr>
          <w:p>
            <w:pPr>
              <w:spacing w:after="0"/>
              <w:rPr>
                <w:sz w:val="20"/>
                <w:szCs w:val="20"/>
                <w:color w:val="auto"/>
              </w:rPr>
            </w:pPr>
            <w:r>
              <w:rPr>
                <w:rFonts w:ascii="Arial" w:cs="Arial" w:eastAsia="Arial" w:hAnsi="Arial"/>
                <w:sz w:val="18"/>
                <w:szCs w:val="18"/>
                <w:color w:val="auto"/>
              </w:rPr>
              <w:t>Fiscal 2012</w:t>
            </w:r>
          </w:p>
        </w:tc>
        <w:tc>
          <w:tcPr>
            <w:tcW w:w="1120" w:type="dxa"/>
            <w:vAlign w:val="bottom"/>
            <w:shd w:val="clear" w:color="auto" w:fill="C0FFFF"/>
          </w:tcPr>
          <w:p>
            <w:pPr>
              <w:spacing w:after="0"/>
              <w:rPr>
                <w:sz w:val="18"/>
                <w:szCs w:val="18"/>
                <w:color w:val="auto"/>
              </w:rPr>
            </w:pPr>
          </w:p>
        </w:tc>
        <w:tc>
          <w:tcPr>
            <w:tcW w:w="120" w:type="dxa"/>
            <w:vAlign w:val="bottom"/>
            <w:tcBorders>
              <w:top w:val="single" w:sz="8" w:color="auto"/>
            </w:tcBorders>
            <w:shd w:val="clear" w:color="auto" w:fill="C0FFFF"/>
          </w:tcPr>
          <w:p>
            <w:pPr>
              <w:spacing w:after="0"/>
              <w:rPr>
                <w:sz w:val="18"/>
                <w:szCs w:val="18"/>
                <w:color w:val="auto"/>
              </w:rPr>
            </w:pPr>
          </w:p>
        </w:tc>
        <w:tc>
          <w:tcPr>
            <w:tcW w:w="112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9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306,049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72,788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380,941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0FFFF"/>
          </w:tcPr>
          <w:p>
            <w:pPr>
              <w:ind w:left="140"/>
              <w:spacing w:after="0"/>
              <w:rPr>
                <w:sz w:val="20"/>
                <w:szCs w:val="20"/>
                <w:color w:val="auto"/>
              </w:rPr>
            </w:pPr>
            <w:r>
              <w:rPr>
                <w:rFonts w:ascii="Arial" w:cs="Arial" w:eastAsia="Arial" w:hAnsi="Arial"/>
                <w:sz w:val="18"/>
                <w:szCs w:val="18"/>
                <w:color w:val="auto"/>
              </w:rPr>
              <w:t>Property and equipment, net</w:t>
            </w:r>
          </w:p>
        </w:tc>
        <w:tc>
          <w:tcPr>
            <w:tcW w:w="1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61,995</w:t>
            </w: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9,464</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71,459</w:t>
            </w: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Fiscal 2011</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0FFFF"/>
          </w:tcPr>
          <w:p>
            <w:pPr>
              <w:ind w:left="140"/>
              <w:spacing w:after="0"/>
              <w:rPr>
                <w:sz w:val="20"/>
                <w:szCs w:val="20"/>
                <w:color w:val="auto"/>
              </w:rPr>
            </w:pPr>
            <w:r>
              <w:rPr>
                <w:rFonts w:ascii="Arial" w:cs="Arial" w:eastAsia="Arial" w:hAnsi="Arial"/>
                <w:sz w:val="18"/>
                <w:szCs w:val="18"/>
                <w:color w:val="auto"/>
              </w:rPr>
              <w:t>Net sales to external customers</w:t>
            </w: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316,853</w:t>
            </w:r>
          </w:p>
        </w:tc>
        <w:tc>
          <w:tcPr>
            <w:tcW w:w="3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75,469</w:t>
            </w:r>
          </w:p>
        </w:tc>
        <w:tc>
          <w:tcPr>
            <w:tcW w:w="3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2,053</w:t>
            </w:r>
          </w:p>
        </w:tc>
        <w:tc>
          <w:tcPr>
            <w:tcW w:w="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394,375</w:t>
            </w: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0FFFF"/>
          </w:tcPr>
          <w:p>
            <w:pPr>
              <w:spacing w:after="0"/>
              <w:rPr>
                <w:sz w:val="20"/>
                <w:szCs w:val="20"/>
                <w:color w:val="auto"/>
              </w:rPr>
            </w:pPr>
            <w:r>
              <w:rPr>
                <w:rFonts w:ascii="Arial" w:cs="Arial" w:eastAsia="Arial" w:hAnsi="Arial"/>
                <w:sz w:val="18"/>
                <w:szCs w:val="18"/>
                <w:color w:val="auto"/>
              </w:rPr>
              <w:t>Fiscal 2010</w:t>
            </w:r>
          </w:p>
        </w:tc>
        <w:tc>
          <w:tcPr>
            <w:tcW w:w="1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328,524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70,864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401,452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0FFFF"/>
          </w:tcPr>
          <w:p>
            <w:pPr>
              <w:ind w:left="140"/>
              <w:spacing w:after="0"/>
              <w:rPr>
                <w:sz w:val="20"/>
                <w:szCs w:val="20"/>
                <w:color w:val="auto"/>
              </w:rPr>
            </w:pPr>
            <w:r>
              <w:rPr>
                <w:rFonts w:ascii="Arial" w:cs="Arial" w:eastAsia="Arial" w:hAnsi="Arial"/>
                <w:sz w:val="18"/>
                <w:szCs w:val="18"/>
                <w:color w:val="auto"/>
              </w:rPr>
              <w:t>Property and equipment, net</w:t>
            </w:r>
          </w:p>
        </w:tc>
        <w:tc>
          <w:tcPr>
            <w:tcW w:w="1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76,729</w:t>
            </w:r>
          </w:p>
        </w:tc>
        <w:tc>
          <w:tcPr>
            <w:tcW w:w="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11,300</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88,029</w:t>
            </w:r>
          </w:p>
        </w:tc>
        <w:tc>
          <w:tcPr>
            <w:tcW w:w="100" w:type="dxa"/>
            <w:vAlign w:val="bottom"/>
            <w:shd w:val="clear" w:color="auto" w:fill="C0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8147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Europe includes the United Kingdom, Ireland, franchise businesses in Europe and, prior to 2011, Company-owned stores in France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61"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8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On February 28, 2013, the Company announced the extension of its previously announced $50 million share repurchase program until March 31, 2014, subject to further extension by the Company’s Board of Directors. The Company currently intends to purchase up to $50 million of its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the Company to repurchase any specific number of shares and may be modified, suspended or terminated at any time without prior notice. Shares repurchased under the program will be subsequently retired. As of March 8, 2013, there was $7.4 million of availability remaining under the program.</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478"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p>
      <w:pPr>
        <w:spacing w:after="0" w:line="275" w:lineRule="exact"/>
        <w:rPr>
          <w:sz w:val="20"/>
          <w:szCs w:val="20"/>
          <w:color w:val="auto"/>
        </w:rPr>
      </w:pPr>
    </w:p>
    <w:p>
      <w:pPr>
        <w:jc w:val="right"/>
        <w:ind w:right="368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8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Deferred Tax Asset Valuation Allowance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-107315</wp:posOffset>
            </wp:positionV>
            <wp:extent cx="579755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Balance as of January 1, 2011</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Charged to cost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Charged to other accounts</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Balance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Charged to cost and expenses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Charged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Deductions</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Balance as of December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20" w:hanging="815"/>
        <w:spacing w:after="0"/>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561</w:t>
      </w:r>
    </w:p>
    <w:p>
      <w:pPr>
        <w:spacing w:after="0" w:line="4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15,565</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1"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16,126</w:t>
      </w:r>
    </w:p>
    <w:p>
      <w:pPr>
        <w:spacing w:after="0" w:line="248"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4,739</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5715</wp:posOffset>
            </wp:positionV>
            <wp:extent cx="100330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03300" cy="17145"/>
                    </a:xfrm>
                    <a:prstGeom prst="rect">
                      <a:avLst/>
                    </a:prstGeom>
                    <a:noFill/>
                  </pic:spPr>
                </pic:pic>
              </a:graphicData>
            </a:graphic>
          </wp:anchor>
        </w:drawing>
      </w:r>
    </w:p>
    <w:p>
      <w:pPr>
        <w:spacing w:after="0" w:line="2" w:lineRule="exact"/>
        <w:rPr>
          <w:sz w:val="20"/>
          <w:szCs w:val="20"/>
          <w:color w:val="auto"/>
        </w:rPr>
      </w:pPr>
    </w:p>
    <w:p>
      <w:pPr>
        <w:ind w:left="600" w:hanging="595"/>
        <w:spacing w:after="0"/>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20,865</w:t>
      </w:r>
    </w:p>
    <w:p>
      <w:pPr>
        <w:spacing w:after="0" w:line="763" w:lineRule="exact"/>
        <w:rPr>
          <w:sz w:val="20"/>
          <w:szCs w:val="20"/>
          <w:color w:val="auto"/>
        </w:rPr>
      </w:pPr>
    </w:p>
    <w:p>
      <w:pPr>
        <w:sectPr>
          <w:pgSz w:w="11900" w:h="16838" w:orient="portrait"/>
          <w:cols w:equalWidth="0" w:num="2">
            <w:col w:w="7920" w:space="720"/>
            <w:col w:w="2780"/>
          </w:cols>
          <w:pgMar w:left="240" w:top="517" w:right="239" w:bottom="1440" w:gutter="0" w:footer="0" w:header="0"/>
        </w:sectPr>
      </w:pP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1"/>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Agreement and Plan of Merger dated April 3, 2000 between Build-A-Bear Workshop, L.L.C. and the Registrant</w:t>
            </w:r>
          </w:p>
        </w:tc>
        <w:tc>
          <w:tcPr>
            <w:tcW w:w="15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9"/>
              </w:rPr>
              <w:t>(incorporated by reference from Exhibit 2.1 to our Registration Statement on Form S-1, filed on August 12, 2004,</w:t>
            </w:r>
          </w:p>
        </w:tc>
        <w:tc>
          <w:tcPr>
            <w:tcW w:w="1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7"/>
              </w:rPr>
              <w:t>Third Amended and Restated Certificate of Incorporation (incorporated by reference from Exhibit 3.1 of our Current</w:t>
            </w:r>
          </w:p>
        </w:tc>
        <w:tc>
          <w:tcPr>
            <w:tcW w:w="152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Report on Form 8-K, filed on November 8, 2004)</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4"/>
              </w:rPr>
              <w:t>Amended and Restated Bylaws (incorporated by reference from Exhibit 3.4 to our Registration Statement on Form S-1,</w:t>
            </w:r>
          </w:p>
        </w:tc>
        <w:tc>
          <w:tcPr>
            <w:tcW w:w="152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filed on August 12, 2004, 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1"/>
              </w:rPr>
              <w:t>Specimen Stock Certificate (incorporated by reference from Exhibit 4.1 to Amendment No. 3 to our Registration Statement</w:t>
            </w:r>
          </w:p>
        </w:tc>
        <w:tc>
          <w:tcPr>
            <w:tcW w:w="152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on Form S-1, filed on October 1, 2004, 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5"/>
              </w:rPr>
              <w:t>Build-A-Bear Workshop, Inc. 2000 Stock Option Plan (incorporated by reference from Exhibit 10.1 to our Registration</w:t>
            </w:r>
          </w:p>
        </w:tc>
        <w:tc>
          <w:tcPr>
            <w:tcW w:w="152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Statement on Form S-1, filed on August 12, 2004, 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2"/>
              </w:rPr>
              <w:t>Form of Incentive Stock Option Agreement under the Build-A-Bear Workshop, Inc. 2000 Stock Option Plan (incorporated</w:t>
            </w:r>
          </w:p>
        </w:tc>
        <w:tc>
          <w:tcPr>
            <w:tcW w:w="15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4"/>
              </w:rPr>
              <w:t>by reference from Exhibit 10.1.1 to Pre-Effective Amendment No. 3 to our Registration Statement on Form S-1, filed on</w:t>
            </w:r>
          </w:p>
        </w:tc>
        <w:tc>
          <w:tcPr>
            <w:tcW w:w="1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October 1, 2004, 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Form of Nonqualified Stock Option Agreement under the Build-A-Bear Workshop, Inc. 2000 Stock Option Plan</w:t>
            </w:r>
          </w:p>
        </w:tc>
        <w:tc>
          <w:tcPr>
            <w:tcW w:w="15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3"/>
              </w:rPr>
              <w:t>(incorporated by reference from Exhibit 10.1.2 to Pre-Effective Amendment No. 3 to our Registration Statement on Form</w:t>
            </w:r>
          </w:p>
        </w:tc>
        <w:tc>
          <w:tcPr>
            <w:tcW w:w="1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S-1, filed on October 1, 2004, 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3"/>
              </w:rPr>
              <w:t>Build-A-Bear Workshop, Inc. 2002 Stock Incentive Plan, as amended (incorporated by reference from Exhibit 10.2 to our</w:t>
            </w:r>
          </w:p>
        </w:tc>
        <w:tc>
          <w:tcPr>
            <w:tcW w:w="152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Registration Statement on Form S-1, filed on August 12, 2004, 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5"/>
              </w:rPr>
              <w:t>Form of Manager-Level Incentive Stock Option Agreement under the Build-A-Bear Workshop, Inc. 2002 Stock Option</w:t>
            </w:r>
          </w:p>
        </w:tc>
        <w:tc>
          <w:tcPr>
            <w:tcW w:w="15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3"/>
              </w:rPr>
              <w:t>Plan (incorporated by reference from Exhibit 10.2.1 to Pre-Effective Amendment No. 3 to our Registration Statement on</w:t>
            </w:r>
          </w:p>
        </w:tc>
        <w:tc>
          <w:tcPr>
            <w:tcW w:w="1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Form S-1, filed on October 1, 2004, 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Form of Nonqualified Stock Option Agreement under the Build-A-Bear Workshop, Inc. 2002 Stock Option Plan</w:t>
            </w:r>
          </w:p>
        </w:tc>
        <w:tc>
          <w:tcPr>
            <w:tcW w:w="15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3"/>
              </w:rPr>
              <w:t>(incorporated by reference from Exhibit 10.2.2 to Pre-Effective Amendment No. 3 to our Registration Statement on Form</w:t>
            </w:r>
          </w:p>
        </w:tc>
        <w:tc>
          <w:tcPr>
            <w:tcW w:w="1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rPr>
              <w:t>S-1, filed on October 1, 2004, Registration No. 333-118142)</w:t>
            </w:r>
          </w:p>
        </w:tc>
        <w:tc>
          <w:tcPr>
            <w:tcW w:w="152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6"/>
              </w:rPr>
              <w:t>Build-A-Bear Workshop, Inc. 2004 Stock Incentive Plan (incorporated by reference from Exhibit 10.3 to Pre-Effective</w:t>
            </w:r>
          </w:p>
        </w:tc>
        <w:tc>
          <w:tcPr>
            <w:tcW w:w="152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Arial" w:cs="Arial" w:eastAsia="Arial" w:hAnsi="Arial"/>
                <w:sz w:val="18"/>
                <w:szCs w:val="18"/>
                <w:color w:val="auto"/>
                <w:w w:val="94"/>
              </w:rPr>
              <w:t>Amendment No. 3 to our Registration Statement on Form S-1, filed on October 1, 2004, Registration No. 333-118142)</w:t>
            </w:r>
          </w:p>
        </w:tc>
        <w:tc>
          <w:tcPr>
            <w:tcW w:w="1520" w:type="dxa"/>
            <w:vAlign w:val="bottom"/>
          </w:tcPr>
          <w:p>
            <w:pPr>
              <w:spacing w:after="0"/>
              <w:rPr>
                <w:sz w:val="20"/>
                <w:szCs w:val="20"/>
                <w:color w:val="auto"/>
              </w:rPr>
            </w:pPr>
          </w:p>
        </w:tc>
      </w:tr>
      <w:tr>
        <w:trPr>
          <w:trHeight w:val="608"/>
        </w:trPr>
        <w:tc>
          <w:tcPr>
            <w:tcW w:w="760" w:type="dxa"/>
            <w:vAlign w:val="bottom"/>
          </w:tcPr>
          <w:p>
            <w:pPr>
              <w:spacing w:after="0"/>
              <w:rPr>
                <w:sz w:val="24"/>
                <w:szCs w:val="24"/>
                <w:color w:val="auto"/>
              </w:rPr>
            </w:pPr>
          </w:p>
        </w:tc>
        <w:tc>
          <w:tcPr>
            <w:tcW w:w="9140" w:type="dxa"/>
            <w:vAlign w:val="bottom"/>
            <w:gridSpan w:val="2"/>
          </w:tcPr>
          <w:p>
            <w:pPr>
              <w:jc w:val="right"/>
              <w:ind w:right="4010"/>
              <w:spacing w:after="0"/>
              <w:rPr>
                <w:sz w:val="20"/>
                <w:szCs w:val="20"/>
                <w:color w:val="auto"/>
              </w:rPr>
            </w:pPr>
            <w:r>
              <w:rPr>
                <w:rFonts w:ascii="Arial" w:cs="Arial" w:eastAsia="Arial" w:hAnsi="Arial"/>
                <w:sz w:val="18"/>
                <w:szCs w:val="18"/>
                <w:color w:val="auto"/>
              </w:rPr>
              <w:t>69</w:t>
            </w:r>
          </w:p>
        </w:tc>
        <w:tc>
          <w:tcPr>
            <w:tcW w:w="1520" w:type="dxa"/>
            <w:vAlign w:val="bottom"/>
          </w:tcPr>
          <w:p>
            <w:pPr>
              <w:spacing w:after="0"/>
              <w:rPr>
                <w:sz w:val="24"/>
                <w:szCs w:val="24"/>
                <w:color w:val="auto"/>
              </w:rPr>
            </w:pPr>
          </w:p>
        </w:tc>
      </w:tr>
      <w:tr>
        <w:trPr>
          <w:trHeight w:val="118"/>
        </w:trPr>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9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75" w:name="page76"/>
    <w:bookmarkEnd w:id="75"/>
    <w:p>
      <w:pPr>
        <w:ind w:left="980" w:right="479" w:hanging="971"/>
        <w:spacing w:after="0" w:line="264" w:lineRule="auto"/>
        <w:tabs>
          <w:tab w:leader="none" w:pos="9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Incentive Stock Option Agreement under the Build-A-Bear Workshop, Inc. 2004 Stock Incentive Plan (incorporated by reference from Exhibit 10.3.1 to Pre-Effective Amendment No. 3 to our Registration Statement on Form S-1, filed on October 1, 2004, Registration No. 333-118142)</w:t>
      </w:r>
    </w:p>
    <w:p>
      <w:pPr>
        <w:spacing w:after="0" w:line="181" w:lineRule="exact"/>
        <w:rPr>
          <w:sz w:val="20"/>
          <w:szCs w:val="20"/>
          <w:color w:val="auto"/>
        </w:rPr>
      </w:pPr>
    </w:p>
    <w:p>
      <w:pPr>
        <w:jc w:val="both"/>
        <w:ind w:left="980" w:right="599" w:hanging="971"/>
        <w:spacing w:after="0" w:line="264" w:lineRule="auto"/>
        <w:tabs>
          <w:tab w:leader="none" w:pos="9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Model Incentive Stock Option Agreement Under the Registrant’s 2004 Stock Incentive Plan (incorporated by reference from Exhibit 10.3.3 to Pre-Effective Amendment No. 5 to our Registration Statement on Form S-1, filed on October 12, 2004, Registration No. 333-118142)</w:t>
      </w:r>
    </w:p>
    <w:p>
      <w:pPr>
        <w:spacing w:after="0" w:line="181" w:lineRule="exact"/>
        <w:rPr>
          <w:sz w:val="20"/>
          <w:szCs w:val="20"/>
          <w:color w:val="auto"/>
        </w:rPr>
      </w:pPr>
    </w:p>
    <w:p>
      <w:pPr>
        <w:ind w:left="980" w:right="319" w:hanging="971"/>
        <w:spacing w:after="0" w:line="264" w:lineRule="auto"/>
        <w:tabs>
          <w:tab w:leader="none" w:pos="9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Form of Employee Nonqualified Stock Option Under the Registrant’s 2004 Stock Incentive Plan (incorporated by reference from Exhibit 10.3.4 to Pre-Effective Amendment No. 5 to our Registration Statement on Form S-1, filed on October 12, 2004, Registration No. 333-118142)</w:t>
      </w:r>
    </w:p>
    <w:p>
      <w:pPr>
        <w:spacing w:after="0" w:line="181" w:lineRule="exact"/>
        <w:rPr>
          <w:sz w:val="20"/>
          <w:szCs w:val="20"/>
          <w:color w:val="auto"/>
        </w:rPr>
      </w:pPr>
    </w:p>
    <w:p>
      <w:pPr>
        <w:ind w:left="980" w:right="639" w:hanging="971"/>
        <w:spacing w:after="0" w:line="277" w:lineRule="auto"/>
        <w:tabs>
          <w:tab w:leader="none" w:pos="96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Form of Restricted Stock Grant Agreement under the Company’s 2004 Stock Incentive Plan (incorporated by reference from Exhibit 10.1 to our Current Report on Form 8-K, filed on August 1, 2006)</w:t>
      </w:r>
    </w:p>
    <w:p>
      <w:pPr>
        <w:spacing w:after="0" w:line="170" w:lineRule="exact"/>
        <w:rPr>
          <w:sz w:val="20"/>
          <w:szCs w:val="20"/>
          <w:color w:val="auto"/>
        </w:rPr>
      </w:pPr>
    </w:p>
    <w:p>
      <w:pPr>
        <w:ind w:left="980" w:right="639" w:hanging="971"/>
        <w:spacing w:after="0" w:line="277" w:lineRule="auto"/>
        <w:tabs>
          <w:tab w:leader="none" w:pos="96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Form of Restricted Stock Grant Agreement under the Company’s 2004 Stock Incentive Plan (incorporated by reference from Exhibit 10.1 to our Quarterly Report on Form 10-Q, filed on May 8, 2008)</w:t>
      </w:r>
    </w:p>
    <w:p>
      <w:pPr>
        <w:spacing w:after="0" w:line="170" w:lineRule="exact"/>
        <w:rPr>
          <w:sz w:val="20"/>
          <w:szCs w:val="20"/>
          <w:color w:val="auto"/>
        </w:rPr>
      </w:pPr>
    </w:p>
    <w:p>
      <w:pPr>
        <w:ind w:left="980" w:right="519" w:hanging="971"/>
        <w:spacing w:after="0" w:line="277" w:lineRule="auto"/>
        <w:tabs>
          <w:tab w:leader="none" w:pos="96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Second Amended and Restated Build-A-Bear Workshop, Inc. 2004 Stock Incentive Plan (incorporated by reference from Exhibit 99.1 to our Registration Statement on Form S-8, filed on May 18, 2009)</w:t>
      </w:r>
    </w:p>
    <w:p>
      <w:pPr>
        <w:spacing w:after="0" w:line="170" w:lineRule="exact"/>
        <w:rPr>
          <w:sz w:val="20"/>
          <w:szCs w:val="20"/>
          <w:color w:val="auto"/>
        </w:rPr>
      </w:pPr>
    </w:p>
    <w:p>
      <w:pPr>
        <w:ind w:left="980" w:right="499" w:hanging="971"/>
        <w:spacing w:after="0" w:line="264" w:lineRule="auto"/>
        <w:tabs>
          <w:tab w:leader="none" w:pos="96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Form of the Restricted Stock and Non-Qualified Stock Option Agreement under the Registrant’s Second Amended and Restated 2004 Stock Incentive Plan (incorporated by reference from Exhibit 10.1 on our Quarterly Report on Form 10-Q, filed on May 14, 2009)</w:t>
      </w:r>
    </w:p>
    <w:p>
      <w:pPr>
        <w:spacing w:after="0" w:line="181" w:lineRule="exact"/>
        <w:rPr>
          <w:sz w:val="20"/>
          <w:szCs w:val="20"/>
          <w:color w:val="auto"/>
        </w:rPr>
      </w:pPr>
    </w:p>
    <w:p>
      <w:pPr>
        <w:ind w:left="980" w:right="459" w:hanging="971"/>
        <w:spacing w:after="0" w:line="342" w:lineRule="auto"/>
        <w:tabs>
          <w:tab w:leader="none" w:pos="96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Form of the Restricted Stock Agreement under the Registrant’s Second Amended and Restated 2004 Stock Incentive Plan (incorporated by reference from Exhibit 10.3 on our Current Report on Form 8-K, filed on May 20, 2009)</w:t>
      </w:r>
    </w:p>
    <w:p>
      <w:pPr>
        <w:spacing w:after="0" w:line="124" w:lineRule="exact"/>
        <w:rPr>
          <w:sz w:val="20"/>
          <w:szCs w:val="20"/>
          <w:color w:val="auto"/>
        </w:rPr>
      </w:pPr>
    </w:p>
    <w:p>
      <w:pPr>
        <w:ind w:left="980" w:right="359" w:hanging="971"/>
        <w:spacing w:after="0" w:line="264" w:lineRule="auto"/>
        <w:tabs>
          <w:tab w:leader="none" w:pos="960" w:val="left"/>
        </w:tabs>
        <w:rPr>
          <w:sz w:val="20"/>
          <w:szCs w:val="20"/>
          <w:color w:val="auto"/>
        </w:rPr>
      </w:pPr>
      <w:r>
        <w:rPr>
          <w:rFonts w:ascii="Arial" w:cs="Arial" w:eastAsia="Arial" w:hAnsi="Arial"/>
          <w:sz w:val="18"/>
          <w:szCs w:val="18"/>
          <w:color w:val="auto"/>
        </w:rPr>
        <w:t>10.3.10*</w:t>
      </w:r>
      <w:r>
        <w:rPr>
          <w:sz w:val="20"/>
          <w:szCs w:val="20"/>
          <w:color w:val="auto"/>
        </w:rPr>
        <w:tab/>
      </w:r>
      <w:r>
        <w:rPr>
          <w:rFonts w:ascii="Arial" w:cs="Arial" w:eastAsia="Arial" w:hAnsi="Arial"/>
          <w:sz w:val="18"/>
          <w:szCs w:val="18"/>
          <w:color w:val="auto"/>
        </w:rPr>
        <w:t>Form of the Restricted Stock and Non-Qualified Stock Option Agreement under the Registrant’s Second Amended and Restated 2004 Stock Incentive Plan (incorporated by reference from Exhibit 10.2 on our Current Report on Form 8-K, filed on March 28, 2011)</w:t>
      </w:r>
    </w:p>
    <w:p>
      <w:pPr>
        <w:sectPr>
          <w:pgSz w:w="11900" w:h="16838" w:orient="portrait"/>
          <w:cols w:equalWidth="0" w:num="1">
            <w:col w:w="10219"/>
          </w:cols>
          <w:pgMar w:left="240" w:top="517" w:right="1440"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10.4.1*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10.4.2*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10.4.3*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10.4.4*</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419"/>
        <w:spacing w:after="0" w:line="264" w:lineRule="auto"/>
        <w:rPr>
          <w:sz w:val="20"/>
          <w:szCs w:val="20"/>
          <w:color w:val="auto"/>
        </w:rPr>
      </w:pPr>
      <w:r>
        <w:rPr>
          <w:rFonts w:ascii="Arial" w:cs="Arial" w:eastAsia="Arial" w:hAnsi="Arial"/>
          <w:sz w:val="18"/>
          <w:szCs w:val="18"/>
          <w:color w:val="auto"/>
        </w:rPr>
        <w:t>Employment, Confidentiality and Noncompete Agreement dated May 1, 2004 between Maxine Clark and the Registrant (incorporated by reference from Exhibit 10.4 to Pre-Effective Amendment No. 2 to our Registration Statement on Form S-1, filed on September 20, 2004, Registration No. 333-118142)</w:t>
      </w:r>
    </w:p>
    <w:p>
      <w:pPr>
        <w:spacing w:after="0" w:line="181" w:lineRule="exact"/>
        <w:rPr>
          <w:sz w:val="20"/>
          <w:szCs w:val="20"/>
          <w:color w:val="auto"/>
        </w:rPr>
      </w:pPr>
    </w:p>
    <w:p>
      <w:pPr>
        <w:ind w:right="459"/>
        <w:spacing w:after="0" w:line="264" w:lineRule="auto"/>
        <w:rPr>
          <w:sz w:val="20"/>
          <w:szCs w:val="20"/>
          <w:color w:val="auto"/>
        </w:rPr>
      </w:pPr>
      <w:r>
        <w:rPr>
          <w:rFonts w:ascii="Arial" w:cs="Arial" w:eastAsia="Arial" w:hAnsi="Arial"/>
          <w:sz w:val="18"/>
          <w:szCs w:val="18"/>
          <w:color w:val="auto"/>
        </w:rPr>
        <w:t>First Amendment dated February 22, 2006 to the Employment, Confidentiality and Noncompete Agreement dated May 1, 2004 between Maxine Clark and the Registrant (incorporated by reference from Exhibit 10.4.1 to our Annual Report on Form 10-K for the year ended December 31, 2005)</w:t>
      </w:r>
    </w:p>
    <w:p>
      <w:pPr>
        <w:spacing w:after="0" w:line="181" w:lineRule="exact"/>
        <w:rPr>
          <w:sz w:val="20"/>
          <w:szCs w:val="20"/>
          <w:color w:val="auto"/>
        </w:rPr>
      </w:pPr>
    </w:p>
    <w:p>
      <w:pPr>
        <w:jc w:val="both"/>
        <w:ind w:right="699"/>
        <w:spacing w:after="0" w:line="264" w:lineRule="auto"/>
        <w:rPr>
          <w:sz w:val="20"/>
          <w:szCs w:val="20"/>
          <w:color w:val="auto"/>
        </w:rPr>
      </w:pPr>
      <w:r>
        <w:rPr>
          <w:rFonts w:ascii="Arial" w:cs="Arial" w:eastAsia="Arial" w:hAnsi="Arial"/>
          <w:sz w:val="18"/>
          <w:szCs w:val="18"/>
          <w:color w:val="auto"/>
        </w:rPr>
        <w:t>Second Amendment dated March 22, 2011 to Employment, Confidentiality and Noncompete Agreement dated May 1, 2004 between Maxine Clark and the Registrant (incorporated by reference from Exhibit 10.1 on our Current Report on Form 8-K, filed on March 28, 2011)</w:t>
      </w:r>
    </w:p>
    <w:p>
      <w:pPr>
        <w:spacing w:after="0" w:line="181" w:lineRule="exact"/>
        <w:rPr>
          <w:sz w:val="20"/>
          <w:szCs w:val="20"/>
          <w:color w:val="auto"/>
        </w:rPr>
      </w:pPr>
    </w:p>
    <w:p>
      <w:pPr>
        <w:jc w:val="both"/>
        <w:ind w:right="459"/>
        <w:spacing w:after="0" w:line="264" w:lineRule="auto"/>
        <w:rPr>
          <w:sz w:val="20"/>
          <w:szCs w:val="20"/>
          <w:color w:val="auto"/>
        </w:rPr>
      </w:pPr>
      <w:r>
        <w:rPr>
          <w:rFonts w:ascii="Arial" w:cs="Arial" w:eastAsia="Arial" w:hAnsi="Arial"/>
          <w:sz w:val="18"/>
          <w:szCs w:val="18"/>
          <w:color w:val="auto"/>
        </w:rPr>
        <w:t>Retirement, Separation Agreement and General Release by and between Maxine Clark and Build-A-Bear Workshop, Inc., dated January 28, 2013 (incorporated by reference from Exhibit 10.1 to our Current Report on Form 8-K, filed on January 31, 2013)</w:t>
      </w:r>
    </w:p>
    <w:p>
      <w:pPr>
        <w:spacing w:after="0" w:line="181" w:lineRule="exact"/>
        <w:rPr>
          <w:sz w:val="20"/>
          <w:szCs w:val="20"/>
          <w:color w:val="auto"/>
        </w:rPr>
      </w:pPr>
    </w:p>
    <w:p>
      <w:pPr>
        <w:ind w:right="1139"/>
        <w:spacing w:after="0" w:line="342" w:lineRule="auto"/>
        <w:rPr>
          <w:sz w:val="20"/>
          <w:szCs w:val="20"/>
          <w:color w:val="auto"/>
        </w:rPr>
      </w:pPr>
      <w:r>
        <w:rPr>
          <w:rFonts w:ascii="Arial" w:cs="Arial" w:eastAsia="Arial" w:hAnsi="Arial"/>
          <w:sz w:val="16"/>
          <w:szCs w:val="16"/>
          <w:color w:val="auto"/>
        </w:rPr>
        <w:t>Consulting Agreement by and between Maxine Clark and Build-A-Bear Workshop, Inc., dated January 28, 2013 (incorporated by reference from Exhibit 10.2 to our Current Report on Form 8-K, filed on January 31, 2013)</w:t>
      </w:r>
    </w:p>
    <w:p>
      <w:pPr>
        <w:spacing w:after="0" w:line="124" w:lineRule="exact"/>
        <w:rPr>
          <w:sz w:val="20"/>
          <w:szCs w:val="20"/>
          <w:color w:val="auto"/>
        </w:rPr>
      </w:pPr>
    </w:p>
    <w:p>
      <w:pPr>
        <w:ind w:right="419"/>
        <w:spacing w:after="0" w:line="264" w:lineRule="auto"/>
        <w:rPr>
          <w:sz w:val="20"/>
          <w:szCs w:val="20"/>
          <w:color w:val="auto"/>
        </w:rPr>
      </w:pPr>
      <w:r>
        <w:rPr>
          <w:rFonts w:ascii="Arial" w:cs="Arial" w:eastAsia="Arial" w:hAnsi="Arial"/>
          <w:sz w:val="18"/>
          <w:szCs w:val="18"/>
          <w:color w:val="auto"/>
        </w:rPr>
        <w:t>Employment, Confidentiality and Noncompete Agreement dated March 7, 2004 between Tina Klocke and the Registrant (incorporated by reference from Exhibit 10.6 to Pre-Effective Amendment No. 2 to our Registration Statement on Form S-1, filed on September 20, 2004, Registration No. 333-118142)</w:t>
      </w:r>
    </w:p>
    <w:p>
      <w:pPr>
        <w:spacing w:after="0" w:line="181" w:lineRule="exact"/>
        <w:rPr>
          <w:sz w:val="20"/>
          <w:szCs w:val="20"/>
          <w:color w:val="auto"/>
        </w:rPr>
      </w:pPr>
    </w:p>
    <w:p>
      <w:pPr>
        <w:sectPr>
          <w:pgSz w:w="11900" w:h="16838" w:orient="portrait"/>
          <w:cols w:equalWidth="0" w:num="2">
            <w:col w:w="540" w:space="440"/>
            <w:col w:w="9239"/>
          </w:cols>
          <w:pgMar w:left="240" w:top="517" w:right="1440" w:bottom="1440" w:gutter="0" w:footer="0" w:header="0"/>
          <w:type w:val="continuous"/>
        </w:sectPr>
      </w:pPr>
    </w:p>
    <w:p>
      <w:pPr>
        <w:jc w:val="both"/>
        <w:ind w:left="980" w:right="499" w:hanging="971"/>
        <w:spacing w:after="0" w:line="264" w:lineRule="auto"/>
        <w:tabs>
          <w:tab w:leader="none" w:pos="96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First Amendment dated February 22, 2006 to the Employment, Confidentiality and Noncompete Agreement dated March 7, 2004 between Tina Klocke and the Registrant (incorporated by reference from Exhibit 10.6.1 to our Annual Report on Form 10-K for the year ended December 31, 2005)</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bookmarkStart w:id="76" w:name="page77"/>
    <w:bookmarkEnd w:id="76"/>
    <w:p>
      <w:pPr>
        <w:ind w:right="419" w:hanging="971"/>
        <w:spacing w:after="0" w:line="264" w:lineRule="auto"/>
        <w:rPr>
          <w:sz w:val="20"/>
          <w:szCs w:val="20"/>
          <w:color w:val="auto"/>
        </w:rPr>
      </w:pPr>
      <w:r>
        <w:rPr>
          <w:rFonts w:ascii="Arial" w:cs="Arial" w:eastAsia="Arial" w:hAnsi="Arial"/>
          <w:sz w:val="18"/>
          <w:szCs w:val="18"/>
          <w:color w:val="auto"/>
        </w:rPr>
        <w:t>10.6*</w:t>
      </w:r>
      <w:r>
        <w:rPr>
          <w:sz w:val="20"/>
          <w:szCs w:val="20"/>
          <w:color w:val="auto"/>
        </w:rPr>
        <w:t xml:space="preserve"> </w:t>
      </w:r>
      <w:r>
        <w:rPr>
          <w:rFonts w:ascii="Arial" w:cs="Arial" w:eastAsia="Arial" w:hAnsi="Arial"/>
          <w:sz w:val="18"/>
          <w:szCs w:val="18"/>
          <w:color w:val="auto"/>
        </w:rPr>
        <w:t>Employment, Confidentiality and Noncompete Agreement dated as of January 10, 2007 between Dave Finnegan and the Registrant (incorporated by reference from Exhibit 10.6 to our Annual Report on Form 10-K for the year ended January 2, 2010)</w:t>
      </w:r>
    </w:p>
    <w:p>
      <w:pPr>
        <w:spacing w:after="0" w:line="181" w:lineRule="exact"/>
        <w:rPr>
          <w:sz w:val="20"/>
          <w:szCs w:val="20"/>
          <w:color w:val="auto"/>
        </w:rPr>
      </w:pPr>
    </w:p>
    <w:p>
      <w:pPr>
        <w:ind w:right="499" w:hanging="971"/>
        <w:spacing w:after="0" w:line="264" w:lineRule="auto"/>
        <w:rPr>
          <w:sz w:val="20"/>
          <w:szCs w:val="20"/>
          <w:color w:val="auto"/>
        </w:rPr>
      </w:pPr>
      <w:r>
        <w:rPr>
          <w:rFonts w:ascii="Arial" w:cs="Arial" w:eastAsia="Arial" w:hAnsi="Arial"/>
          <w:sz w:val="18"/>
          <w:szCs w:val="18"/>
          <w:color w:val="auto"/>
        </w:rPr>
        <w:t>10.7*</w:t>
      </w:r>
      <w:r>
        <w:rPr>
          <w:sz w:val="20"/>
          <w:szCs w:val="20"/>
          <w:color w:val="auto"/>
        </w:rPr>
        <w:t xml:space="preserve"> </w:t>
      </w:r>
      <w:r>
        <w:rPr>
          <w:rFonts w:ascii="Arial" w:cs="Arial" w:eastAsia="Arial" w:hAnsi="Arial"/>
          <w:sz w:val="18"/>
          <w:szCs w:val="18"/>
          <w:color w:val="auto"/>
        </w:rPr>
        <w:t>Employment, Confidentiality and Noncompete Agreement dated September 10, 2001 between Teresa Kroll and the Registrant (incorporated by reference from Exhibit 10.9 to Pre-Effective Amendment No. 2 to our Registration Statement on Form S-1, filed on September 20, 2004, Registration No. 333-118142)</w:t>
      </w:r>
    </w:p>
    <w:p>
      <w:pPr>
        <w:spacing w:after="0" w:line="181" w:lineRule="exact"/>
        <w:rPr>
          <w:sz w:val="20"/>
          <w:szCs w:val="20"/>
          <w:color w:val="auto"/>
        </w:rPr>
      </w:pPr>
    </w:p>
    <w:p>
      <w:pPr>
        <w:ind w:right="399" w:hanging="971"/>
        <w:spacing w:after="0" w:line="264" w:lineRule="auto"/>
        <w:rPr>
          <w:sz w:val="20"/>
          <w:szCs w:val="20"/>
          <w:color w:val="auto"/>
        </w:rPr>
      </w:pPr>
      <w:r>
        <w:rPr>
          <w:rFonts w:ascii="Arial" w:cs="Arial" w:eastAsia="Arial" w:hAnsi="Arial"/>
          <w:sz w:val="18"/>
          <w:szCs w:val="18"/>
          <w:color w:val="auto"/>
        </w:rPr>
        <w:t>10.7.1*</w:t>
      </w:r>
      <w:r>
        <w:rPr>
          <w:sz w:val="20"/>
          <w:szCs w:val="20"/>
          <w:color w:val="auto"/>
        </w:rPr>
        <w:t xml:space="preserve"> </w:t>
      </w:r>
      <w:r>
        <w:rPr>
          <w:rFonts w:ascii="Arial" w:cs="Arial" w:eastAsia="Arial" w:hAnsi="Arial"/>
          <w:sz w:val="18"/>
          <w:szCs w:val="18"/>
          <w:color w:val="auto"/>
        </w:rPr>
        <w:t>First Amendment dated February 22, 2006 to the Employment, Confidentiality and Noncompete Agreement dated September 10, 2001 between Teresa Kroll and the Registrant (incorporated by reference from Exhibit 10.9.1 to our Annual Report on Form 10-K for the year ended December 31, 2005)</w:t>
      </w:r>
    </w:p>
    <w:p>
      <w:pPr>
        <w:spacing w:after="0" w:line="181" w:lineRule="exact"/>
        <w:rPr>
          <w:sz w:val="20"/>
          <w:szCs w:val="20"/>
          <w:color w:val="auto"/>
        </w:rPr>
      </w:pPr>
    </w:p>
    <w:p>
      <w:pPr>
        <w:ind w:right="859" w:hanging="971"/>
        <w:spacing w:after="0" w:line="342" w:lineRule="auto"/>
        <w:rPr>
          <w:sz w:val="20"/>
          <w:szCs w:val="20"/>
          <w:color w:val="auto"/>
        </w:rPr>
      </w:pPr>
      <w:r>
        <w:rPr>
          <w:rFonts w:ascii="Arial" w:cs="Arial" w:eastAsia="Arial" w:hAnsi="Arial"/>
          <w:sz w:val="18"/>
          <w:szCs w:val="18"/>
          <w:color w:val="auto"/>
        </w:rPr>
        <w:t>10.8*</w:t>
      </w:r>
      <w:r>
        <w:rPr>
          <w:sz w:val="20"/>
          <w:szCs w:val="20"/>
          <w:color w:val="auto"/>
        </w:rPr>
        <w:t xml:space="preserve"> </w:t>
      </w:r>
      <w:r>
        <w:rPr>
          <w:rFonts w:ascii="Arial" w:cs="Arial" w:eastAsia="Arial" w:hAnsi="Arial"/>
          <w:sz w:val="16"/>
          <w:szCs w:val="16"/>
          <w:color w:val="auto"/>
        </w:rPr>
        <w:t>Employment, Confidentiality and Noncompete Agreement dated July 1, 2008 between Eric Fencl and the Registrant (incorporated by reference from Exhibit 10.1 to our Quarterly Report on Form 10-Q, filed on November 6, 2008)</w:t>
      </w:r>
    </w:p>
    <w:p>
      <w:pPr>
        <w:spacing w:after="0" w:line="124" w:lineRule="exact"/>
        <w:rPr>
          <w:sz w:val="20"/>
          <w:szCs w:val="20"/>
          <w:color w:val="auto"/>
        </w:rPr>
      </w:pPr>
    </w:p>
    <w:p>
      <w:pPr>
        <w:ind w:right="919" w:hanging="971"/>
        <w:spacing w:after="0" w:line="277" w:lineRule="auto"/>
        <w:rPr>
          <w:sz w:val="20"/>
          <w:szCs w:val="20"/>
          <w:color w:val="auto"/>
        </w:rPr>
      </w:pPr>
      <w:r>
        <w:rPr>
          <w:rFonts w:ascii="Arial" w:cs="Arial" w:eastAsia="Arial" w:hAnsi="Arial"/>
          <w:sz w:val="18"/>
          <w:szCs w:val="18"/>
          <w:color w:val="auto"/>
        </w:rPr>
        <w:t>10.9*</w:t>
      </w:r>
      <w:r>
        <w:rPr>
          <w:sz w:val="20"/>
          <w:szCs w:val="20"/>
          <w:color w:val="auto"/>
        </w:rPr>
        <w:t xml:space="preserve"> </w:t>
      </w:r>
      <w:r>
        <w:rPr>
          <w:rFonts w:ascii="Arial" w:cs="Arial" w:eastAsia="Arial" w:hAnsi="Arial"/>
          <w:sz w:val="18"/>
          <w:szCs w:val="18"/>
          <w:color w:val="auto"/>
        </w:rPr>
        <w:t>Employment, Confidentiality and Noncompete Agreement dated December 3, 2012 between Kenneth Wine and the Registrant</w:t>
      </w:r>
    </w:p>
    <w:p>
      <w:pPr>
        <w:spacing w:after="0" w:line="170" w:lineRule="exact"/>
        <w:rPr>
          <w:sz w:val="20"/>
          <w:szCs w:val="20"/>
          <w:color w:val="auto"/>
        </w:rPr>
      </w:pPr>
    </w:p>
    <w:p>
      <w:pPr>
        <w:ind w:right="499" w:hanging="971"/>
        <w:spacing w:after="0" w:line="264" w:lineRule="auto"/>
        <w:rPr>
          <w:sz w:val="20"/>
          <w:szCs w:val="20"/>
          <w:color w:val="auto"/>
        </w:rPr>
      </w:pPr>
      <w:r>
        <w:rPr>
          <w:rFonts w:ascii="Arial" w:cs="Arial" w:eastAsia="Arial" w:hAnsi="Arial"/>
          <w:sz w:val="18"/>
          <w:szCs w:val="18"/>
          <w:color w:val="auto"/>
        </w:rPr>
        <w:t>10.10*</w:t>
      </w:r>
      <w:r>
        <w:rPr>
          <w:sz w:val="20"/>
          <w:szCs w:val="20"/>
          <w:color w:val="auto"/>
        </w:rPr>
        <w:t xml:space="preserve"> </w:t>
      </w:r>
      <w:r>
        <w:rPr>
          <w:rFonts w:ascii="Arial" w:cs="Arial" w:eastAsia="Arial" w:hAnsi="Arial"/>
          <w:sz w:val="18"/>
          <w:szCs w:val="18"/>
          <w:color w:val="auto"/>
        </w:rPr>
        <w:t>Form of Indemnification Agreement between the Registrant and its directors and executive officers (incorporated by reference from Exhibit 10.11 to our Registration Statement on Form S-1, filed on August 12, 2004, Registration No. 333-118142)</w:t>
      </w:r>
    </w:p>
    <w:p>
      <w:pPr>
        <w:spacing w:after="0" w:line="181" w:lineRule="exact"/>
        <w:rPr>
          <w:sz w:val="20"/>
          <w:szCs w:val="20"/>
          <w:color w:val="auto"/>
        </w:rPr>
      </w:pPr>
    </w:p>
    <w:p>
      <w:pPr>
        <w:ind w:right="539" w:hanging="971"/>
        <w:spacing w:after="0" w:line="312" w:lineRule="auto"/>
        <w:rPr>
          <w:sz w:val="20"/>
          <w:szCs w:val="20"/>
          <w:color w:val="auto"/>
        </w:rPr>
      </w:pPr>
      <w:r>
        <w:rPr>
          <w:rFonts w:ascii="Arial" w:cs="Arial" w:eastAsia="Arial" w:hAnsi="Arial"/>
          <w:sz w:val="18"/>
          <w:szCs w:val="18"/>
          <w:color w:val="auto"/>
        </w:rPr>
        <w:t>10.11</w:t>
      </w:r>
      <w:r>
        <w:rPr>
          <w:sz w:val="20"/>
          <w:szCs w:val="20"/>
          <w:color w:val="auto"/>
        </w:rPr>
        <w:t xml:space="preserve"> </w:t>
      </w:r>
      <w:r>
        <w:rPr>
          <w:rFonts w:ascii="Arial" w:cs="Arial" w:eastAsia="Arial" w:hAnsi="Arial"/>
          <w:sz w:val="16"/>
          <w:szCs w:val="16"/>
          <w:color w:val="auto"/>
        </w:rPr>
        <w:t>Third Amendment to Loan Documents among the Registrant, Shirts Illustrated, LLC, Build-A-Bear Workshop Franchise Holdings, Inc., Build-A-Bear Entertainment, LLC, Build-A-Bear Retail Management, LLC (incorporated by reference from Exhibit 10.12 to our Registration Statement on Form S-1, filed on August 12, 2004, Registration No. 333-118142)</w:t>
      </w:r>
    </w:p>
    <w:p>
      <w:pPr>
        <w:spacing w:after="0" w:line="147" w:lineRule="exact"/>
        <w:rPr>
          <w:sz w:val="20"/>
          <w:szCs w:val="20"/>
          <w:color w:val="auto"/>
        </w:rPr>
      </w:pPr>
    </w:p>
    <w:p>
      <w:pPr>
        <w:ind w:right="579" w:hanging="971"/>
        <w:spacing w:after="0" w:line="264" w:lineRule="auto"/>
        <w:rPr>
          <w:sz w:val="20"/>
          <w:szCs w:val="20"/>
          <w:color w:val="auto"/>
        </w:rPr>
      </w:pPr>
      <w:r>
        <w:rPr>
          <w:rFonts w:ascii="Arial" w:cs="Arial" w:eastAsia="Arial" w:hAnsi="Arial"/>
          <w:sz w:val="18"/>
          <w:szCs w:val="18"/>
          <w:color w:val="auto"/>
        </w:rPr>
        <w:t>10.11.1</w:t>
      </w:r>
      <w:r>
        <w:rPr>
          <w:sz w:val="20"/>
          <w:szCs w:val="20"/>
          <w:color w:val="auto"/>
        </w:rPr>
        <w:t xml:space="preserve"> </w:t>
      </w:r>
      <w:r>
        <w:rPr>
          <w:rFonts w:ascii="Arial" w:cs="Arial" w:eastAsia="Arial" w:hAnsi="Arial"/>
          <w:sz w:val="18"/>
          <w:szCs w:val="18"/>
          <w:color w:val="auto"/>
        </w:rPr>
        <w:t>Fifth Amendment to Loan Documents among the Registrant, Shirts Illustrated, LLC, Build-A-Bear Workshop Franchise Holdings, Inc., Build-A-Bear Entertainment, LLC, Build-A-Bear Retail Management, LLC (incorporated by reference from Exhibit 10.1 of our Current Report on Form 8-K, filed on July 10, 2006)</w:t>
      </w:r>
    </w:p>
    <w:p>
      <w:pPr>
        <w:spacing w:after="0" w:line="181" w:lineRule="exact"/>
        <w:rPr>
          <w:sz w:val="20"/>
          <w:szCs w:val="20"/>
          <w:color w:val="auto"/>
        </w:rPr>
      </w:pPr>
    </w:p>
    <w:p>
      <w:pPr>
        <w:ind w:right="419" w:hanging="971"/>
        <w:spacing w:after="0" w:line="257" w:lineRule="auto"/>
        <w:rPr>
          <w:sz w:val="20"/>
          <w:szCs w:val="20"/>
          <w:color w:val="auto"/>
        </w:rPr>
      </w:pPr>
      <w:r>
        <w:rPr>
          <w:rFonts w:ascii="Arial" w:cs="Arial" w:eastAsia="Arial" w:hAnsi="Arial"/>
          <w:sz w:val="18"/>
          <w:szCs w:val="18"/>
          <w:color w:val="auto"/>
        </w:rPr>
        <w:t>10.11.2</w:t>
      </w:r>
      <w:r>
        <w:rPr>
          <w:sz w:val="20"/>
          <w:szCs w:val="20"/>
          <w:color w:val="auto"/>
        </w:rPr>
        <w:t xml:space="preserve"> </w:t>
      </w:r>
      <w:r>
        <w:rPr>
          <w:rFonts w:ascii="Arial" w:cs="Arial" w:eastAsia="Arial" w:hAnsi="Arial"/>
          <w:sz w:val="18"/>
          <w:szCs w:val="18"/>
          <w:color w:val="auto"/>
        </w:rPr>
        <w:t>Sixth Amendment to Loan Documents between Build-A-Bear Workshop, Inc., Build-A-Bear Workshop Franchise Holdings, Inc. Build-A-Bear Entertainment, LLC, Build-A-Bear Retail Management, Inc., and Build-A-Bear Workshop UK Holdings Ltd., as borrowers, Build-A-Bear Workshop Canada, Ltd. and US Bank National Association, as lender entered into on and effective as of on June 19, 2007 (incorporated by reference from Exhibit 10.1 to our Current Report on Form 8-K filed on June 20, 2007)</w:t>
      </w:r>
    </w:p>
    <w:p>
      <w:pPr>
        <w:spacing w:after="0" w:line="188" w:lineRule="exact"/>
        <w:rPr>
          <w:sz w:val="20"/>
          <w:szCs w:val="20"/>
          <w:color w:val="auto"/>
        </w:rPr>
      </w:pPr>
    </w:p>
    <w:p>
      <w:pPr>
        <w:ind w:right="419" w:hanging="971"/>
        <w:spacing w:after="0" w:line="259" w:lineRule="auto"/>
        <w:rPr>
          <w:sz w:val="20"/>
          <w:szCs w:val="20"/>
          <w:color w:val="auto"/>
        </w:rPr>
      </w:pPr>
      <w:r>
        <w:rPr>
          <w:rFonts w:ascii="Arial" w:cs="Arial" w:eastAsia="Arial" w:hAnsi="Arial"/>
          <w:sz w:val="18"/>
          <w:szCs w:val="18"/>
          <w:color w:val="auto"/>
        </w:rPr>
        <w:t>10.11.3</w:t>
      </w:r>
      <w:r>
        <w:rPr>
          <w:sz w:val="20"/>
          <w:szCs w:val="20"/>
          <w:color w:val="auto"/>
        </w:rPr>
        <w:t xml:space="preserve"> </w:t>
      </w:r>
      <w:r>
        <w:rPr>
          <w:rFonts w:ascii="Arial" w:cs="Arial" w:eastAsia="Arial" w:hAnsi="Arial"/>
          <w:sz w:val="18"/>
          <w:szCs w:val="18"/>
          <w:color w:val="auto"/>
        </w:rPr>
        <w:t>Seventh Amendment to Loan Documents between Build-A-Bear Workshop, Inc., Build-A-Bear Workshop Franchise Holdings, Inc. Build-A-Bear Entertainment, LLC, and Build-A-Bear Retail Management, Inc., as borrowers, and US Bank National Association, as lender entered into as of on October 28, 2009 (incorporated by reference from Exhibit 10.1 to our Current Report on Form 8-K filed on October 29, 2009)</w:t>
      </w:r>
    </w:p>
    <w:p>
      <w:pPr>
        <w:spacing w:after="0" w:line="187" w:lineRule="exact"/>
        <w:rPr>
          <w:sz w:val="20"/>
          <w:szCs w:val="20"/>
          <w:color w:val="auto"/>
        </w:rPr>
      </w:pPr>
    </w:p>
    <w:p>
      <w:pPr>
        <w:ind w:right="399" w:hanging="971"/>
        <w:spacing w:after="0" w:line="259" w:lineRule="auto"/>
        <w:rPr>
          <w:sz w:val="20"/>
          <w:szCs w:val="20"/>
          <w:color w:val="auto"/>
        </w:rPr>
      </w:pPr>
      <w:r>
        <w:rPr>
          <w:rFonts w:ascii="Arial" w:cs="Arial" w:eastAsia="Arial" w:hAnsi="Arial"/>
          <w:sz w:val="18"/>
          <w:szCs w:val="18"/>
          <w:color w:val="auto"/>
        </w:rPr>
        <w:t>10.11.4</w:t>
      </w:r>
      <w:r>
        <w:rPr>
          <w:sz w:val="20"/>
          <w:szCs w:val="20"/>
          <w:color w:val="auto"/>
        </w:rPr>
        <w:t xml:space="preserve"> </w:t>
      </w:r>
      <w:r>
        <w:rPr>
          <w:rFonts w:ascii="Arial" w:cs="Arial" w:eastAsia="Arial" w:hAnsi="Arial"/>
          <w:sz w:val="18"/>
          <w:szCs w:val="18"/>
          <w:color w:val="auto"/>
        </w:rPr>
        <w:t>Eighth Amendment to Loan Documents between Build-A-Bear Workshop, Inc., Build-A-Bear Workshop Franchise Holdings, Inc., Build-A-Bear Entertainment, LLC, Build-A-Bear Retail Management, Inc., as Borrowers, and U.S. Bank National Association, as Lender, entered into effective as of December 31, 2010 (incorporated by reference to Exhibit 10.1 to our Current Report on Form 8-K filed on January 4, 2011)</w:t>
      </w:r>
    </w:p>
    <w:p>
      <w:pPr>
        <w:spacing w:after="0" w:line="187" w:lineRule="exact"/>
        <w:rPr>
          <w:sz w:val="20"/>
          <w:szCs w:val="20"/>
          <w:color w:val="auto"/>
        </w:rPr>
      </w:pPr>
    </w:p>
    <w:p>
      <w:pPr>
        <w:ind w:right="559" w:hanging="971"/>
        <w:spacing w:after="0" w:line="259" w:lineRule="auto"/>
        <w:rPr>
          <w:sz w:val="20"/>
          <w:szCs w:val="20"/>
          <w:color w:val="auto"/>
        </w:rPr>
      </w:pPr>
      <w:r>
        <w:rPr>
          <w:rFonts w:ascii="Arial" w:cs="Arial" w:eastAsia="Arial" w:hAnsi="Arial"/>
          <w:sz w:val="18"/>
          <w:szCs w:val="18"/>
          <w:color w:val="auto"/>
        </w:rPr>
        <w:t>10.11.5</w:t>
      </w:r>
      <w:r>
        <w:rPr>
          <w:sz w:val="20"/>
          <w:szCs w:val="20"/>
          <w:color w:val="auto"/>
        </w:rPr>
        <w:t xml:space="preserve"> </w:t>
      </w:r>
      <w:r>
        <w:rPr>
          <w:rFonts w:ascii="Arial" w:cs="Arial" w:eastAsia="Arial" w:hAnsi="Arial"/>
          <w:sz w:val="18"/>
          <w:szCs w:val="18"/>
          <w:color w:val="auto"/>
        </w:rPr>
        <w:t>Ninth Amendment to Loan Documents between Build-A-Bear Workshop, Inc., Build-A-Bear Workshop Franchise Holdings, Inc., Build-A-Bear Entertainment, LLC, Build-A-Bear Retail Management, Inc., as Borrowers, and U.S. Bank National Association, as Lender, entered into effective as of December 30, 2011 (incorporated by reference from Exhibit 10.1 to our Current Report on Form 8-K, filed on January 4, 2012)</w:t>
      </w:r>
    </w:p>
    <w:p>
      <w:pPr>
        <w:spacing w:after="0" w:line="187" w:lineRule="exact"/>
        <w:rPr>
          <w:sz w:val="20"/>
          <w:szCs w:val="20"/>
          <w:color w:val="auto"/>
        </w:rPr>
      </w:pPr>
    </w:p>
    <w:p>
      <w:pPr>
        <w:ind w:right="419" w:hanging="971"/>
        <w:spacing w:after="0" w:line="259" w:lineRule="auto"/>
        <w:rPr>
          <w:sz w:val="20"/>
          <w:szCs w:val="20"/>
          <w:color w:val="auto"/>
        </w:rPr>
      </w:pPr>
      <w:r>
        <w:rPr>
          <w:rFonts w:ascii="Arial" w:cs="Arial" w:eastAsia="Arial" w:hAnsi="Arial"/>
          <w:sz w:val="18"/>
          <w:szCs w:val="18"/>
          <w:color w:val="auto"/>
        </w:rPr>
        <w:t>10.11.6</w:t>
      </w:r>
      <w:r>
        <w:rPr>
          <w:sz w:val="20"/>
          <w:szCs w:val="20"/>
          <w:color w:val="auto"/>
        </w:rPr>
        <w:t xml:space="preserve"> </w:t>
      </w:r>
      <w:r>
        <w:rPr>
          <w:rFonts w:ascii="Arial" w:cs="Arial" w:eastAsia="Arial" w:hAnsi="Arial"/>
          <w:sz w:val="18"/>
          <w:szCs w:val="18"/>
          <w:color w:val="auto"/>
        </w:rPr>
        <w:t>Tenth Amendment to Loan Documents between Build-A-Bear Workshop, Inc., Build-A-Bear Workshop Franchise Holdings, Inc., Build-A-Bear Entertainment, LLC, Build-A-Bear Retail Management, Inc., as Borrowers, and U.S. Bank National Association, as Lender, entered into effective as of June 30, 2012 (incorporated by reference from Exhibit 10.1 to our Current Report on Form 8-K, filed on July 26, 2012)</w:t>
      </w:r>
    </w:p>
    <w:p>
      <w:pPr>
        <w:spacing w:after="0" w:line="187" w:lineRule="exact"/>
        <w:rPr>
          <w:sz w:val="20"/>
          <w:szCs w:val="20"/>
          <w:color w:val="auto"/>
        </w:rPr>
      </w:pPr>
    </w:p>
    <w:p>
      <w:pPr>
        <w:ind w:right="539" w:hanging="971"/>
        <w:spacing w:after="0" w:line="259" w:lineRule="auto"/>
        <w:rPr>
          <w:sz w:val="20"/>
          <w:szCs w:val="20"/>
          <w:color w:val="auto"/>
        </w:rPr>
      </w:pPr>
      <w:r>
        <w:rPr>
          <w:rFonts w:ascii="Arial" w:cs="Arial" w:eastAsia="Arial" w:hAnsi="Arial"/>
          <w:sz w:val="18"/>
          <w:szCs w:val="18"/>
          <w:color w:val="auto"/>
        </w:rPr>
        <w:t>10.11.7</w:t>
      </w:r>
      <w:r>
        <w:rPr>
          <w:sz w:val="20"/>
          <w:szCs w:val="20"/>
          <w:color w:val="auto"/>
        </w:rPr>
        <w:t xml:space="preserve"> </w:t>
      </w:r>
      <w:r>
        <w:rPr>
          <w:rFonts w:ascii="Arial" w:cs="Arial" w:eastAsia="Arial" w:hAnsi="Arial"/>
          <w:sz w:val="18"/>
          <w:szCs w:val="18"/>
          <w:color w:val="auto"/>
        </w:rPr>
        <w:t>Eleventh Amendment to Loan Documents between Build-A-Bear Workshop, Inc., Build-A-Bear Workshop Franchise Holdings, Inc., Build-A-Bear Entertainment, LLC, Build-A-Bear Retail Management, Inc., as Borrowers, and U.S. Bank National Association, as Lender, entered into effective as of December 21, 2012 (incorporated by reference from Exhibit 10.1 to our Current Report on Form 8-K, filed on December 21, 2012)</w:t>
      </w:r>
    </w:p>
    <w:p>
      <w:pPr>
        <w:spacing w:after="0" w:line="3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39"/>
          </w:cols>
          <w:pgMar w:left="1220" w:top="517" w:right="1440" w:bottom="1440" w:gutter="0" w:footer="0" w:header="0"/>
        </w:sectPr>
      </w:pPr>
    </w:p>
    <w:bookmarkStart w:id="77" w:name="page78"/>
    <w:bookmarkEnd w:id="77"/>
    <w:p>
      <w:pPr>
        <w:ind w:left="980" w:right="559" w:hanging="971"/>
        <w:spacing w:after="0" w:line="259" w:lineRule="auto"/>
        <w:tabs>
          <w:tab w:leader="none" w:pos="960" w:val="left"/>
        </w:tabs>
        <w:rPr>
          <w:sz w:val="20"/>
          <w:szCs w:val="20"/>
          <w:color w:val="auto"/>
        </w:rPr>
      </w:pPr>
      <w:r>
        <w:rPr>
          <w:rFonts w:ascii="Arial" w:cs="Arial" w:eastAsia="Arial" w:hAnsi="Arial"/>
          <w:sz w:val="18"/>
          <w:szCs w:val="18"/>
          <w:color w:val="auto"/>
        </w:rPr>
        <w:t>10.11.8</w:t>
      </w:r>
      <w:r>
        <w:rPr>
          <w:sz w:val="20"/>
          <w:szCs w:val="20"/>
          <w:color w:val="auto"/>
        </w:rPr>
        <w:tab/>
      </w:r>
      <w:r>
        <w:rPr>
          <w:rFonts w:ascii="Arial" w:cs="Arial" w:eastAsia="Arial" w:hAnsi="Arial"/>
          <w:sz w:val="18"/>
          <w:szCs w:val="18"/>
          <w:color w:val="auto"/>
        </w:rPr>
        <w:t>Twelfth Amendment to Loan Documents between Build-A-Bear Workshop, Inc., Build-A-Bear Workshop Franchise Holdings, Inc., Build-A-Bear Entertainment, LLC, Build-A-Bear Retail Management, Inc., as Borrowers, and U.S. Bank National Association, as Lender, entered into effective as of February 13, 2013 (incorporated by reference from Exhibit 10.1 to our Current Report on Form 8-K, filed on February 14, 2013)</w:t>
      </w:r>
    </w:p>
    <w:p>
      <w:pPr>
        <w:spacing w:after="0" w:line="187" w:lineRule="exact"/>
        <w:rPr>
          <w:sz w:val="20"/>
          <w:szCs w:val="20"/>
          <w:color w:val="auto"/>
        </w:rPr>
      </w:pPr>
    </w:p>
    <w:p>
      <w:pPr>
        <w:ind w:left="980" w:right="339" w:hanging="971"/>
        <w:spacing w:after="0" w:line="302" w:lineRule="auto"/>
        <w:tabs>
          <w:tab w:leader="none" w:pos="9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Third Amended and Restated Loan Agreement between the Registrant, Shirts Illustrated, LLC, Build-A-Bear Workshop Franchise Holdings, Inc., Build-A-Bear Entertainment, LLC, and Build-A-Bear Retail Management, Inc., as borrowers, and U.S. Bank National Association, as Lender, entered into on September 27, 2005 with an effective date of May 31, 2005 (incorporated by reference from Exhibit 10.1 to our Current Report on Form 8-K, filed on October 3, 2005)</w:t>
      </w:r>
    </w:p>
    <w:p>
      <w:pPr>
        <w:spacing w:after="0" w:line="154" w:lineRule="exact"/>
        <w:rPr>
          <w:sz w:val="20"/>
          <w:szCs w:val="20"/>
          <w:color w:val="auto"/>
        </w:rPr>
      </w:pPr>
    </w:p>
    <w:p>
      <w:pPr>
        <w:ind w:left="980" w:right="399" w:hanging="971"/>
        <w:spacing w:after="0" w:line="259" w:lineRule="auto"/>
        <w:tabs>
          <w:tab w:leader="none" w:pos="9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Second Amended and Restated Revolving Credit Note dated May 31, 2005 by the Registrant, Shirts Illustrated, LLC, Build-A-Bear Workshop Franchise Holdings, Inc., Build-A-Bear Entertainment, LLC, and Build-A-Bear Retail Management, Inc., as Borrowers, in favor of U.S. Bank National Association (incorporated by reference from Exhibit 10.2 to our Current Report on Form 8-K, filed on October 3, 2005)</w:t>
      </w:r>
    </w:p>
    <w:p>
      <w:pPr>
        <w:spacing w:after="0" w:line="187" w:lineRule="exact"/>
        <w:rPr>
          <w:sz w:val="20"/>
          <w:szCs w:val="20"/>
          <w:color w:val="auto"/>
        </w:rPr>
      </w:pPr>
    </w:p>
    <w:p>
      <w:pPr>
        <w:ind w:left="980" w:right="379" w:hanging="971"/>
        <w:spacing w:after="0" w:line="259" w:lineRule="auto"/>
        <w:tabs>
          <w:tab w:leader="none" w:pos="9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Fourth Amended and Restated Loan Agreement between the Registrant, Build-A-Bear Workshop Franchise Holdings, Inc., Build-A-Bear Entertainment, LLC, Build-A-Bear Retail Management, Inc., as borrowers, and U.S. Bank National Association, as lender, dated as of August 11, 2008 (incorporated by reference from Exhibit 10.1 to our Current Report on Form 8-K, filed on August 13, 2008)</w:t>
      </w:r>
    </w:p>
    <w:p>
      <w:pPr>
        <w:spacing w:after="0" w:line="187" w:lineRule="exact"/>
        <w:rPr>
          <w:sz w:val="20"/>
          <w:szCs w:val="20"/>
          <w:color w:val="auto"/>
        </w:rPr>
      </w:pPr>
    </w:p>
    <w:p>
      <w:pPr>
        <w:ind w:left="980" w:right="379" w:hanging="971"/>
        <w:spacing w:after="0" w:line="259" w:lineRule="auto"/>
        <w:tabs>
          <w:tab w:leader="none" w:pos="960" w:val="left"/>
        </w:tabs>
        <w:rPr>
          <w:sz w:val="20"/>
          <w:szCs w:val="20"/>
          <w:color w:val="auto"/>
        </w:rPr>
      </w:pPr>
      <w:r>
        <w:rPr>
          <w:rFonts w:ascii="Arial" w:cs="Arial" w:eastAsia="Arial" w:hAnsi="Arial"/>
          <w:sz w:val="18"/>
          <w:szCs w:val="18"/>
          <w:color w:val="auto"/>
        </w:rPr>
        <w:t>10.14.1</w:t>
      </w:r>
      <w:r>
        <w:rPr>
          <w:sz w:val="20"/>
          <w:szCs w:val="20"/>
          <w:color w:val="auto"/>
        </w:rPr>
        <w:tab/>
      </w:r>
      <w:r>
        <w:rPr>
          <w:rFonts w:ascii="Arial" w:cs="Arial" w:eastAsia="Arial" w:hAnsi="Arial"/>
          <w:sz w:val="18"/>
          <w:szCs w:val="18"/>
          <w:color w:val="auto"/>
        </w:rPr>
        <w:t>Fourth Amended And Restated Revolving Credit Note dated as of October 28, 2009 by the Registrant, Franchise Holdings, Inc., Build-A-Bear Entertainment, LLC (“BABE”), and Build-A-Bear Retail Management, Inc., as borrowers, in favor of U.S. Bank National Association (incorporated by reference from Exhibit 10.2 to our Current Report on Form 8-K, filed on August 13, 2008)</w:t>
      </w:r>
    </w:p>
    <w:p>
      <w:pPr>
        <w:spacing w:after="0" w:line="187" w:lineRule="exact"/>
        <w:rPr>
          <w:sz w:val="20"/>
          <w:szCs w:val="20"/>
          <w:color w:val="auto"/>
        </w:rPr>
      </w:pPr>
    </w:p>
    <w:p>
      <w:pPr>
        <w:ind w:left="980" w:right="699" w:hanging="971"/>
        <w:spacing w:after="0" w:line="342" w:lineRule="auto"/>
        <w:tabs>
          <w:tab w:leader="none" w:pos="9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Agreement dated July 19, 2001 between the Registrant and Adrienne Weiss Company (incorporated by reference from Exhibit 10.32 to our Registration Statement on Form S-1, filed on August 12, 2004, Registration No. 333-118142)</w:t>
      </w:r>
    </w:p>
    <w:p>
      <w:pPr>
        <w:spacing w:after="0" w:line="124" w:lineRule="exact"/>
        <w:rPr>
          <w:sz w:val="20"/>
          <w:szCs w:val="20"/>
          <w:color w:val="auto"/>
        </w:rPr>
      </w:pPr>
    </w:p>
    <w:p>
      <w:pPr>
        <w:ind w:left="980" w:right="519" w:hanging="971"/>
        <w:spacing w:after="0" w:line="264" w:lineRule="auto"/>
        <w:tabs>
          <w:tab w:leader="none" w:pos="9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Standard Form Industrial Building Lease dated August 28, 2004 between First Industrial, L.P. and the Registrant (incorporated by reference from Exhibit 10.35 to Pre-Effective Amendment No. 4 to our Registration Statement on Form S-1, filed on October 5, 2004, Registration No. 333-118142)</w:t>
      </w:r>
    </w:p>
    <w:p>
      <w:pPr>
        <w:spacing w:after="0" w:line="181" w:lineRule="exact"/>
        <w:rPr>
          <w:sz w:val="20"/>
          <w:szCs w:val="20"/>
          <w:color w:val="auto"/>
        </w:rPr>
      </w:pPr>
    </w:p>
    <w:p>
      <w:pPr>
        <w:ind w:left="980" w:right="459" w:hanging="971"/>
        <w:spacing w:after="0" w:line="277" w:lineRule="auto"/>
        <w:tabs>
          <w:tab w:leader="none" w:pos="96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8"/>
          <w:szCs w:val="18"/>
          <w:color w:val="auto"/>
        </w:rPr>
        <w:t>Third Amendment to Lease between First Industrial, L.P. and Registrant, dated as of November 21, 2007 (incorporated by reference from Exhibit 10.19.1 to our Annual Report on Form 10-K, filed on March 15, 2012)</w:t>
      </w:r>
    </w:p>
    <w:p>
      <w:pPr>
        <w:spacing w:after="0" w:line="170" w:lineRule="exact"/>
        <w:rPr>
          <w:sz w:val="20"/>
          <w:szCs w:val="20"/>
          <w:color w:val="auto"/>
        </w:rPr>
      </w:pPr>
    </w:p>
    <w:p>
      <w:pPr>
        <w:ind w:left="980" w:right="379" w:hanging="971"/>
        <w:spacing w:after="0" w:line="277" w:lineRule="auto"/>
        <w:tabs>
          <w:tab w:leader="none" w:pos="960" w:val="left"/>
        </w:tabs>
        <w:rPr>
          <w:sz w:val="20"/>
          <w:szCs w:val="20"/>
          <w:color w:val="auto"/>
        </w:rPr>
      </w:pPr>
      <w:r>
        <w:rPr>
          <w:rFonts w:ascii="Arial" w:cs="Arial" w:eastAsia="Arial" w:hAnsi="Arial"/>
          <w:sz w:val="18"/>
          <w:szCs w:val="18"/>
          <w:color w:val="auto"/>
        </w:rPr>
        <w:t>10.16.2</w:t>
      </w:r>
      <w:r>
        <w:rPr>
          <w:sz w:val="20"/>
          <w:szCs w:val="20"/>
          <w:color w:val="auto"/>
        </w:rPr>
        <w:tab/>
      </w:r>
      <w:r>
        <w:rPr>
          <w:rFonts w:ascii="Arial" w:cs="Arial" w:eastAsia="Arial" w:hAnsi="Arial"/>
          <w:sz w:val="18"/>
          <w:szCs w:val="18"/>
          <w:color w:val="auto"/>
        </w:rPr>
        <w:t>Fourth Amendment to Lease between First Industrial, L.P. and Registrant, dated as of November 21, 2007 (incorporated by reference from Exhibit 10.19.2 to our Annual Report on Form 10-K, filed on March 15, 2012)</w:t>
      </w:r>
    </w:p>
    <w:p>
      <w:pPr>
        <w:spacing w:after="0" w:line="170" w:lineRule="exact"/>
        <w:rPr>
          <w:sz w:val="20"/>
          <w:szCs w:val="20"/>
          <w:color w:val="auto"/>
        </w:rPr>
      </w:pPr>
    </w:p>
    <w:p>
      <w:pPr>
        <w:jc w:val="both"/>
        <w:ind w:left="980" w:right="959" w:hanging="971"/>
        <w:spacing w:after="0" w:line="264" w:lineRule="auto"/>
        <w:tabs>
          <w:tab w:leader="none" w:pos="9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Facility Construction Agreement dated December 22, 2005 between the Registrant and Duke Construction Limited Partnership (incorporated by reference from Exhibit 10.35 to our Annual Report on Form 10-K for the year ended December 31, 2005)</w:t>
      </w:r>
    </w:p>
    <w:p>
      <w:pPr>
        <w:spacing w:after="0" w:line="181" w:lineRule="exact"/>
        <w:rPr>
          <w:sz w:val="20"/>
          <w:szCs w:val="20"/>
          <w:color w:val="auto"/>
        </w:rPr>
      </w:pPr>
    </w:p>
    <w:p>
      <w:pPr>
        <w:ind w:left="980" w:right="399" w:hanging="971"/>
        <w:spacing w:after="0" w:line="342" w:lineRule="auto"/>
        <w:tabs>
          <w:tab w:leader="none" w:pos="9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Real Estate Purchase Agreement dated December 19, 2005 between Duke Realty Ohio and the Registrant (incorporated by reference from Exhibit 10.36 to our Annual Report on Form 10-K for the year ended December 31, 2005)</w:t>
      </w:r>
    </w:p>
    <w:p>
      <w:pPr>
        <w:spacing w:after="0" w:line="124" w:lineRule="exact"/>
        <w:rPr>
          <w:sz w:val="20"/>
          <w:szCs w:val="20"/>
          <w:color w:val="auto"/>
        </w:rPr>
      </w:pPr>
    </w:p>
    <w:p>
      <w:pPr>
        <w:ind w:left="980" w:right="419" w:hanging="971"/>
        <w:spacing w:after="0" w:line="277" w:lineRule="auto"/>
        <w:tabs>
          <w:tab w:leader="none" w:pos="9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Rules of the Build-A-Bear Workshop, Inc. U.K. Share Option Scheme (incorporated by reference from Exhibit 10.1 to our Current Report on Form 8-K filed on February 9, 2007)</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Nonqualified Deferred Compensation Plan (incorporated by reference from Exhibit 10.42 to our Annual Report on Form</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10-K, filed on March 15, 2007)</w:t>
      </w:r>
    </w:p>
    <w:p>
      <w:pPr>
        <w:spacing w:after="0" w:line="211" w:lineRule="exact"/>
        <w:rPr>
          <w:sz w:val="20"/>
          <w:szCs w:val="20"/>
          <w:color w:val="auto"/>
        </w:rPr>
      </w:pPr>
    </w:p>
    <w:p>
      <w:pPr>
        <w:ind w:left="980" w:right="359" w:hanging="971"/>
        <w:spacing w:after="0" w:line="264" w:lineRule="auto"/>
        <w:tabs>
          <w:tab w:leader="none" w:pos="9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Settlement Agreement between Build-A-Bear Workshop, Inc. and the United States Consumer Products Safety Commission, finally accepted effective January 4, 2012 (incorporated by reference from Exhibit 10.2 to our Current Report on Form 8-K, filed January 4, 2012)</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11.1</w:t>
            </w:r>
          </w:p>
        </w:tc>
        <w:tc>
          <w:tcPr>
            <w:tcW w:w="9000" w:type="dxa"/>
            <w:vAlign w:val="bottom"/>
          </w:tcPr>
          <w:p>
            <w:pPr>
              <w:ind w:left="140"/>
              <w:spacing w:after="0"/>
              <w:rPr>
                <w:sz w:val="20"/>
                <w:szCs w:val="20"/>
                <w:color w:val="auto"/>
              </w:rPr>
            </w:pPr>
            <w:r>
              <w:rPr>
                <w:rFonts w:ascii="Arial" w:cs="Arial" w:eastAsia="Arial" w:hAnsi="Arial"/>
                <w:sz w:val="18"/>
                <w:szCs w:val="18"/>
                <w:color w:val="auto"/>
                <w:w w:val="90"/>
              </w:rPr>
              <w:t>Statement regarding computation of earnings per share (incorporated by reference from Note 12 of the Registrant’s audited</w:t>
            </w:r>
          </w:p>
        </w:tc>
      </w:tr>
      <w:tr>
        <w:trPr>
          <w:trHeight w:val="230"/>
        </w:trPr>
        <w:tc>
          <w:tcPr>
            <w:tcW w:w="840" w:type="dxa"/>
            <w:vAlign w:val="bottom"/>
          </w:tcPr>
          <w:p>
            <w:pPr>
              <w:spacing w:after="0"/>
              <w:rPr>
                <w:sz w:val="20"/>
                <w:szCs w:val="20"/>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consolidated financial statements included herein)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21.1</w:t>
            </w:r>
          </w:p>
        </w:tc>
        <w:tc>
          <w:tcPr>
            <w:tcW w:w="9000" w:type="dxa"/>
            <w:vAlign w:val="bottom"/>
          </w:tcPr>
          <w:p>
            <w:pPr>
              <w:ind w:left="140"/>
              <w:spacing w:after="0"/>
              <w:rPr>
                <w:sz w:val="20"/>
                <w:szCs w:val="20"/>
                <w:color w:val="auto"/>
              </w:rPr>
            </w:pPr>
            <w:r>
              <w:rPr>
                <w:rFonts w:ascii="Arial" w:cs="Arial" w:eastAsia="Arial" w:hAnsi="Arial"/>
                <w:sz w:val="18"/>
                <w:szCs w:val="18"/>
                <w:color w:val="auto"/>
              </w:rPr>
              <w:t>List of Subsidiaries of the Registrant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9000" w:type="dxa"/>
            <w:vAlign w:val="bottom"/>
          </w:tcPr>
          <w:p>
            <w:pPr>
              <w:ind w:left="14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9000" w:type="dxa"/>
            <w:vAlign w:val="bottom"/>
          </w:tcPr>
          <w:p>
            <w:pPr>
              <w:ind w:left="140"/>
              <w:spacing w:after="0"/>
              <w:rPr>
                <w:sz w:val="20"/>
                <w:szCs w:val="20"/>
                <w:color w:val="auto"/>
              </w:rPr>
            </w:pPr>
            <w:r>
              <w:rPr>
                <w:rFonts w:ascii="Arial" w:cs="Arial" w:eastAsia="Arial" w:hAnsi="Arial"/>
                <w:sz w:val="18"/>
                <w:szCs w:val="18"/>
                <w:color w:val="auto"/>
              </w:rPr>
              <w:t>Consent of KPMG LLP</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9000" w:type="dxa"/>
            <w:vAlign w:val="bottom"/>
          </w:tcPr>
          <w:p>
            <w:pPr>
              <w:ind w:left="14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w:t>
            </w:r>
          </w:p>
        </w:tc>
      </w:tr>
      <w:tr>
        <w:trPr>
          <w:trHeight w:val="230"/>
        </w:trPr>
        <w:tc>
          <w:tcPr>
            <w:tcW w:w="840" w:type="dxa"/>
            <w:vAlign w:val="bottom"/>
          </w:tcPr>
          <w:p>
            <w:pPr>
              <w:spacing w:after="0"/>
              <w:rPr>
                <w:sz w:val="20"/>
                <w:szCs w:val="20"/>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Executive Bear)</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9000" w:type="dxa"/>
            <w:vAlign w:val="bottom"/>
          </w:tcPr>
          <w:p>
            <w:pPr>
              <w:ind w:left="14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w:t>
            </w:r>
          </w:p>
        </w:tc>
      </w:tr>
      <w:tr>
        <w:trPr>
          <w:trHeight w:val="230"/>
        </w:trPr>
        <w:tc>
          <w:tcPr>
            <w:tcW w:w="840" w:type="dxa"/>
            <w:vAlign w:val="bottom"/>
          </w:tcPr>
          <w:p>
            <w:pPr>
              <w:spacing w:after="0"/>
              <w:rPr>
                <w:sz w:val="20"/>
                <w:szCs w:val="20"/>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Financial Bear)</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9000" w:type="dxa"/>
            <w:vAlign w:val="bottom"/>
          </w:tcPr>
          <w:p>
            <w:pPr>
              <w:ind w:left="140"/>
              <w:spacing w:after="0"/>
              <w:rPr>
                <w:sz w:val="20"/>
                <w:szCs w:val="20"/>
                <w:color w:val="auto"/>
              </w:rPr>
            </w:pPr>
            <w:r>
              <w:rPr>
                <w:rFonts w:ascii="Arial" w:cs="Arial" w:eastAsia="Arial" w:hAnsi="Arial"/>
                <w:sz w:val="18"/>
                <w:szCs w:val="18"/>
                <w:color w:val="auto"/>
                <w:w w:val="92"/>
              </w:rPr>
              <w:t>Section 1350 Certification (pursuant to Section 906 of the Sarbanes-Oxley Act of 2002, executed by the Chief Executive</w:t>
            </w:r>
          </w:p>
        </w:tc>
      </w:tr>
      <w:tr>
        <w:trPr>
          <w:trHeight w:val="230"/>
        </w:trPr>
        <w:tc>
          <w:tcPr>
            <w:tcW w:w="840" w:type="dxa"/>
            <w:vAlign w:val="bottom"/>
          </w:tcPr>
          <w:p>
            <w:pPr>
              <w:spacing w:after="0"/>
              <w:rPr>
                <w:sz w:val="20"/>
                <w:szCs w:val="20"/>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Bear)</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9000" w:type="dxa"/>
            <w:vAlign w:val="bottom"/>
          </w:tcPr>
          <w:p>
            <w:pPr>
              <w:ind w:left="140"/>
              <w:spacing w:after="0"/>
              <w:rPr>
                <w:sz w:val="20"/>
                <w:szCs w:val="20"/>
                <w:color w:val="auto"/>
              </w:rPr>
            </w:pPr>
            <w:r>
              <w:rPr>
                <w:rFonts w:ascii="Arial" w:cs="Arial" w:eastAsia="Arial" w:hAnsi="Arial"/>
                <w:sz w:val="18"/>
                <w:szCs w:val="18"/>
                <w:color w:val="auto"/>
                <w:w w:val="93"/>
              </w:rPr>
              <w:t>Section 1350 Certification (pursuant to Section 906 of the Sarbanes-Oxley Act of 2002, executed by the Chief Financial</w:t>
            </w:r>
          </w:p>
        </w:tc>
      </w:tr>
      <w:tr>
        <w:trPr>
          <w:trHeight w:val="230"/>
        </w:trPr>
        <w:tc>
          <w:tcPr>
            <w:tcW w:w="840" w:type="dxa"/>
            <w:vAlign w:val="bottom"/>
          </w:tcPr>
          <w:p>
            <w:pPr>
              <w:spacing w:after="0"/>
              <w:rPr>
                <w:sz w:val="20"/>
                <w:szCs w:val="20"/>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Bear)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9000" w:type="dxa"/>
            <w:vAlign w:val="bottom"/>
          </w:tcPr>
          <w:p>
            <w:pPr>
              <w:ind w:left="140"/>
              <w:spacing w:after="0"/>
              <w:rPr>
                <w:sz w:val="20"/>
                <w:szCs w:val="20"/>
                <w:color w:val="auto"/>
              </w:rPr>
            </w:pPr>
            <w:r>
              <w:rPr>
                <w:rFonts w:ascii="Arial" w:cs="Arial" w:eastAsia="Arial" w:hAnsi="Arial"/>
                <w:sz w:val="18"/>
                <w:szCs w:val="18"/>
                <w:color w:val="auto"/>
              </w:rPr>
              <w:t>XBRL Instance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9000" w:type="dxa"/>
            <w:vAlign w:val="bottom"/>
          </w:tcPr>
          <w:p>
            <w:pPr>
              <w:ind w:left="140"/>
              <w:spacing w:after="0"/>
              <w:rPr>
                <w:sz w:val="20"/>
                <w:szCs w:val="20"/>
                <w:color w:val="auto"/>
              </w:rPr>
            </w:pPr>
            <w:r>
              <w:rPr>
                <w:rFonts w:ascii="Arial" w:cs="Arial" w:eastAsia="Arial" w:hAnsi="Arial"/>
                <w:sz w:val="18"/>
                <w:szCs w:val="18"/>
                <w:color w:val="auto"/>
              </w:rPr>
              <w:t>XBRL Extension Schema</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9000" w:type="dxa"/>
            <w:vAlign w:val="bottom"/>
          </w:tcPr>
          <w:p>
            <w:pPr>
              <w:ind w:left="140"/>
              <w:spacing w:after="0"/>
              <w:rPr>
                <w:sz w:val="20"/>
                <w:szCs w:val="20"/>
                <w:color w:val="auto"/>
              </w:rPr>
            </w:pPr>
            <w:r>
              <w:rPr>
                <w:rFonts w:ascii="Arial" w:cs="Arial" w:eastAsia="Arial" w:hAnsi="Arial"/>
                <w:sz w:val="18"/>
                <w:szCs w:val="18"/>
                <w:color w:val="auto"/>
              </w:rPr>
              <w:t>XBRL Extension Calculation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9000" w:type="dxa"/>
            <w:vAlign w:val="bottom"/>
          </w:tcPr>
          <w:p>
            <w:pPr>
              <w:ind w:left="140"/>
              <w:spacing w:after="0"/>
              <w:rPr>
                <w:sz w:val="20"/>
                <w:szCs w:val="20"/>
                <w:color w:val="auto"/>
              </w:rPr>
            </w:pPr>
            <w:r>
              <w:rPr>
                <w:rFonts w:ascii="Arial" w:cs="Arial" w:eastAsia="Arial" w:hAnsi="Arial"/>
                <w:sz w:val="18"/>
                <w:szCs w:val="18"/>
                <w:color w:val="auto"/>
              </w:rPr>
              <w:t>XBRL Extension Definition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9000" w:type="dxa"/>
            <w:vAlign w:val="bottom"/>
          </w:tcPr>
          <w:p>
            <w:pPr>
              <w:ind w:left="140"/>
              <w:spacing w:after="0"/>
              <w:rPr>
                <w:sz w:val="20"/>
                <w:szCs w:val="20"/>
                <w:color w:val="auto"/>
              </w:rPr>
            </w:pPr>
            <w:r>
              <w:rPr>
                <w:rFonts w:ascii="Arial" w:cs="Arial" w:eastAsia="Arial" w:hAnsi="Arial"/>
                <w:sz w:val="18"/>
                <w:szCs w:val="18"/>
                <w:color w:val="auto"/>
              </w:rPr>
              <w:t>XBRL Extension Label</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9000" w:type="dxa"/>
            <w:vAlign w:val="bottom"/>
          </w:tcPr>
          <w:p>
            <w:pPr>
              <w:ind w:left="140"/>
              <w:spacing w:after="0"/>
              <w:rPr>
                <w:sz w:val="20"/>
                <w:szCs w:val="20"/>
                <w:color w:val="auto"/>
              </w:rPr>
            </w:pPr>
            <w:r>
              <w:rPr>
                <w:rFonts w:ascii="Arial" w:cs="Arial" w:eastAsia="Arial" w:hAnsi="Arial"/>
                <w:sz w:val="18"/>
                <w:szCs w:val="18"/>
                <w:color w:val="auto"/>
              </w:rPr>
              <w:t>XBRL Extension Presentation</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Management contract or compensatory plan or agreement.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 Confidential treatment requested as to certain portions filed seperately with the Securities and Exchange Commission.</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517" w:right="12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6680" w:val="left"/>
        </w:tabs>
        <w:rPr>
          <w:sz w:val="20"/>
          <w:szCs w:val="20"/>
          <w:color w:val="auto"/>
        </w:rPr>
      </w:pPr>
      <w:r>
        <w:rPr>
          <w:rFonts w:ascii="Arial" w:cs="Arial" w:eastAsia="Arial" w:hAnsi="Arial"/>
          <w:sz w:val="18"/>
          <w:szCs w:val="18"/>
          <w:color w:val="auto"/>
        </w:rPr>
        <w:t>Date: March 14, 2013</w:t>
      </w:r>
      <w:r>
        <w:rPr>
          <w:sz w:val="20"/>
          <w:szCs w:val="20"/>
          <w:color w:val="auto"/>
        </w:rPr>
        <w:tab/>
      </w:r>
      <w:r>
        <w:rPr>
          <w:rFonts w:ascii="Arial" w:cs="Arial" w:eastAsia="Arial" w:hAnsi="Arial"/>
          <w:sz w:val="17"/>
          <w:szCs w:val="17"/>
          <w:color w:val="auto"/>
        </w:rPr>
        <w:t>By:  /s/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27616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Bear</w:t>
      </w:r>
    </w:p>
    <w:p>
      <w:pPr>
        <w:spacing w:after="0" w:line="21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27616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Operations and Financial Bear, Treasurer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Maxine Clark and Tina Klocke,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December 29, 2012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Signatures</w:t>
            </w:r>
          </w:p>
        </w:tc>
        <w:tc>
          <w:tcPr>
            <w:tcW w:w="46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440" w:type="dxa"/>
            <w:vAlign w:val="bottom"/>
          </w:tcPr>
          <w:p>
            <w:pPr>
              <w:spacing w:after="0"/>
              <w:rPr>
                <w:sz w:val="20"/>
                <w:szCs w:val="20"/>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r>
      <w:tr>
        <w:trPr>
          <w:trHeight w:val="439"/>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Lou Fiala</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Non-Executive Chairman</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Mary Lou Fiala</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Gould</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James M. Gould</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Kent</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Virginia Kent</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Braden Leonard</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Braden Leonard</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M. Mucci</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Louis M. Mucci</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Coleman Peterson</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Coleman Peterson</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Pinnau</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Thomas Pinnau</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4"/>
        </w:trPr>
        <w:tc>
          <w:tcPr>
            <w:tcW w:w="3540" w:type="dxa"/>
            <w:vAlign w:val="bottom"/>
          </w:tcPr>
          <w:p>
            <w:pPr>
              <w:spacing w:after="0"/>
              <w:rPr>
                <w:sz w:val="20"/>
                <w:szCs w:val="20"/>
                <w:color w:val="auto"/>
              </w:rPr>
            </w:pPr>
            <w:r>
              <w:rPr>
                <w:rFonts w:ascii="Arial" w:cs="Arial" w:eastAsia="Arial" w:hAnsi="Arial"/>
                <w:sz w:val="18"/>
                <w:szCs w:val="18"/>
                <w:color w:val="auto"/>
              </w:rPr>
              <w:t>/s/ Maxine Clark</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 and Chief Executive Bear</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Maxine Clark</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/s/ Tina Klocke</w:t>
            </w:r>
          </w:p>
        </w:tc>
        <w:tc>
          <w:tcPr>
            <w:tcW w:w="4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Operations and Financial Bear, Treasurer</w:t>
            </w:r>
          </w:p>
        </w:tc>
        <w:tc>
          <w:tcPr>
            <w:tcW w:w="4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Tina Klocke</w:t>
            </w:r>
          </w:p>
        </w:tc>
        <w:tc>
          <w:tcPr>
            <w:tcW w:w="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and Secretary (Principal Financial and Accounting Officer)</w:t>
            </w: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54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83"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This Employment, Confidentiality and Noncompete Agreement (“Agreement”) is made and entered into effective as of the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day of December 2012, by and between Build-A-Bear Workshop, Inc., a Delaware corporation (“Company”), and Kenneth Wine (“Employee”).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WHEREAS, Company desires to employ and Employee desires to be employed as the Chief Merchandise Bear of Company.</w:t>
      </w:r>
    </w:p>
    <w:p>
      <w:pPr>
        <w:spacing w:after="0" w:line="2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WHEREAS, Company has pioneered the retail concept of “make your own” stuff plush toys, including animals and dolls, and is engaged in, among other things, the business of production, marketing, promotion and distribution of plush stuff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The Company is headquartered and its principal place of business are located in, and this Agreement is being signed in, St. Louis, Missouri.</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conducts business in selected locations throughout the United States and internationally directly and through franchise arrangements.</w:t>
      </w:r>
    </w:p>
    <w:p>
      <w:pPr>
        <w:spacing w:after="0" w:line="30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WHEREAS, the success of Company depends to a substantial extent upon the protection of its Confidential Information and goodwill by all of its employees.</w:t>
      </w: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2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2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224" w:lineRule="exact"/>
        <w:rPr>
          <w:sz w:val="20"/>
          <w:szCs w:val="20"/>
          <w:color w:val="auto"/>
        </w:rPr>
      </w:pPr>
    </w:p>
    <w:p>
      <w:pPr>
        <w:ind w:left="2020" w:hanging="715"/>
        <w:spacing w:after="0"/>
        <w:tabs>
          <w:tab w:leader="none" w:pos="20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Employment Services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60" w:firstLine="1953"/>
        <w:spacing w:after="0" w:line="264" w:lineRule="auto"/>
        <w:tabs>
          <w:tab w:leader="none" w:pos="26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Employee is hereby employed by Company, and Employee hereby accepts such employment, upon the terms and conditions hereinafter set forth. Employee shall serve as Chief Merchandise Bear during the Employment Period, on a full-time basis. Employee shall carry out such duties as are assigned to him by Company’s Chief Executive Bear.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left="-1200" w:right="120" w:firstLine="1953"/>
        <w:spacing w:after="0" w:line="276" w:lineRule="auto"/>
        <w:tabs>
          <w:tab w:leader="none" w:pos="145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Employee agrees that throughout Employee’s employment with Company, Employee will (i) faithfully render such services as may be delegated to Employee by Company, (ii) devote substantially all of Employee’s entire business time, good faith, best efforts, ability, skill and attention to Company’s business, and (iii) follow and act in accordance with all of the rules, policies and procedures of Company, including but not limited to working hours, sales and promotion policies, and specific Company rules. Company further agrees that it shall not during the Initial Term of this Agreement require Employee to relocate his residence outside of the St. Louis metropolitan area.</w:t>
      </w:r>
    </w:p>
    <w:p>
      <w:pPr>
        <w:spacing w:after="0" w:line="226" w:lineRule="exact"/>
        <w:rPr>
          <w:rFonts w:ascii="Arial" w:cs="Arial" w:eastAsia="Arial" w:hAnsi="Arial"/>
          <w:sz w:val="17"/>
          <w:szCs w:val="17"/>
          <w:color w:val="auto"/>
        </w:rPr>
      </w:pPr>
    </w:p>
    <w:p>
      <w:pPr>
        <w:ind w:left="-1200" w:right="240" w:firstLine="1953"/>
        <w:spacing w:after="0" w:line="264" w:lineRule="auto"/>
        <w:tabs>
          <w:tab w:leader="none" w:pos="14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“Company” means Build-A-Bear Workshop, Inc. or one of its Subsidiaries, whichever is Employee’s employer. The term “Subsidiary” means any corporation, joint venture or other business organization in which Build-A-Bear Workshop, Inc. now or hereafter, directly or indirectly, owns or controls more than fifty percent (50%) interest.</w:t>
      </w:r>
    </w:p>
    <w:p>
      <w:pPr>
        <w:spacing w:after="0" w:line="235" w:lineRule="exact"/>
        <w:rPr>
          <w:rFonts w:ascii="Arial" w:cs="Arial" w:eastAsia="Arial" w:hAnsi="Arial"/>
          <w:sz w:val="18"/>
          <w:szCs w:val="18"/>
          <w:color w:val="auto"/>
        </w:rPr>
      </w:pPr>
    </w:p>
    <w:p>
      <w:pPr>
        <w:ind w:left="-1200" w:firstLine="1305"/>
        <w:spacing w:after="0" w:line="293" w:lineRule="auto"/>
        <w:tabs>
          <w:tab w:leader="none" w:pos="81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term of this Agreement shall commence on the date first set forth above, and shall end on the third anniversary hereof, unless sooner terminated as provided in Section 4 hereof (the “Initial Term”). Following the Initial Term, this Agreement shall renew for successive one-year periods (each a “Renewal Period”; collectively, the Initial Term and each Renewal Period, the “Employment Period”), unless either party notifies the other party of its decision not to renew the Agreement at least 30 days prior to the third anniversary date or the expiration of any Renewal Period, or unless the Agreement is sooner terminated as provided in Section 4 hereof. For the avoidance of doubt, if either party provides notice of non-renewal of the Agreement at least 30 days prior to the end of the Initial Term or the end of any Renewal Period, then the Agreement shall expire.</w:t>
      </w:r>
    </w:p>
    <w:p>
      <w:pPr>
        <w:spacing w:after="0" w:line="218" w:lineRule="exact"/>
        <w:rPr>
          <w:rFonts w:ascii="Arial" w:cs="Arial" w:eastAsia="Arial" w:hAnsi="Arial"/>
          <w:sz w:val="16"/>
          <w:szCs w:val="16"/>
          <w:color w:val="auto"/>
        </w:rPr>
      </w:pPr>
    </w:p>
    <w:p>
      <w:pPr>
        <w:ind w:left="820" w:hanging="715"/>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79" w:lineRule="exact"/>
        <w:rPr>
          <w:sz w:val="20"/>
          <w:szCs w:val="20"/>
          <w:color w:val="auto"/>
        </w:rPr>
      </w:pPr>
    </w:p>
    <w:p>
      <w:pPr>
        <w:ind w:left="-1200" w:firstLine="1305"/>
        <w:spacing w:after="0" w:line="291" w:lineRule="auto"/>
        <w:tabs>
          <w:tab w:leader="none" w:pos="79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During the Employment Period, Company shall pay Employee as compensation for his services an annual base salary of not less than Three Hundred Thousand Dollars ($300,000), payable in accordance with Company’s usual practices. Employee’s annual base salary rate shall be reviewed by the Compensation Committee of the Board of Directors (the “Compensation Committee”) at least annually for increase following each fiscal year (beginning with fiscal 2013) so that Employee’s salary will be commensurate for similarly situated executives with firms similarly situated to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Employee’s individualized performance targets (set for each fiscal year by Employee and Employee’s team leader) are achieved, Employee’s annual base salary rate shall not be subject to decrease at any time during the Employment Period and shall be subject to annual increase by no less than the average percentage increase given to all other Company executive employees for such fiscal year (the “Average Increase”).</w:t>
      </w:r>
    </w:p>
    <w:p>
      <w:pPr>
        <w:spacing w:after="0" w:line="221" w:lineRule="exact"/>
        <w:rPr>
          <w:rFonts w:ascii="Arial" w:cs="Arial" w:eastAsia="Arial" w:hAnsi="Arial"/>
          <w:sz w:val="16"/>
          <w:szCs w:val="16"/>
          <w:color w:val="auto"/>
        </w:rPr>
      </w:pPr>
    </w:p>
    <w:p>
      <w:pPr>
        <w:ind w:left="-1200" w:right="20" w:firstLine="1305"/>
        <w:spacing w:after="0" w:line="287" w:lineRule="auto"/>
        <w:tabs>
          <w:tab w:leader="none" w:pos="80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Should Company exceed the sales, profits and other objectives established by Compensation Committee for any fiscal year, Employee shall be eligible to receive a bonus for such fiscal year in the amount as determined by the Compensation Committee; provided however the potential bonus opportunity for Employee in any given fiscal year will be set by the Compensation Committee such that, if the Company exceeds its objectives, the Company will pay Employee not less than forty percent (40%) of Employee’s annual base pay for such fiscal year. Any bonus payable to Employee will be payable in cash, stock or stock options, or combination thereof, all as determined by the Board of Directors or any duly authorized committee thereof, and unless a different payout schedule is applicable for all executive employees of the Company, any such bonus payment will be payable in a single, lump sum payment. In the event of termination of this Agreement because of Employee's death or disability (as defined by Section 4.1(b)), termination by the Company without Cause pursuant to Section 4.1(c), or pursuant to Employee's right to terminate this Agreement for Good Reason under Section 4.1(d), the bonus criteria shall not change and any bonus shall be pro-rated based on the number of full calendar weeks during the applicable fiscal year during which Employee was employed hereunder and shall be paid at the time and in the form such bonus would have been paid had Employee’s employment continued. No bonus shall be payable hereunder for any other termination of employment by Executive prior to the last day of a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408305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1440" w:top="544" w:right="299" w:bottom="1440" w:gutter="0" w:footer="0" w:header="0"/>
        </w:sectPr>
      </w:pPr>
    </w:p>
    <w:bookmarkStart w:id="82" w:name="page83"/>
    <w:bookmarkEnd w:id="82"/>
    <w:p>
      <w:pPr>
        <w:ind w:right="100" w:firstLine="1297"/>
        <w:spacing w:after="0" w:line="257" w:lineRule="auto"/>
        <w:rPr>
          <w:sz w:val="20"/>
          <w:szCs w:val="20"/>
          <w:color w:val="auto"/>
        </w:rPr>
      </w:pPr>
      <w:r>
        <w:rPr>
          <w:rFonts w:ascii="Arial" w:cs="Arial" w:eastAsia="Arial" w:hAnsi="Arial"/>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within seventy-five (75) days after the end of each calendar year, regardless of Employee's employment status at the time payment is due. If timely payment is not made, the Company shall indemnify the Employee against any additional tax liability that the Employee may incur proximately as a result of the payment being made after the seventy-five day period.</w:t>
      </w:r>
    </w:p>
    <w:p>
      <w:pPr>
        <w:spacing w:after="0" w:line="242" w:lineRule="exact"/>
        <w:rPr>
          <w:sz w:val="20"/>
          <w:szCs w:val="20"/>
          <w:color w:val="auto"/>
        </w:rPr>
      </w:pPr>
    </w:p>
    <w:p>
      <w:pPr>
        <w:ind w:right="40" w:firstLine="1305"/>
        <w:spacing w:after="0" w:line="257" w:lineRule="auto"/>
        <w:tabs>
          <w:tab w:leader="none" w:pos="199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Employee may have been granted in the past, and/or may in the future be granted, a certain number of restricted shares and/or stock options to purchase shares of Company’s common stock (the “Common Stock”), pursuant to the terms set forth more particularly in the stock option and/or restricted stock agreements (“Stock Agreement”) used in connection with the Build-A-Bear Workshop, Inc. 2004 Stock Incentive Plan (or any successor plan) (the “Plan”). The Plan and applicable Stock Agreement(s) shall govern any grants of restricted shares and/or stock options to purchase shares of Company’s Common Stock.</w:t>
      </w:r>
    </w:p>
    <w:p>
      <w:pPr>
        <w:spacing w:after="0" w:line="242" w:lineRule="exact"/>
        <w:rPr>
          <w:rFonts w:ascii="Arial" w:cs="Arial" w:eastAsia="Arial" w:hAnsi="Arial"/>
          <w:sz w:val="18"/>
          <w:szCs w:val="18"/>
          <w:color w:val="auto"/>
        </w:rPr>
      </w:pPr>
    </w:p>
    <w:p>
      <w:pPr>
        <w:ind w:left="2000" w:hanging="695"/>
        <w:spacing w:after="0"/>
        <w:tabs>
          <w:tab w:leader="none" w:pos="20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Discounts</w:t>
      </w:r>
      <w:r>
        <w:rPr>
          <w:rFonts w:ascii="Arial" w:cs="Arial" w:eastAsia="Arial" w:hAnsi="Arial"/>
          <w:sz w:val="16"/>
          <w:szCs w:val="16"/>
          <w:color w:val="auto"/>
        </w:rPr>
        <w:t>. Employee and his immediate family will be entitled to a 20% discount for all merchandise purchased at Company’s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stores.</w:t>
      </w:r>
    </w:p>
    <w:p>
      <w:pPr>
        <w:spacing w:after="0" w:line="264" w:lineRule="exact"/>
        <w:rPr>
          <w:rFonts w:ascii="Arial" w:cs="Arial" w:eastAsia="Arial" w:hAnsi="Arial"/>
          <w:sz w:val="16"/>
          <w:szCs w:val="16"/>
          <w:color w:val="auto"/>
        </w:rPr>
      </w:pPr>
    </w:p>
    <w:p>
      <w:pPr>
        <w:ind w:right="20" w:firstLine="1305"/>
        <w:spacing w:after="0" w:line="255" w:lineRule="auto"/>
        <w:tabs>
          <w:tab w:leader="none" w:pos="199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Employee shall be entitled to paid vacation and paid sick leave on the same basis as may from time to time apply to other Company executive employees generally. Vacations will be scheduled with the approval of Company’s Chief Executive Bear, who may block out certain periods of time during which vacations may not be taken, including preceding Valentine’s Day, preceding Easter, from November 1 through December 31, during Company inventory, and just prior to store openings. One-third of one year’s vacation (or any part of it) may be carried over to the next year; provided that such carry over is used in the first calendar quarter of the next year. Unless approved by the Chief Executive Bear, all unused vacation shall be forfeited. No more than two weeks of vacation can be taken at one time. Employee shall also be entitled to one (1) additional day per calendar year of paid vacation to be taken in the month of his birthday.</w:t>
      </w:r>
    </w:p>
    <w:p>
      <w:pPr>
        <w:spacing w:after="0" w:line="243" w:lineRule="exact"/>
        <w:rPr>
          <w:rFonts w:ascii="Arial" w:cs="Arial" w:eastAsia="Arial" w:hAnsi="Arial"/>
          <w:sz w:val="18"/>
          <w:szCs w:val="18"/>
          <w:color w:val="auto"/>
        </w:rPr>
      </w:pPr>
    </w:p>
    <w:p>
      <w:pPr>
        <w:ind w:firstLine="1305"/>
        <w:spacing w:after="0" w:line="273" w:lineRule="auto"/>
        <w:tabs>
          <w:tab w:leader="none" w:pos="1971"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Employee shall be eligible for such other perquisites as may from time to time be awarded to Employee by Company payable at such times and in such amounts as Company, in its sole discretion, may determine. All such compensation shall be subject to customary withholding taxes and other employment taxes as required with respect thereto. During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his then current location of employment. Employee may, in his sole discretion, decline any perquisite, Welfare Benefit, proposed annual salary increase, or bonus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3" w:name="page84"/>
    <w:bookmarkEnd w:id="83"/>
    <w:p>
      <w:pPr>
        <w:ind w:left="720" w:hanging="712"/>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Termination Provisions</w:t>
      </w:r>
      <w:r>
        <w:rPr>
          <w:rFonts w:ascii="Arial" w:cs="Arial" w:eastAsia="Arial" w:hAnsi="Arial"/>
          <w:sz w:val="18"/>
          <w:szCs w:val="18"/>
          <w:color w:val="auto"/>
        </w:rPr>
        <w:t>.</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Prior to the expiration of the Employment Period, this Agreement and Employee’s employment may be terminated as follows:</w:t>
      </w:r>
    </w:p>
    <w:p>
      <w:pPr>
        <w:spacing w:after="0" w:line="224" w:lineRule="exact"/>
        <w:rPr>
          <w:sz w:val="20"/>
          <w:szCs w:val="20"/>
          <w:color w:val="auto"/>
        </w:rPr>
      </w:pPr>
    </w:p>
    <w:p>
      <w:pPr>
        <w:ind w:left="2000" w:hanging="695"/>
        <w:spacing w:after="0"/>
        <w:tabs>
          <w:tab w:leader="none" w:pos="2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Employee’s death;</w:t>
      </w:r>
    </w:p>
    <w:p>
      <w:pPr>
        <w:spacing w:after="0" w:line="279" w:lineRule="exact"/>
        <w:rPr>
          <w:rFonts w:ascii="Arial" w:cs="Arial" w:eastAsia="Arial" w:hAnsi="Arial"/>
          <w:sz w:val="18"/>
          <w:szCs w:val="18"/>
          <w:color w:val="auto"/>
        </w:rPr>
      </w:pPr>
    </w:p>
    <w:p>
      <w:pPr>
        <w:ind w:right="100" w:firstLine="1305"/>
        <w:spacing w:after="0" w:line="272" w:lineRule="auto"/>
        <w:tabs>
          <w:tab w:leader="none" w:pos="2001" w:val="left"/>
        </w:tabs>
        <w:numPr>
          <w:ilvl w:val="0"/>
          <w:numId w:val="82"/>
        </w:numPr>
        <w:rPr>
          <w:rFonts w:ascii="Arial" w:cs="Arial" w:eastAsia="Arial" w:hAnsi="Arial"/>
          <w:sz w:val="17"/>
          <w:szCs w:val="17"/>
          <w:color w:val="auto"/>
        </w:rPr>
      </w:pPr>
      <w:r>
        <w:rPr>
          <w:rFonts w:ascii="Arial" w:cs="Arial" w:eastAsia="Arial" w:hAnsi="Arial"/>
          <w:sz w:val="17"/>
          <w:szCs w:val="17"/>
          <w:color w:val="auto"/>
        </w:rPr>
        <w:t>By the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shall be unable to perform the essential functions of his position, with or without reasonable accommodation, for six (6) consecutive months;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231" w:lineRule="exact"/>
        <w:rPr>
          <w:rFonts w:ascii="Arial" w:cs="Arial" w:eastAsia="Arial" w:hAnsi="Arial"/>
          <w:sz w:val="17"/>
          <w:szCs w:val="17"/>
          <w:color w:val="auto"/>
        </w:rPr>
      </w:pPr>
    </w:p>
    <w:p>
      <w:pPr>
        <w:ind w:right="60" w:firstLine="1305"/>
        <w:spacing w:after="0" w:line="289" w:lineRule="auto"/>
        <w:tabs>
          <w:tab w:leader="none" w:pos="1991" w:val="left"/>
        </w:tabs>
        <w:numPr>
          <w:ilvl w:val="0"/>
          <w:numId w:val="82"/>
        </w:numPr>
        <w:rPr>
          <w:rFonts w:ascii="Arial" w:cs="Arial" w:eastAsia="Arial" w:hAnsi="Arial"/>
          <w:sz w:val="16"/>
          <w:szCs w:val="16"/>
          <w:color w:val="auto"/>
        </w:rPr>
      </w:pPr>
      <w:r>
        <w:rPr>
          <w:rFonts w:ascii="Arial" w:cs="Arial" w:eastAsia="Arial" w:hAnsi="Arial"/>
          <w:sz w:val="16"/>
          <w:szCs w:val="16"/>
          <w:color w:val="auto"/>
        </w:rPr>
        <w:t>By the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(v) a material breach of a material provision of this Agreement by Employee, or (v) failure of Employee to follow a written directive of the Chief Executive Bear or the Board of Directors within thirty (30) days after receiving such notice, provided that such directive is reasonable in scope or is otherwise within the Chief Executive Bear’s or the Board’s reasonable business judgment, and is reasonably within Employee’s control; provided Employee does not cure said conduct or breach (to the extent curable) within thirty (30) days after the Chief Executive Bear or the Board of Directors provides Employee with written notice of said conduct or breach. In the event of termination for Cause, the Employee will be afforded an opportunity prior to the actual date of termination to discuss the matter with the Company.</w:t>
      </w:r>
    </w:p>
    <w:p>
      <w:pPr>
        <w:spacing w:after="0" w:line="220" w:lineRule="exact"/>
        <w:rPr>
          <w:rFonts w:ascii="Arial" w:cs="Arial" w:eastAsia="Arial" w:hAnsi="Arial"/>
          <w:sz w:val="16"/>
          <w:szCs w:val="16"/>
          <w:color w:val="auto"/>
        </w:rPr>
      </w:pPr>
    </w:p>
    <w:p>
      <w:pPr>
        <w:ind w:firstLine="1305"/>
        <w:spacing w:after="0" w:line="279" w:lineRule="auto"/>
        <w:tabs>
          <w:tab w:leader="none" w:pos="2001" w:val="left"/>
        </w:tabs>
        <w:numPr>
          <w:ilvl w:val="0"/>
          <w:numId w:val="82"/>
        </w:numPr>
        <w:rPr>
          <w:rFonts w:ascii="Arial" w:cs="Arial" w:eastAsia="Arial" w:hAnsi="Arial"/>
          <w:sz w:val="17"/>
          <w:szCs w:val="17"/>
          <w:color w:val="auto"/>
        </w:rPr>
      </w:pPr>
      <w:r>
        <w:rPr>
          <w:rFonts w:ascii="Arial" w:cs="Arial" w:eastAsia="Arial" w:hAnsi="Arial"/>
          <w:sz w:val="17"/>
          <w:szCs w:val="17"/>
          <w:color w:val="auto"/>
        </w:rPr>
        <w:t>By the Employee with or without Good Reason. For purposes of this Agreement, “Good Reason” shall mean (i) a material breach of a material provision of this Agreement by Company, provided Company does not cure said breach within thirty (30) days after Employee provides the Board of Directors with written notice of the breach or (ii) Company’s issuance of a notice of non-renewal of this Agreement under Section 2, which results in expiration of this Agreement and a failure of Company and Employee to enter into a new written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Impact of Termination.</w:t>
      </w:r>
    </w:p>
    <w:p>
      <w:pPr>
        <w:spacing w:after="0" w:line="279" w:lineRule="exact"/>
        <w:rPr>
          <w:sz w:val="20"/>
          <w:szCs w:val="20"/>
          <w:color w:val="auto"/>
        </w:rPr>
      </w:pPr>
    </w:p>
    <w:p>
      <w:pPr>
        <w:ind w:right="420" w:firstLine="656"/>
        <w:spacing w:after="0" w:line="264" w:lineRule="auto"/>
        <w:tabs>
          <w:tab w:leader="none" w:pos="134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235" w:lineRule="exact"/>
        <w:rPr>
          <w:rFonts w:ascii="Arial" w:cs="Arial" w:eastAsia="Arial" w:hAnsi="Arial"/>
          <w:sz w:val="18"/>
          <w:szCs w:val="18"/>
          <w:color w:val="auto"/>
        </w:rPr>
      </w:pPr>
    </w:p>
    <w:p>
      <w:pPr>
        <w:ind w:firstLine="656"/>
        <w:spacing w:after="0" w:line="291" w:lineRule="auto"/>
        <w:tabs>
          <w:tab w:leader="none" w:pos="135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during the Employment Period (i) the Company terminates Employee’s employment other than for Cause pursuant to Section 4.1(c) or (ii) the Employee terminates his employment for Good Reason pursuant to Section 4.1(d), the Company shall continue his base salary for a period of twelve (12) months from termination, such payments to be reduced by the amount of any compensation from a subsequent employer during such period. Employee shall accept these payments in full discharge of all obligations of any kind which Company has to him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the Company. Employee shall also be eligible to receive a bonus with respect to the year of termination as provided in Section 3(b).</w:t>
      </w:r>
    </w:p>
    <w:p>
      <w:pPr>
        <w:spacing w:after="0" w:line="22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6-month period shall be made in a lump sum on the first payroll date which is more than six months following the date Employee separates from service with Company.</w:t>
      </w:r>
    </w:p>
    <w:p>
      <w:pPr>
        <w:spacing w:after="0" w:line="212" w:lineRule="exact"/>
        <w:rPr>
          <w:sz w:val="20"/>
          <w:szCs w:val="20"/>
          <w:color w:val="auto"/>
        </w:rPr>
      </w:pPr>
    </w:p>
    <w:p>
      <w:pPr>
        <w:ind w:right="100" w:firstLine="656"/>
        <w:spacing w:after="0" w:line="257" w:lineRule="auto"/>
        <w:tabs>
          <w:tab w:leader="none" w:pos="134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Termination due to Employee Non-Renewal of Term or Termination by Employee without Good Reason</w:t>
      </w:r>
      <w:r>
        <w:rPr>
          <w:rFonts w:ascii="Arial" w:cs="Arial" w:eastAsia="Arial" w:hAnsi="Arial"/>
          <w:sz w:val="18"/>
          <w:szCs w:val="18"/>
          <w:color w:val="auto"/>
        </w:rPr>
        <w:t>. If the Agreement expires either at the end of the Initial Term or at the end of any Renewal Period, due to the issuance of notice of non-renewal by Employee under Section 2, then no severance under Section 4(b) shall be paid to the Employee and his employment shall terminate upon the anniversary date. If Employee terminates his employment without Good Reason, then no severance under 4.2(b) shall be paid to Employee and his employment shall terminate on the effective date of such termination.</w:t>
      </w:r>
    </w:p>
    <w:p>
      <w:pPr>
        <w:spacing w:after="0" w:line="242" w:lineRule="exact"/>
        <w:rPr>
          <w:rFonts w:ascii="Arial" w:cs="Arial" w:eastAsia="Arial" w:hAnsi="Arial"/>
          <w:sz w:val="18"/>
          <w:szCs w:val="18"/>
          <w:color w:val="auto"/>
        </w:rPr>
      </w:pPr>
    </w:p>
    <w:p>
      <w:pPr>
        <w:ind w:right="140" w:firstLine="656"/>
        <w:spacing w:after="0" w:line="312" w:lineRule="auto"/>
        <w:tabs>
          <w:tab w:leader="none" w:pos="135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Welfare Benefits</w:t>
      </w:r>
      <w:r>
        <w:rPr>
          <w:rFonts w:ascii="Arial" w:cs="Arial" w:eastAsia="Arial" w:hAnsi="Arial"/>
          <w:sz w:val="16"/>
          <w:szCs w:val="16"/>
          <w:color w:val="auto"/>
        </w:rPr>
        <w:t>. Upon termination or expiration of this Agreement for any reason, Employee shall be provided with such Welfare Benefits continuation notices, rights and obligations as may be required under federal or state law (including COBRA). During the period that Welfare Benefits are continued under COBRA, the Company shall continue to pay the Company’s portion of the medical plan premium for the benefit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391795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85" w:name="page86"/>
    <w:bookmarkEnd w:id="85"/>
    <w:p>
      <w:pPr>
        <w:ind w:left="860" w:hanging="755"/>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200" w:right="560" w:firstLine="1953"/>
        <w:spacing w:after="0" w:line="342" w:lineRule="auto"/>
        <w:tabs>
          <w:tab w:leader="none" w:pos="14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77" w:lineRule="exact"/>
        <w:rPr>
          <w:rFonts w:ascii="Arial" w:cs="Arial" w:eastAsia="Arial" w:hAnsi="Arial"/>
          <w:sz w:val="16"/>
          <w:szCs w:val="16"/>
          <w:color w:val="auto"/>
        </w:rPr>
      </w:pPr>
    </w:p>
    <w:p>
      <w:pPr>
        <w:ind w:left="-1200" w:right="100" w:firstLine="1953"/>
        <w:spacing w:after="0" w:line="259" w:lineRule="auto"/>
        <w:tabs>
          <w:tab w:leader="none" w:pos="14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Employee acknowledges and confirms that certain data and other information (whether in human or machine readable form) that comes into his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240" w:lineRule="exact"/>
        <w:rPr>
          <w:rFonts w:ascii="Arial" w:cs="Arial" w:eastAsia="Arial" w:hAnsi="Arial"/>
          <w:sz w:val="18"/>
          <w:szCs w:val="18"/>
          <w:color w:val="auto"/>
        </w:rPr>
      </w:pPr>
    </w:p>
    <w:p>
      <w:pPr>
        <w:ind w:left="2100" w:hanging="699"/>
        <w:spacing w:after="0"/>
        <w:tabs>
          <w:tab w:leader="none" w:pos="21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lists or other identification of customers or prospective customers of Company;</w:t>
      </w:r>
    </w:p>
    <w:p>
      <w:pPr>
        <w:spacing w:after="0" w:line="279" w:lineRule="exact"/>
        <w:rPr>
          <w:rFonts w:ascii="Arial" w:cs="Arial" w:eastAsia="Arial" w:hAnsi="Arial"/>
          <w:sz w:val="18"/>
          <w:szCs w:val="18"/>
          <w:color w:val="auto"/>
        </w:rPr>
      </w:pPr>
    </w:p>
    <w:p>
      <w:pPr>
        <w:ind w:left="100" w:right="40" w:firstLine="1301"/>
        <w:spacing w:after="0" w:line="264" w:lineRule="auto"/>
        <w:tabs>
          <w:tab w:leader="none" w:pos="2101" w:val="left"/>
        </w:tabs>
        <w:numPr>
          <w:ilvl w:val="2"/>
          <w:numId w:val="85"/>
        </w:numPr>
        <w:rPr>
          <w:rFonts w:ascii="Arial" w:cs="Arial" w:eastAsia="Arial" w:hAnsi="Arial"/>
          <w:sz w:val="18"/>
          <w:szCs w:val="18"/>
          <w:color w:val="auto"/>
        </w:rPr>
      </w:pPr>
      <w:r>
        <w:rPr>
          <w:rFonts w:ascii="Arial" w:cs="Arial" w:eastAsia="Arial" w:hAnsi="Arial"/>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235" w:lineRule="exact"/>
        <w:rPr>
          <w:rFonts w:ascii="Arial" w:cs="Arial" w:eastAsia="Arial" w:hAnsi="Arial"/>
          <w:sz w:val="18"/>
          <w:szCs w:val="18"/>
          <w:color w:val="auto"/>
        </w:rPr>
      </w:pPr>
    </w:p>
    <w:p>
      <w:pPr>
        <w:ind w:left="100" w:right="380" w:firstLine="1301"/>
        <w:spacing w:after="0" w:line="342" w:lineRule="auto"/>
        <w:tabs>
          <w:tab w:leader="none" w:pos="2101" w:val="left"/>
        </w:tabs>
        <w:numPr>
          <w:ilvl w:val="2"/>
          <w:numId w:val="85"/>
        </w:numPr>
        <w:rPr>
          <w:rFonts w:ascii="Arial" w:cs="Arial" w:eastAsia="Arial" w:hAnsi="Arial"/>
          <w:sz w:val="16"/>
          <w:szCs w:val="16"/>
          <w:color w:val="auto"/>
        </w:rPr>
      </w:pPr>
      <w:r>
        <w:rPr>
          <w:rFonts w:ascii="Arial" w:cs="Arial" w:eastAsia="Arial" w:hAnsi="Arial"/>
          <w:sz w:val="16"/>
          <w:szCs w:val="16"/>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77" w:lineRule="exact"/>
        <w:rPr>
          <w:rFonts w:ascii="Arial" w:cs="Arial" w:eastAsia="Arial" w:hAnsi="Arial"/>
          <w:sz w:val="16"/>
          <w:szCs w:val="16"/>
          <w:color w:val="auto"/>
        </w:rPr>
      </w:pPr>
    </w:p>
    <w:p>
      <w:pPr>
        <w:ind w:left="100" w:right="280" w:firstLine="1301"/>
        <w:spacing w:after="0" w:line="264" w:lineRule="auto"/>
        <w:tabs>
          <w:tab w:leader="none" w:pos="2101" w:val="left"/>
        </w:tabs>
        <w:numPr>
          <w:ilvl w:val="2"/>
          <w:numId w:val="85"/>
        </w:numPr>
        <w:rPr>
          <w:rFonts w:ascii="Arial" w:cs="Arial" w:eastAsia="Arial" w:hAnsi="Arial"/>
          <w:sz w:val="18"/>
          <w:szCs w:val="18"/>
          <w:color w:val="auto"/>
        </w:rPr>
      </w:pPr>
      <w:r>
        <w:rPr>
          <w:rFonts w:ascii="Arial" w:cs="Arial" w:eastAsia="Arial" w:hAnsi="Arial"/>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235" w:lineRule="exact"/>
        <w:rPr>
          <w:rFonts w:ascii="Arial" w:cs="Arial" w:eastAsia="Arial" w:hAnsi="Arial"/>
          <w:sz w:val="18"/>
          <w:szCs w:val="18"/>
          <w:color w:val="auto"/>
        </w:rPr>
      </w:pPr>
    </w:p>
    <w:p>
      <w:pPr>
        <w:ind w:left="100" w:right="220" w:firstLine="1301"/>
        <w:spacing w:after="0" w:line="342" w:lineRule="auto"/>
        <w:tabs>
          <w:tab w:leader="none" w:pos="2101" w:val="left"/>
        </w:tabs>
        <w:numPr>
          <w:ilvl w:val="2"/>
          <w:numId w:val="85"/>
        </w:numPr>
        <w:rPr>
          <w:rFonts w:ascii="Arial" w:cs="Arial" w:eastAsia="Arial" w:hAnsi="Arial"/>
          <w:sz w:val="16"/>
          <w:szCs w:val="16"/>
          <w:color w:val="auto"/>
        </w:rPr>
      </w:pPr>
      <w:r>
        <w:rPr>
          <w:rFonts w:ascii="Arial" w:cs="Arial" w:eastAsia="Arial" w:hAnsi="Arial"/>
          <w:sz w:val="16"/>
          <w:szCs w:val="16"/>
          <w:color w:val="auto"/>
        </w:rPr>
        <w:t>equipment, materials, designs, procedures, processes, and techniques used in, or related to, the development, manufacture, assembly, fabrication or other production and quality control of Company’s products, stores and services;</w:t>
      </w:r>
    </w:p>
    <w:p>
      <w:pPr>
        <w:spacing w:after="0" w:line="177" w:lineRule="exact"/>
        <w:rPr>
          <w:rFonts w:ascii="Arial" w:cs="Arial" w:eastAsia="Arial" w:hAnsi="Arial"/>
          <w:sz w:val="16"/>
          <w:szCs w:val="16"/>
          <w:color w:val="auto"/>
        </w:rPr>
      </w:pPr>
    </w:p>
    <w:p>
      <w:pPr>
        <w:ind w:left="100" w:firstLine="1301"/>
        <w:spacing w:after="0" w:line="264" w:lineRule="auto"/>
        <w:tabs>
          <w:tab w:leader="none" w:pos="2101" w:val="left"/>
        </w:tabs>
        <w:numPr>
          <w:ilvl w:val="2"/>
          <w:numId w:val="85"/>
        </w:numPr>
        <w:rPr>
          <w:rFonts w:ascii="Arial" w:cs="Arial" w:eastAsia="Arial" w:hAnsi="Arial"/>
          <w:sz w:val="18"/>
          <w:szCs w:val="18"/>
          <w:color w:val="auto"/>
        </w:rPr>
      </w:pPr>
      <w:r>
        <w:rPr>
          <w:rFonts w:ascii="Arial" w:cs="Arial" w:eastAsia="Arial" w:hAnsi="Arial"/>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235" w:lineRule="exact"/>
        <w:rPr>
          <w:rFonts w:ascii="Arial" w:cs="Arial" w:eastAsia="Arial" w:hAnsi="Arial"/>
          <w:sz w:val="18"/>
          <w:szCs w:val="18"/>
          <w:color w:val="auto"/>
        </w:rPr>
      </w:pPr>
    </w:p>
    <w:p>
      <w:pPr>
        <w:ind w:left="2100" w:hanging="699"/>
        <w:spacing w:after="0"/>
        <w:tabs>
          <w:tab w:leader="none" w:pos="2100" w:val="left"/>
        </w:tabs>
        <w:numPr>
          <w:ilvl w:val="2"/>
          <w:numId w:val="85"/>
        </w:numPr>
        <w:rPr>
          <w:rFonts w:ascii="Arial" w:cs="Arial" w:eastAsia="Arial" w:hAnsi="Arial"/>
          <w:sz w:val="17"/>
          <w:szCs w:val="17"/>
          <w:color w:val="auto"/>
        </w:rPr>
      </w:pPr>
      <w:r>
        <w:rPr>
          <w:rFonts w:ascii="Arial" w:cs="Arial" w:eastAsia="Arial" w:hAnsi="Arial"/>
          <w:sz w:val="17"/>
          <w:szCs w:val="17"/>
          <w:color w:val="auto"/>
        </w:rPr>
        <w:t>Company’s relations with its employees (including, without limitation, salaries, job classifications and skill</w:t>
      </w:r>
    </w:p>
    <w:p>
      <w:pPr>
        <w:spacing w:after="0" w:line="3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levels); and</w:t>
      </w:r>
    </w:p>
    <w:p>
      <w:pPr>
        <w:spacing w:after="0" w:line="264" w:lineRule="exact"/>
        <w:rPr>
          <w:rFonts w:ascii="Arial" w:cs="Arial" w:eastAsia="Arial" w:hAnsi="Arial"/>
          <w:sz w:val="17"/>
          <w:szCs w:val="17"/>
          <w:color w:val="auto"/>
        </w:rPr>
      </w:pPr>
    </w:p>
    <w:p>
      <w:pPr>
        <w:ind w:left="100" w:right="140" w:firstLine="1301"/>
        <w:spacing w:after="0" w:line="277" w:lineRule="auto"/>
        <w:tabs>
          <w:tab w:leader="none" w:pos="2101"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440" w:top="544" w:right="319" w:bottom="1440" w:gutter="0" w:footer="0" w:header="0"/>
        </w:sectPr>
      </w:pPr>
    </w:p>
    <w:bookmarkStart w:id="86" w:name="page87"/>
    <w:bookmarkEnd w:id="86"/>
    <w:p>
      <w:pPr>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w:t>
      </w:r>
    </w:p>
    <w:p>
      <w:pPr>
        <w:spacing w:after="0" w:line="224" w:lineRule="exact"/>
        <w:rPr>
          <w:sz w:val="20"/>
          <w:szCs w:val="20"/>
          <w:color w:val="auto"/>
        </w:rPr>
      </w:pPr>
    </w:p>
    <w:p>
      <w:pPr>
        <w:ind w:right="180" w:firstLine="1953"/>
        <w:spacing w:after="0" w:line="264" w:lineRule="auto"/>
        <w:tabs>
          <w:tab w:leader="none" w:pos="26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his duties on behalf of Company.</w:t>
      </w:r>
    </w:p>
    <w:p>
      <w:pPr>
        <w:spacing w:after="0" w:line="235" w:lineRule="exact"/>
        <w:rPr>
          <w:rFonts w:ascii="Arial" w:cs="Arial" w:eastAsia="Arial" w:hAnsi="Arial"/>
          <w:sz w:val="18"/>
          <w:szCs w:val="18"/>
          <w:color w:val="auto"/>
        </w:rPr>
      </w:pPr>
    </w:p>
    <w:p>
      <w:pPr>
        <w:ind w:firstLine="8"/>
        <w:spacing w:after="0" w:line="285" w:lineRule="auto"/>
        <w:tabs>
          <w:tab w:leader="none" w:pos="67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Post-Termination Restrictions</w:t>
      </w:r>
      <w:r>
        <w:rPr>
          <w:rFonts w:ascii="Arial" w:cs="Arial" w:eastAsia="Arial" w:hAnsi="Arial"/>
          <w:sz w:val="16"/>
          <w:szCs w:val="16"/>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w:t>
      </w:r>
    </w:p>
    <w:p>
      <w:pPr>
        <w:spacing w:after="0" w:line="2" w:lineRule="exact"/>
        <w:rPr>
          <w:rFonts w:ascii="Arial" w:cs="Arial" w:eastAsia="Arial" w:hAnsi="Arial"/>
          <w:sz w:val="16"/>
          <w:szCs w:val="16"/>
          <w:color w:val="auto"/>
        </w:rPr>
      </w:pPr>
    </w:p>
    <w:p>
      <w:pPr>
        <w:ind w:right="200"/>
        <w:spacing w:after="0" w:line="252" w:lineRule="auto"/>
        <w:rPr>
          <w:rFonts w:ascii="Arial" w:cs="Arial" w:eastAsia="Arial" w:hAnsi="Arial"/>
          <w:sz w:val="16"/>
          <w:szCs w:val="16"/>
          <w:color w:val="auto"/>
        </w:rPr>
      </w:pPr>
      <w:r>
        <w:rPr>
          <w:rFonts w:ascii="Arial" w:cs="Arial" w:eastAsia="Arial" w:hAnsi="Arial"/>
          <w:sz w:val="18"/>
          <w:szCs w:val="18"/>
          <w:color w:val="auto"/>
        </w:rPr>
        <w:t>(iv) Company is hereby agreeing to employ and pay Employee based upon Employee’s assurances and promises not to divert goodwill of customers, landlords, suppliers or partners of Company, either individually or on a combined basis, or to put himself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paragraph 4.1(b), (c), or (d), or due to expiration of the Agreement due to non-renewal by either party, Employee will not, directly or indirectly (whether as owner, partner, consultant, employee or otherwise):</w:t>
      </w:r>
    </w:p>
    <w:p>
      <w:pPr>
        <w:spacing w:after="0" w:line="248" w:lineRule="exact"/>
        <w:rPr>
          <w:rFonts w:ascii="Arial" w:cs="Arial" w:eastAsia="Arial" w:hAnsi="Arial"/>
          <w:sz w:val="16"/>
          <w:szCs w:val="16"/>
          <w:color w:val="auto"/>
        </w:rPr>
      </w:pPr>
    </w:p>
    <w:p>
      <w:pPr>
        <w:ind w:right="80" w:firstLine="1953"/>
        <w:spacing w:after="0" w:line="276" w:lineRule="auto"/>
        <w:tabs>
          <w:tab w:leader="none" w:pos="26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the Company has established a retail presence either directly or through a franchise arrangement; or</w:t>
      </w:r>
    </w:p>
    <w:p>
      <w:pPr>
        <w:spacing w:after="0" w:line="226" w:lineRule="exact"/>
        <w:rPr>
          <w:rFonts w:ascii="Arial" w:cs="Arial" w:eastAsia="Arial" w:hAnsi="Arial"/>
          <w:sz w:val="17"/>
          <w:szCs w:val="17"/>
          <w:color w:val="auto"/>
        </w:rPr>
      </w:pPr>
    </w:p>
    <w:p>
      <w:pPr>
        <w:ind w:right="700" w:firstLine="1953"/>
        <w:spacing w:after="0" w:line="277" w:lineRule="auto"/>
        <w:tabs>
          <w:tab w:leader="none" w:pos="265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for one (1) year, induce or attempt to induce any employee, consultant, partner or advisor of Company to accept employment or an affiliation with any entity engaged in a Restricted Activity;</w:t>
      </w:r>
    </w:p>
    <w:p>
      <w:pPr>
        <w:spacing w:after="0" w:line="2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following termination of his employment, Employee shall be entitled to be an employee of an entity that engages in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Activity so long as: (i) the sale of stuffed plush toys is not a material business of the entity; (ii) Employee has no direct or personal involvement in the sale of stuffed plush toys ; and (iii) neither Employee, his relatives, nor any other entities with which he is affiliated own more than 1% of the entity. As used in this paragraph 6, “material business” shall mean that either (A) greater than 10% of annual revenues received by such entity were derived from the sale of stuffed plush toys and related products, or (B) the annual revenues received or projected to be received by such entity from the sale of stuffed plush toys and related products exceeded $10 million, or (C) or the entity otherwise annually derives or is projected to derive annual revenues in excess of $5 million from a retail concept that is similar in any material regard to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7" w:name="page88"/>
    <w:bookmarkEnd w:id="87"/>
    <w:p>
      <w:pPr>
        <w:ind w:right="80" w:firstLine="8"/>
        <w:spacing w:after="0" w:line="286" w:lineRule="auto"/>
        <w:tabs>
          <w:tab w:leader="none" w:pos="63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Restrictions</w:t>
      </w:r>
      <w:r>
        <w:rPr>
          <w:rFonts w:ascii="Arial" w:cs="Arial" w:eastAsia="Arial" w:hAnsi="Arial"/>
          <w:sz w:val="17"/>
          <w:szCs w:val="17"/>
          <w:color w:val="auto"/>
        </w:rPr>
        <w:t>. Employee recognizes and agrees that the restraints contained in Section 6 (both separately and in total), including the geographic scope thereof in light of the Company’s marketing efforts, are reasonable and enforceable in view of Company’s legitimate interests in protecting its Confidential Information and customer goodwill and the limited scope of the restrictions in Section 6.</w:t>
      </w:r>
    </w:p>
    <w:p>
      <w:pPr>
        <w:spacing w:after="0" w:line="219" w:lineRule="exact"/>
        <w:rPr>
          <w:rFonts w:ascii="Arial" w:cs="Arial" w:eastAsia="Arial" w:hAnsi="Arial"/>
          <w:sz w:val="17"/>
          <w:szCs w:val="17"/>
          <w:color w:val="auto"/>
        </w:rPr>
      </w:pPr>
    </w:p>
    <w:p>
      <w:pPr>
        <w:ind w:left="640" w:hanging="632"/>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79"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251" w:lineRule="exact"/>
        <w:rPr>
          <w:sz w:val="20"/>
          <w:szCs w:val="20"/>
          <w:color w:val="auto"/>
        </w:rPr>
      </w:pPr>
    </w:p>
    <w:p>
      <w:pPr>
        <w:ind w:firstLine="1305"/>
        <w:spacing w:after="0" w:line="268" w:lineRule="auto"/>
        <w:tabs>
          <w:tab w:leader="none" w:pos="1596" w:val="left"/>
        </w:tabs>
        <w:numPr>
          <w:ilvl w:val="0"/>
          <w:numId w:val="89"/>
        </w:numPr>
        <w:rPr>
          <w:rFonts w:ascii="Arial" w:cs="Arial" w:eastAsia="Arial" w:hAnsi="Arial"/>
          <w:sz w:val="17"/>
          <w:szCs w:val="17"/>
          <w:color w:val="auto"/>
        </w:rPr>
      </w:pPr>
      <w:r>
        <w:rPr>
          <w:rFonts w:ascii="Arial" w:cs="Arial" w:eastAsia="Arial" w:hAnsi="Arial"/>
          <w:sz w:val="17"/>
          <w:szCs w:val="17"/>
          <w:color w:val="auto"/>
        </w:rPr>
        <w:t>Employee acknowledges that as part of his work for the Company he may be asked to create, or contribute to the creation of, computer programs, documentation and other copyrightable works. Employee hereby agrees that any and all computer programs, documentation and other copyrightable materials that he has prepared or worked on for the Company, or is asked to prepare or work on by the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he may have arising under 17 U.S.C. §§ 106A, rights that may arise under any federal, state, or foreign law that conveys rights that are similar in nature to those conveyed under 17 U.S.C. §§ 106A, and any other type of moral right or droit moral.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8" w:name="page89"/>
    <w:bookmarkEnd w:id="88"/>
    <w:p>
      <w:pPr>
        <w:ind w:firstLine="8"/>
        <w:spacing w:after="0" w:line="259"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Employee acknowledges that any and all notes, records, sketches, computer diskettes, training materials and other documents relating to Company obtained by or provided to Employee, or otherwise made, produced or compiled during the Employment Period, regardless of the type of medium in which they are preserved, are the sole and exclusive property of Company and shall be surrendered to Company upon Employee’s termination of employment and on demand at any time by Company.</w:t>
      </w:r>
    </w:p>
    <w:p>
      <w:pPr>
        <w:spacing w:after="0" w:line="240" w:lineRule="exact"/>
        <w:rPr>
          <w:rFonts w:ascii="Arial" w:cs="Arial" w:eastAsia="Arial" w:hAnsi="Arial"/>
          <w:sz w:val="18"/>
          <w:szCs w:val="18"/>
          <w:color w:val="auto"/>
        </w:rPr>
      </w:pPr>
    </w:p>
    <w:p>
      <w:pPr>
        <w:ind w:right="460" w:firstLine="8"/>
        <w:spacing w:after="0" w:line="312" w:lineRule="auto"/>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Employee agrees that he will not in any way disparage Company or its affiliated entities, officers, or directors. Further, Employee agrees that he will neither make nor solicit any comments, statements, or the like to the media or to third parties that may be considered to be derogatory or detrimental to the good name or business reputation of Company or any of its affiliated entities, officers or directors.</w:t>
      </w:r>
    </w:p>
    <w:p>
      <w:pPr>
        <w:spacing w:after="0" w:line="200" w:lineRule="exact"/>
        <w:rPr>
          <w:rFonts w:ascii="Arial" w:cs="Arial" w:eastAsia="Arial" w:hAnsi="Arial"/>
          <w:sz w:val="16"/>
          <w:szCs w:val="16"/>
          <w:color w:val="auto"/>
        </w:rPr>
      </w:pPr>
    </w:p>
    <w:p>
      <w:pPr>
        <w:jc w:val="both"/>
        <w:ind w:right="20" w:firstLine="8"/>
        <w:spacing w:after="0" w:line="312" w:lineRule="auto"/>
        <w:tabs>
          <w:tab w:leader="none" w:pos="713"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Non-Waiver of Rights</w:t>
      </w:r>
      <w:r>
        <w:rPr>
          <w:rFonts w:ascii="Arial" w:cs="Arial" w:eastAsia="Arial" w:hAnsi="Arial"/>
          <w:sz w:val="16"/>
          <w:szCs w:val="16"/>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200" w:lineRule="exact"/>
        <w:rPr>
          <w:rFonts w:ascii="Arial" w:cs="Arial" w:eastAsia="Arial" w:hAnsi="Arial"/>
          <w:sz w:val="16"/>
          <w:szCs w:val="16"/>
          <w:color w:val="auto"/>
        </w:rPr>
      </w:pPr>
    </w:p>
    <w:p>
      <w:pPr>
        <w:ind w:firstLine="8"/>
        <w:spacing w:after="0" w:line="272" w:lineRule="auto"/>
        <w:tabs>
          <w:tab w:leader="none" w:pos="72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Company’s Right to Injunctive Relief</w:t>
      </w:r>
      <w:r>
        <w:rPr>
          <w:rFonts w:ascii="Arial" w:cs="Arial" w:eastAsia="Arial" w:hAnsi="Arial"/>
          <w:sz w:val="17"/>
          <w:szCs w:val="17"/>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temporary, preliminary and permanent injunctive relief restraining such breach or threatened breach. Employee hereby expressly acknowledges that the harm which might result to Company’s business as a result of any noncompliance by Employee with any of the provisions of Sections 5, 6 or 8 would be largely irreparable. Employee specifically agrees that if there is a question as to the enforceability of any of the provisions of Sections 5, 6 or 8 hereof, Employee will not engage in any conduct inconsistent with or contrary to such Sections until after the question has been resolved by a final judgment of a court of competent jurisdiction.</w:t>
      </w:r>
    </w:p>
    <w:p>
      <w:pPr>
        <w:spacing w:after="0" w:line="231" w:lineRule="exact"/>
        <w:rPr>
          <w:rFonts w:ascii="Arial" w:cs="Arial" w:eastAsia="Arial" w:hAnsi="Arial"/>
          <w:sz w:val="17"/>
          <w:szCs w:val="17"/>
          <w:color w:val="auto"/>
        </w:rPr>
      </w:pPr>
    </w:p>
    <w:p>
      <w:pPr>
        <w:ind w:right="60" w:firstLine="8"/>
        <w:spacing w:after="0" w:line="286" w:lineRule="auto"/>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Judicial Enforcement</w:t>
      </w:r>
      <w:r>
        <w:rPr>
          <w:rFonts w:ascii="Arial" w:cs="Arial" w:eastAsia="Arial" w:hAnsi="Arial"/>
          <w:sz w:val="16"/>
          <w:szCs w:val="16"/>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limited. The parties expressly acknowledge and agree that this Section is reasonable in view of the parties’ respective interests.</w:t>
      </w:r>
    </w:p>
    <w:p>
      <w:pPr>
        <w:spacing w:after="0" w:line="264" w:lineRule="exact"/>
        <w:rPr>
          <w:rFonts w:ascii="Arial" w:cs="Arial" w:eastAsia="Arial" w:hAnsi="Arial"/>
          <w:sz w:val="16"/>
          <w:szCs w:val="16"/>
          <w:color w:val="auto"/>
        </w:rPr>
      </w:pPr>
    </w:p>
    <w:p>
      <w:pPr>
        <w:ind w:right="40" w:firstLine="8"/>
        <w:spacing w:after="0" w:line="302" w:lineRule="auto"/>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Employee Representations</w:t>
      </w:r>
      <w:r>
        <w:rPr>
          <w:rFonts w:ascii="Arial" w:cs="Arial" w:eastAsia="Arial" w:hAnsi="Arial"/>
          <w:sz w:val="16"/>
          <w:szCs w:val="16"/>
          <w:color w:val="auto"/>
        </w:rPr>
        <w:t>. Employee represents that the execution and delivery of the Agreement and Employee’s employment with Company do not violate any previous employment agreement or other contractual obligation of Employee. Employee further represents and agrees that he will not, during his employment with Company, improperly use or disclose any proprietary information or trade secrets of former employers and will not bring on to the premises of the Company any unpublished documents or any property belonging to his former employers unless consented to in writing by such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89" w:name="page90"/>
    <w:bookmarkEnd w:id="89"/>
    <w:p>
      <w:pPr>
        <w:jc w:val="both"/>
        <w:ind w:right="120" w:firstLine="8"/>
        <w:spacing w:after="0" w:line="264"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235" w:lineRule="exact"/>
        <w:rPr>
          <w:rFonts w:ascii="Arial" w:cs="Arial" w:eastAsia="Arial" w:hAnsi="Arial"/>
          <w:sz w:val="18"/>
          <w:szCs w:val="18"/>
          <w:color w:val="auto"/>
        </w:rPr>
      </w:pPr>
    </w:p>
    <w:p>
      <w:pPr>
        <w:ind w:right="240" w:firstLine="8"/>
        <w:spacing w:after="0" w:line="264"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235" w:lineRule="exact"/>
        <w:rPr>
          <w:rFonts w:ascii="Arial" w:cs="Arial" w:eastAsia="Arial" w:hAnsi="Arial"/>
          <w:sz w:val="18"/>
          <w:szCs w:val="18"/>
          <w:color w:val="auto"/>
        </w:rPr>
      </w:pPr>
    </w:p>
    <w:p>
      <w:pPr>
        <w:ind w:firstLine="8"/>
        <w:spacing w:after="0" w:line="255"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Choice of Forum and Governing Law</w:t>
      </w:r>
      <w:r>
        <w:rPr>
          <w:rFonts w:ascii="Arial" w:cs="Arial" w:eastAsia="Arial" w:hAnsi="Arial"/>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247" w:lineRule="exact"/>
        <w:rPr>
          <w:rFonts w:ascii="Arial" w:cs="Arial" w:eastAsia="Arial" w:hAnsi="Arial"/>
          <w:sz w:val="18"/>
          <w:szCs w:val="18"/>
          <w:color w:val="auto"/>
        </w:rPr>
      </w:pPr>
    </w:p>
    <w:p>
      <w:pPr>
        <w:ind w:right="400" w:firstLine="8"/>
        <w:spacing w:after="0" w:line="308" w:lineRule="auto"/>
        <w:tabs>
          <w:tab w:leader="none" w:pos="72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201" w:lineRule="exact"/>
        <w:rPr>
          <w:sz w:val="20"/>
          <w:szCs w:val="20"/>
          <w:color w:val="auto"/>
        </w:rPr>
      </w:pPr>
    </w:p>
    <w:p>
      <w:pPr>
        <w:ind w:left="720" w:hanging="712"/>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to Company:</w:t>
      </w:r>
    </w:p>
    <w:p>
      <w:pPr>
        <w:spacing w:after="0" w:line="27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6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copy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Eric Fencl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Bearrister—General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65" w:lineRule="exact"/>
        <w:rPr>
          <w:sz w:val="20"/>
          <w:szCs w:val="20"/>
          <w:color w:val="auto"/>
        </w:rPr>
      </w:pPr>
    </w:p>
    <w:p>
      <w:pPr>
        <w:ind w:left="2680" w:hanging="727"/>
        <w:spacing w:after="0"/>
        <w:tabs>
          <w:tab w:leader="none" w:pos="2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to Employee:</w:t>
      </w:r>
    </w:p>
    <w:p>
      <w:pPr>
        <w:spacing w:after="0" w:line="27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Kenneth Wine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2633 Nebraska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MO 63118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4" w:right="339" w:bottom="1440" w:gutter="0" w:footer="0" w:header="0"/>
        </w:sectPr>
      </w:pPr>
    </w:p>
    <w:bookmarkStart w:id="90" w:name="page91"/>
    <w:bookmarkEnd w:id="90"/>
    <w:p>
      <w:pPr>
        <w:ind w:right="60" w:firstLine="8"/>
        <w:spacing w:after="0" w:line="270" w:lineRule="auto"/>
        <w:tabs>
          <w:tab w:leader="none" w:pos="72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b w:val="1"/>
          <w:bCs w:val="1"/>
          <w:color w:val="auto"/>
        </w:rPr>
        <w:t>. Any controversy or claim arising out of, or relating to this Agreement, the breach thereof, or Employee’s employment by Company, shall, at Company’s sole option, be settled by binding arbitration in the County of St. Louis in accordance with the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235" w:lineRule="exact"/>
        <w:rPr>
          <w:rFonts w:ascii="Arial" w:cs="Arial" w:eastAsia="Arial" w:hAnsi="Arial"/>
          <w:sz w:val="17"/>
          <w:szCs w:val="17"/>
          <w:b w:val="1"/>
          <w:bCs w:val="1"/>
          <w:color w:val="auto"/>
        </w:rPr>
      </w:pPr>
    </w:p>
    <w:p>
      <w:pPr>
        <w:ind w:left="720" w:hanging="712"/>
        <w:spacing w:after="0"/>
        <w:tabs>
          <w:tab w:leader="none" w:pos="72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provided in this Agreement for convenience only and shall not be deemed to substantively alter the content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sections.</w:t>
      </w:r>
    </w:p>
    <w:p>
      <w:pPr>
        <w:spacing w:after="0" w:line="200" w:lineRule="exact"/>
        <w:rPr>
          <w:sz w:val="20"/>
          <w:szCs w:val="20"/>
          <w:color w:val="auto"/>
        </w:rPr>
      </w:pPr>
    </w:p>
    <w:p>
      <w:pPr>
        <w:spacing w:after="0" w:line="33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u w:val="single" w:color="auto"/>
          <w:color w:val="auto"/>
        </w:rPr>
        <w:t>PLEASE NOTE</w:t>
      </w:r>
      <w:r>
        <w:rPr>
          <w:rFonts w:ascii="Arial" w:cs="Arial" w:eastAsia="Arial" w:hAnsi="Arial"/>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EMPLOYEE’S RIGHTS AND OBLIGATIONS UNDER THE AGREEMENT.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CONTAINS A BINDING ARBIRTARTION PROVISION WHICH MAY BE ENFORCED BY COMPANY.</w:t>
      </w:r>
    </w:p>
    <w:p>
      <w:pPr>
        <w:spacing w:after="0" w:line="200" w:lineRule="exact"/>
        <w:rPr>
          <w:sz w:val="20"/>
          <w:szCs w:val="20"/>
          <w:color w:val="auto"/>
        </w:rPr>
      </w:pPr>
    </w:p>
    <w:p>
      <w:pPr>
        <w:spacing w:after="0" w:line="35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Kenneth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Kenneth Wine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Maxine Clark</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Bear</w:t>
      </w:r>
    </w:p>
    <w:p>
      <w:pPr>
        <w:sectPr>
          <w:pgSz w:w="11900" w:h="16838" w:orient="portrait"/>
          <w:cols w:equalWidth="0" w:num="1">
            <w:col w:w="11360"/>
          </w:cols>
          <w:pgMar w:left="240" w:top="540" w:right="2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80" w:type="dxa"/>
            <w:vAlign w:val="bottom"/>
          </w:tcPr>
          <w:p>
            <w:pPr>
              <w:ind w:left="3000"/>
              <w:spacing w:after="0"/>
              <w:rPr>
                <w:sz w:val="20"/>
                <w:szCs w:val="20"/>
                <w:color w:val="auto"/>
              </w:rPr>
            </w:pPr>
            <w:r>
              <w:rPr>
                <w:rFonts w:ascii="Arial" w:cs="Arial" w:eastAsia="Arial" w:hAnsi="Arial"/>
                <w:sz w:val="18"/>
                <w:szCs w:val="18"/>
                <w:color w:val="auto"/>
                <w:w w:val="96"/>
              </w:rPr>
              <w:t>EXHIBIT 21.1</w:t>
            </w:r>
          </w:p>
        </w:tc>
      </w:tr>
      <w:tr>
        <w:trPr>
          <w:trHeight w:val="190"/>
        </w:trPr>
        <w:tc>
          <w:tcPr>
            <w:tcW w:w="3840" w:type="dxa"/>
            <w:vAlign w:val="bottom"/>
          </w:tcPr>
          <w:p>
            <w:pPr>
              <w:spacing w:after="0"/>
              <w:rPr>
                <w:sz w:val="16"/>
                <w:szCs w:val="16"/>
                <w:color w:val="auto"/>
              </w:rPr>
            </w:pPr>
          </w:p>
        </w:tc>
        <w:tc>
          <w:tcPr>
            <w:tcW w:w="758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Subsidiaries of Build-A-Bear Workshop, Inc.</w:t>
            </w:r>
          </w:p>
        </w:tc>
      </w:tr>
      <w:tr>
        <w:trPr>
          <w:trHeight w:val="46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w:t>
            </w:r>
          </w:p>
        </w:tc>
        <w:tc>
          <w:tcPr>
            <w:tcW w:w="240" w:type="dxa"/>
            <w:vAlign w:val="bottom"/>
            <w:tcBorders>
              <w:bottom w:val="single" w:sz="8" w:color="auto"/>
            </w:tcBorders>
          </w:tcPr>
          <w:p>
            <w:pPr>
              <w:spacing w:after="0"/>
              <w:rPr>
                <w:sz w:val="24"/>
                <w:szCs w:val="24"/>
                <w:color w:val="auto"/>
              </w:rPr>
            </w:pPr>
          </w:p>
        </w:tc>
        <w:tc>
          <w:tcPr>
            <w:tcW w:w="3260" w:type="dxa"/>
            <w:vAlign w:val="bottom"/>
            <w:tcBorders>
              <w:top w:val="single" w:sz="8" w:color="auto"/>
              <w:bottom w:val="single" w:sz="8" w:color="auto"/>
            </w:tcBorders>
          </w:tcPr>
          <w:p>
            <w:pPr>
              <w:spacing w:after="0"/>
              <w:rPr>
                <w:sz w:val="24"/>
                <w:szCs w:val="24"/>
                <w:color w:val="auto"/>
              </w:rPr>
            </w:pP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Jurisdiction of Incorporation/Organization:</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Build-A-Bear Entertainment, LLC</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Missouri</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w w:val="98"/>
              </w:rPr>
              <w:t>Build-A-Bear Workshop Franchise Holdings, Inc.</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Build-A-Bear Workshop Canada Ltd.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New Brunswick</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Build-A-Bear Retail Management, Inc.</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Build-A-Bear Workshop UK Holdings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The Bear Factory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Amsbra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Hobbies and Models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Build-A-Bear Workshop Ireland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420"/>
          </w:cols>
          <w:pgMar w:left="240" w:top="120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23.1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00" w:lineRule="exact"/>
        <w:rPr>
          <w:sz w:val="20"/>
          <w:szCs w:val="20"/>
          <w:color w:val="auto"/>
        </w:rPr>
      </w:pPr>
    </w:p>
    <w:p>
      <w:pPr>
        <w:spacing w:after="0" w:line="3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(Forms S-8 No. 333-120012 and No. 333-159313) pertaining to various stock incentive plans of Build-A-Bear Workshop, Inc. and Subsidiaries of our reports dated March 14, 2013, with respect to the consolidated financial statements and schedule of Build-A-Bear Workshop, Inc. and Subsidiaries, and the effectiveness of internal control over financial reporting of Build-A-Bear Workshop, Inc. and Subsidiaries, included in this Annual Report (Form 10-K) for the year-ended December 29,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(No. 333-120012 and 333-159313) on Form S-8 of Build-A-Bear Workshop, Inc. and subsidiaries of our report dated March 17, 2011, with respect to the consolidated statements of operations, comprehensive income (loss), stockholders’ equity, and cash flows of Build-A-Bear Workshop, Inc. and subsidiaries for the fiscal year ended January 1, 2011, which report appears in the December 29, 2012 annual report on Form 10-K of Build-A-Bear Workshop, Inc.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Maxine Clark, certify that:</w:t>
      </w:r>
    </w:p>
    <w:p>
      <w:pPr>
        <w:spacing w:after="0" w:line="279" w:lineRule="exact"/>
        <w:rPr>
          <w:sz w:val="20"/>
          <w:szCs w:val="20"/>
          <w:color w:val="auto"/>
        </w:rPr>
      </w:pPr>
    </w:p>
    <w:p>
      <w:pPr>
        <w:ind w:left="920" w:hanging="480"/>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460" w:right="140" w:firstLine="7"/>
        <w:spacing w:after="0" w:line="264" w:lineRule="auto"/>
        <w:tabs>
          <w:tab w:leader="none" w:pos="17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460" w:right="20" w:firstLine="7"/>
        <w:spacing w:after="0" w:line="264" w:lineRule="auto"/>
        <w:tabs>
          <w:tab w:leader="none" w:pos="17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1460" w:firstLine="7"/>
        <w:spacing w:after="0" w:line="342" w:lineRule="auto"/>
        <w:tabs>
          <w:tab w:leader="none" w:pos="1705"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460" w:right="360" w:firstLine="7"/>
        <w:spacing w:after="0" w:line="264" w:lineRule="auto"/>
        <w:tabs>
          <w:tab w:leader="none" w:pos="17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460" w:right="220" w:firstLine="7"/>
        <w:spacing w:after="0" w:line="308" w:lineRule="auto"/>
        <w:tabs>
          <w:tab w:leader="none" w:pos="1705"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1460" w:right="500" w:firstLine="7"/>
        <w:spacing w:after="0" w:line="277" w:lineRule="auto"/>
        <w:tabs>
          <w:tab w:leader="none" w:pos="17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March 14, 2013</w:t>
      </w:r>
      <w:r>
        <w:rPr>
          <w:sz w:val="20"/>
          <w:szCs w:val="20"/>
          <w:color w:val="auto"/>
        </w:rPr>
        <w:tab/>
      </w:r>
      <w:r>
        <w:rPr>
          <w:rFonts w:ascii="Arial" w:cs="Arial" w:eastAsia="Arial" w:hAnsi="Arial"/>
          <w:sz w:val="16"/>
          <w:szCs w:val="16"/>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Financial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79" w:lineRule="exact"/>
        <w:rPr>
          <w:sz w:val="20"/>
          <w:szCs w:val="20"/>
          <w:color w:val="auto"/>
        </w:rPr>
      </w:pPr>
    </w:p>
    <w:p>
      <w:pPr>
        <w:ind w:left="920" w:hanging="480"/>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460" w:right="140" w:firstLine="7"/>
        <w:spacing w:after="0" w:line="264" w:lineRule="auto"/>
        <w:tabs>
          <w:tab w:leader="none" w:pos="170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460" w:right="20" w:firstLine="7"/>
        <w:spacing w:after="0" w:line="264" w:lineRule="auto"/>
        <w:tabs>
          <w:tab w:leader="none" w:pos="171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1460" w:firstLine="7"/>
        <w:spacing w:after="0" w:line="342" w:lineRule="auto"/>
        <w:tabs>
          <w:tab w:leader="none" w:pos="1705"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460" w:right="360" w:firstLine="7"/>
        <w:spacing w:after="0" w:line="264" w:lineRule="auto"/>
        <w:tabs>
          <w:tab w:leader="none" w:pos="171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460" w:right="220" w:firstLine="7"/>
        <w:spacing w:after="0" w:line="308" w:lineRule="auto"/>
        <w:tabs>
          <w:tab w:leader="none" w:pos="1705"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1460" w:right="500" w:firstLine="7"/>
        <w:spacing w:after="0" w:line="277" w:lineRule="auto"/>
        <w:tabs>
          <w:tab w:leader="none" w:pos="171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March 14, 2013</w:t>
      </w:r>
      <w:r>
        <w:rPr>
          <w:sz w:val="20"/>
          <w:szCs w:val="20"/>
          <w:color w:val="auto"/>
        </w:rPr>
        <w:tab/>
      </w:r>
      <w:r>
        <w:rPr>
          <w:rFonts w:ascii="Arial" w:cs="Arial" w:eastAsia="Arial" w:hAnsi="Arial"/>
          <w:sz w:val="16"/>
          <w:szCs w:val="16"/>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Operations and Financial Bear, Treasurer and Secretary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December 29, 2012 as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 March 14, 2013</w:t>
      </w:r>
      <w:r>
        <w:rPr>
          <w:sz w:val="20"/>
          <w:szCs w:val="20"/>
          <w:color w:val="auto"/>
        </w:rPr>
        <w:tab/>
      </w:r>
      <w:r>
        <w:rPr>
          <w:rFonts w:ascii="Arial" w:cs="Arial" w:eastAsia="Arial" w:hAnsi="Arial"/>
          <w:sz w:val="16"/>
          <w:szCs w:val="16"/>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December 29, 2012 as filed with the Securities and Exchange Commission on the date hereof (the “Report”), I, Tina Klocke, Chief Operations and Financial Bear, Secretary and Treasurer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 March 14, 2013</w:t>
      </w:r>
      <w:r>
        <w:rPr>
          <w:sz w:val="20"/>
          <w:szCs w:val="20"/>
          <w:color w:val="auto"/>
        </w:rPr>
        <w:tab/>
      </w:r>
      <w:r>
        <w:rPr>
          <w:rFonts w:ascii="Arial" w:cs="Arial" w:eastAsia="Arial" w:hAnsi="Arial"/>
          <w:sz w:val="16"/>
          <w:szCs w:val="16"/>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Operations and Financial Bear, Treasurer and Secretary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x"/>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decimal"/>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lowerRoman"/>
      <w:start w:val="3"/>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2"/>
    </w:lvl>
  </w:abstractNum>
  <w:abstractNum w:abstractNumId="25">
    <w:nsid w:val="61574095"/>
    <w:multiLevelType w:val="hybridMultilevel"/>
    <w:lvl w:ilvl="0">
      <w:lvlJc w:val="left"/>
      <w:lvlText w:val="(%1)"/>
      <w:numFmt w:val="lowerLetter"/>
      <w:start w:val="1"/>
    </w:lvl>
  </w:abstractNum>
  <w:abstractNum w:abstractNumId="26">
    <w:nsid w:val="7E0C57B1"/>
    <w:multiLevelType w:val="hybridMultilevel"/>
    <w:lvl w:ilvl="0">
      <w:lvlJc w:val="left"/>
      <w:lvlText w:val="(%1)"/>
      <w:numFmt w:val="lowerLetter"/>
      <w:start w:val="2"/>
    </w:lvl>
  </w:abstractNum>
  <w:abstractNum w:abstractNumId="27">
    <w:nsid w:val="77AE35EB"/>
    <w:multiLevelType w:val="hybridMultilevel"/>
    <w:lvl w:ilvl="0">
      <w:lvlJc w:val="left"/>
      <w:lvlText w:val="(%1)"/>
      <w:numFmt w:val="lowerLetter"/>
      <w:start w:val="3"/>
    </w:lvl>
  </w:abstractNum>
  <w:abstractNum w:abstractNumId="28">
    <w:nsid w:val="579BE4F1"/>
    <w:multiLevelType w:val="hybridMultilevel"/>
    <w:lvl w:ilvl="0">
      <w:lvlJc w:val="left"/>
      <w:lvlText w:val="(%1)"/>
      <w:numFmt w:val="lowerLetter"/>
      <w:start w:val="4"/>
    </w:lvl>
  </w:abstractNum>
  <w:abstractNum w:abstractNumId="29">
    <w:nsid w:val="310C50B3"/>
    <w:multiLevelType w:val="hybridMultilevel"/>
    <w:lvl w:ilvl="0">
      <w:lvlJc w:val="left"/>
      <w:lvlText w:val="(%1)"/>
      <w:numFmt w:val="lowerLetter"/>
      <w:start w:val="5"/>
    </w:lvl>
  </w:abstractNum>
  <w:abstractNum w:abstractNumId="30">
    <w:nsid w:val="5FF87E05"/>
    <w:multiLevelType w:val="hybridMultilevel"/>
    <w:lvl w:ilvl="0">
      <w:lvlJc w:val="left"/>
      <w:lvlText w:val="(%1)"/>
      <w:numFmt w:val="lowerLetter"/>
      <w:start w:val="6"/>
    </w:lvl>
  </w:abstractNum>
  <w:abstractNum w:abstractNumId="31">
    <w:nsid w:val="2F305DEF"/>
    <w:multiLevelType w:val="hybridMultilevel"/>
    <w:lvl w:ilvl="0">
      <w:lvlJc w:val="left"/>
      <w:lvlText w:val="(%1)"/>
      <w:numFmt w:val="lowerLetter"/>
      <w:start w:val="7"/>
    </w:lvl>
  </w:abstractNum>
  <w:abstractNum w:abstractNumId="32">
    <w:nsid w:val="25A70BF7"/>
    <w:multiLevelType w:val="hybridMultilevel"/>
    <w:lvl w:ilvl="0">
      <w:lvlJc w:val="left"/>
      <w:lvlText w:val="(%1)"/>
      <w:numFmt w:val="lowerLetter"/>
      <w:start w:val="8"/>
    </w:lvl>
  </w:abstractNum>
  <w:abstractNum w:abstractNumId="33">
    <w:nsid w:val="1DBABF00"/>
    <w:multiLevelType w:val="hybridMultilevel"/>
    <w:lvl w:ilvl="0">
      <w:lvlJc w:val="left"/>
      <w:lvlText w:val="(%1)"/>
      <w:numFmt w:val="lowerRoman"/>
      <w:start w:val="1"/>
    </w:lvl>
  </w:abstractNum>
  <w:abstractNum w:abstractNumId="34">
    <w:nsid w:val="4AD084E9"/>
    <w:multiLevelType w:val="hybridMultilevel"/>
    <w:lvl w:ilvl="0">
      <w:lvlJc w:val="left"/>
      <w:lvlText w:val="(%1)"/>
      <w:numFmt w:val="lowerLetter"/>
      <w:start w:val="10"/>
    </w:lvl>
  </w:abstractNum>
  <w:abstractNum w:abstractNumId="35">
    <w:nsid w:val="1F48EAA1"/>
    <w:multiLevelType w:val="hybridMultilevel"/>
    <w:lvl w:ilvl="0">
      <w:lvlJc w:val="left"/>
      <w:lvlText w:val="(%1)"/>
      <w:numFmt w:val="lowerLetter"/>
      <w:start w:val="11"/>
    </w:lvl>
  </w:abstractNum>
  <w:abstractNum w:abstractNumId="36">
    <w:nsid w:val="1381823A"/>
    <w:multiLevelType w:val="hybridMultilevel"/>
    <w:lvl w:ilvl="0">
      <w:lvlJc w:val="left"/>
      <w:lvlText w:val="(%1)"/>
      <w:numFmt w:val="lowerLetter"/>
      <w:start w:val="12"/>
    </w:lvl>
  </w:abstractNum>
  <w:abstractNum w:abstractNumId="37">
    <w:nsid w:val="5DB70AE5"/>
    <w:multiLevelType w:val="hybridMultilevel"/>
    <w:lvl w:ilvl="0">
      <w:lvlJc w:val="left"/>
      <w:lvlText w:val="(%1)"/>
      <w:numFmt w:val="lowerLetter"/>
      <w:start w:val="13"/>
    </w:lvl>
  </w:abstractNum>
  <w:abstractNum w:abstractNumId="38">
    <w:nsid w:val="100F8FCA"/>
    <w:multiLevelType w:val="hybridMultilevel"/>
    <w:lvl w:ilvl="0">
      <w:lvlJc w:val="left"/>
      <w:lvlText w:val="(%1)"/>
      <w:numFmt w:val="lowerLetter"/>
      <w:start w:val="14"/>
    </w:lvl>
  </w:abstractNum>
  <w:abstractNum w:abstractNumId="39">
    <w:nsid w:val="6590700B"/>
    <w:multiLevelType w:val="hybridMultilevel"/>
    <w:lvl w:ilvl="0">
      <w:lvlJc w:val="left"/>
      <w:lvlText w:val="(%1)"/>
      <w:numFmt w:val="lowerLetter"/>
      <w:start w:val="15"/>
    </w:lvl>
  </w:abstractNum>
  <w:abstractNum w:abstractNumId="40">
    <w:nsid w:val="15014ACB"/>
    <w:multiLevelType w:val="hybridMultilevel"/>
    <w:lvl w:ilvl="0">
      <w:lvlJc w:val="left"/>
      <w:lvlText w:val="(%1)"/>
      <w:numFmt w:val="lowerLetter"/>
      <w:start w:val="16"/>
    </w:lvl>
  </w:abstractNum>
  <w:abstractNum w:abstractNumId="41">
    <w:nsid w:val="5F5E7FD0"/>
    <w:multiLevelType w:val="hybridMultilevel"/>
    <w:lvl w:ilvl="0">
      <w:lvlJc w:val="left"/>
      <w:lvlText w:val="(%1)"/>
      <w:numFmt w:val="lowerLetter"/>
      <w:start w:val="17"/>
    </w:lvl>
  </w:abstractNum>
  <w:abstractNum w:abstractNumId="42">
    <w:nsid w:val="98A3148"/>
    <w:multiLevelType w:val="hybridMultilevel"/>
    <w:lvl w:ilvl="0">
      <w:lvlJc w:val="left"/>
      <w:lvlText w:val="(%1)"/>
      <w:numFmt w:val="lowerLetter"/>
      <w:start w:val="18"/>
    </w:lvl>
  </w:abstractNum>
  <w:abstractNum w:abstractNumId="43">
    <w:nsid w:val="799D0247"/>
    <w:multiLevelType w:val="hybridMultilevel"/>
    <w:lvl w:ilvl="0">
      <w:lvlJc w:val="left"/>
      <w:lvlText w:val="(%1)"/>
      <w:numFmt w:val="lowerLetter"/>
      <w:start w:val="19"/>
    </w:lvl>
  </w:abstractNum>
  <w:abstractNum w:abstractNumId="44">
    <w:nsid w:val="6B94764"/>
    <w:multiLevelType w:val="hybridMultilevel"/>
    <w:lvl w:ilvl="0">
      <w:lvlJc w:val="left"/>
      <w:lvlText w:val="(%1)"/>
      <w:numFmt w:val="lowerLetter"/>
      <w:start w:val="20"/>
    </w:lvl>
  </w:abstractNum>
  <w:abstractNum w:abstractNumId="45">
    <w:nsid w:val="42C296BD"/>
    <w:multiLevelType w:val="hybridMultilevel"/>
    <w:lvl w:ilvl="0">
      <w:lvlJc w:val="left"/>
      <w:lvlText w:val="(%1)"/>
      <w:numFmt w:val="lowerLetter"/>
      <w:start w:val="21"/>
    </w:lvl>
  </w:abstractNum>
  <w:abstractNum w:abstractNumId="46">
    <w:nsid w:val="168E121F"/>
    <w:multiLevelType w:val="hybridMultilevel"/>
    <w:lvl w:ilvl="0">
      <w:lvlJc w:val="left"/>
      <w:lvlText w:val="(%1)"/>
      <w:numFmt w:val="lowerRoman"/>
      <w:start w:val="5"/>
    </w:lvl>
  </w:abstractNum>
  <w:abstractNum w:abstractNumId="47">
    <w:nsid w:val="1EBA5D23"/>
    <w:multiLevelType w:val="hybridMultilevel"/>
    <w:lvl w:ilvl="0">
      <w:lvlJc w:val="left"/>
      <w:lvlText w:val="(%1)"/>
      <w:numFmt w:val="lowerLetter"/>
      <w:start w:val="23"/>
    </w:lvl>
  </w:abstractNum>
  <w:abstractNum w:abstractNumId="48">
    <w:nsid w:val="661E3F1E"/>
    <w:multiLevelType w:val="hybridMultilevel"/>
    <w:lvl w:ilvl="0">
      <w:lvlJc w:val="left"/>
      <w:lvlText w:val="(%1)"/>
      <w:numFmt w:val="lowerRoman"/>
      <w:start w:val="10"/>
    </w:lvl>
  </w:abstractNum>
  <w:abstractNum w:abstractNumId="49">
    <w:nsid w:val="5DC79EA8"/>
    <w:multiLevelType w:val="hybridMultilevel"/>
    <w:lvl w:ilvl="0">
      <w:lvlJc w:val="left"/>
      <w:lvlText w:val="(%1)"/>
      <w:numFmt w:val="lowerLetter"/>
      <w:start w:val="25"/>
    </w:lvl>
  </w:abstractNum>
  <w:abstractNum w:abstractNumId="50">
    <w:nsid w:val="540A471C"/>
    <w:multiLevelType w:val="hybridMultilevel"/>
    <w:lvl w:ilvl="0">
      <w:lvlJc w:val="left"/>
      <w:lvlText w:val="(%1)"/>
      <w:numFmt w:val="lowerLetter"/>
      <w:start w:val="26"/>
    </w:lvl>
  </w:abstractNum>
  <w:abstractNum w:abstractNumId="51">
    <w:nsid w:val="7BD3EE7B"/>
    <w:multiLevelType w:val="hybridMultilevel"/>
    <w:lvl w:ilvl="0">
      <w:lvlJc w:val="left"/>
      <w:lvlText w:val="(%1)"/>
      <w:numFmt w:val="decimal"/>
      <w:start w:val="3"/>
    </w:lvl>
  </w:abstractNum>
  <w:abstractNum w:abstractNumId="52">
    <w:nsid w:val="51D9C564"/>
    <w:multiLevelType w:val="hybridMultilevel"/>
    <w:lvl w:ilvl="0">
      <w:lvlJc w:val="left"/>
      <w:lvlText w:val="(%1)"/>
      <w:numFmt w:val="decimal"/>
      <w:start w:val="4"/>
    </w:lvl>
  </w:abstractNum>
  <w:abstractNum w:abstractNumId="53">
    <w:nsid w:val="613EFDC5"/>
    <w:multiLevelType w:val="hybridMultilevel"/>
    <w:lvl w:ilvl="0">
      <w:lvlJc w:val="left"/>
      <w:lvlText w:val="(%1)"/>
      <w:numFmt w:val="decimal"/>
      <w:start w:val="5"/>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1)"/>
      <w:numFmt w:val="decimal"/>
      <w:start w:val="6"/>
    </w:lvl>
  </w:abstractNum>
  <w:abstractNum w:abstractNumId="57">
    <w:nsid w:val="A0382C5"/>
    <w:multiLevelType w:val="hybridMultilevel"/>
    <w:lvl w:ilvl="0">
      <w:lvlJc w:val="left"/>
      <w:lvlText w:val="(%1)"/>
      <w:numFmt w:val="decimal"/>
      <w:start w:val="7"/>
    </w:lvl>
  </w:abstractNum>
  <w:abstractNum w:abstractNumId="58">
    <w:nsid w:val="8F2B15E"/>
    <w:multiLevelType w:val="hybridMultilevel"/>
    <w:lvl w:ilvl="0">
      <w:lvlJc w:val="left"/>
      <w:lvlText w:val="(%1)"/>
      <w:numFmt w:val="decimal"/>
      <w:start w:val="8"/>
    </w:lvl>
  </w:abstractNum>
  <w:abstractNum w:abstractNumId="59">
    <w:nsid w:val="1A32234B"/>
    <w:multiLevelType w:val="hybridMultilevel"/>
    <w:lvl w:ilvl="0">
      <w:lvlJc w:val="left"/>
      <w:lvlText w:val="(%1)"/>
      <w:numFmt w:val="decimal"/>
      <w:start w:val="9"/>
    </w:lvl>
  </w:abstractNum>
  <w:abstractNum w:abstractNumId="60">
    <w:nsid w:val="3B0FD379"/>
    <w:multiLevelType w:val="hybridMultilevel"/>
    <w:lvl w:ilvl="0">
      <w:lvlJc w:val="left"/>
      <w:lvlText w:val="(%1)"/>
      <w:numFmt w:val="decimal"/>
      <w:start w:val="10"/>
    </w:lvl>
  </w:abstractNum>
  <w:abstractNum w:abstractNumId="61">
    <w:nsid w:val="68EB2F63"/>
    <w:multiLevelType w:val="hybridMultilevel"/>
    <w:lvl w:ilvl="0">
      <w:lvlJc w:val="left"/>
      <w:lvlText w:val="(%1)"/>
      <w:numFmt w:val="decimal"/>
      <w:start w:val="11"/>
    </w:lvl>
    <w:lvl w:ilvl="1">
      <w:lvlJc w:val="left"/>
      <w:lvlText w:val="(%2)"/>
      <w:numFmt w:val="lowerLetter"/>
      <w:start w:val="1"/>
    </w:lvl>
  </w:abstractNum>
  <w:abstractNum w:abstractNumId="62">
    <w:nsid w:val="4962813B"/>
    <w:multiLevelType w:val="hybridMultilevel"/>
    <w:lvl w:ilvl="0">
      <w:lvlJc w:val="left"/>
      <w:lvlText w:val="(%1)"/>
      <w:numFmt w:val="lowerLetter"/>
      <w:start w:val="2"/>
    </w:lvl>
  </w:abstractNum>
  <w:abstractNum w:abstractNumId="63">
    <w:nsid w:val="60B6DF70"/>
    <w:multiLevelType w:val="hybridMultilevel"/>
    <w:lvl w:ilvl="0">
      <w:lvlJc w:val="left"/>
      <w:lvlText w:val="(%1)"/>
      <w:numFmt w:val="decimal"/>
      <w:start w:val="12"/>
    </w:lvl>
  </w:abstractNum>
  <w:abstractNum w:abstractNumId="64">
    <w:nsid w:val="6A5EE64"/>
    <w:multiLevelType w:val="hybridMultilevel"/>
    <w:lvl w:ilvl="0">
      <w:lvlJc w:val="left"/>
      <w:lvlText w:val="(%1)"/>
      <w:numFmt w:val="decimal"/>
      <w:start w:val="13"/>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1)"/>
      <w:numFmt w:val="lowerLetter"/>
      <w:start w:val="2"/>
    </w:lvl>
  </w:abstractNum>
  <w:abstractNum w:abstractNumId="68">
    <w:nsid w:val="71EA1109"/>
    <w:multiLevelType w:val="hybridMultilevel"/>
    <w:lvl w:ilvl="0">
      <w:lvlJc w:val="left"/>
      <w:lvlText w:val="(%1)"/>
      <w:numFmt w:val="decimal"/>
      <w:start w:val="14"/>
    </w:lvl>
  </w:abstractNum>
  <w:abstractNum w:abstractNumId="69">
    <w:nsid w:val="100F59DC"/>
    <w:multiLevelType w:val="hybridMultilevel"/>
    <w:lvl w:ilvl="0">
      <w:lvlJc w:val="left"/>
      <w:lvlText w:val="(%1)"/>
      <w:numFmt w:val="decimal"/>
      <w:start w:val="16"/>
    </w:lvl>
  </w:abstractNum>
  <w:abstractNum w:abstractNumId="70">
    <w:nsid w:val="7FB7E0AA"/>
    <w:multiLevelType w:val="hybridMultilevel"/>
    <w:lvl w:ilvl="0">
      <w:lvlJc w:val="left"/>
      <w:lvlText w:val="(%1)"/>
      <w:numFmt w:val="decimal"/>
      <w:start w:val="17"/>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18"/>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1."/>
      <w:numFmt w:val="decimal"/>
      <w:start w:val="1"/>
    </w:lvl>
    <w:lvl w:ilvl="1">
      <w:lvlJc w:val="left"/>
      <w:lvlText w:val="(%2)"/>
      <w:numFmt w:val="lowerLetter"/>
      <w:start w:val="1"/>
    </w:lvl>
  </w:abstractNum>
  <w:abstractNum w:abstractNumId="76">
    <w:nsid w:val="4C04A8AF"/>
    <w:multiLevelType w:val="hybridMultilevel"/>
    <w:lvl w:ilvl="0">
      <w:lvlJc w:val="left"/>
      <w:lvlText w:val="%1"/>
      <w:numFmt w:val="decimal"/>
      <w:start w:val="1"/>
    </w:lvl>
    <w:lvl w:ilvl="1">
      <w:lvlJc w:val="left"/>
      <w:lvlText w:val="(%2)"/>
      <w:numFmt w:val="lowerLetter"/>
      <w:start w:val="2"/>
    </w:lvl>
  </w:abstractNum>
  <w:abstractNum w:abstractNumId="77">
    <w:nsid w:val="1716703B"/>
    <w:multiLevelType w:val="hybridMultilevel"/>
    <w:lvl w:ilvl="0">
      <w:lvlJc w:val="left"/>
      <w:lvlText w:val="%1."/>
      <w:numFmt w:val="decimal"/>
      <w:start w:val="2"/>
    </w:lvl>
    <w:lvl w:ilvl="1">
      <w:lvlJc w:val="left"/>
      <w:lvlText w:val="%2"/>
      <w:numFmt w:val="low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lowerLetter"/>
      <w:start w:val="3"/>
    </w:lvl>
  </w:abstractNum>
  <w:abstractNum w:abstractNumId="80">
    <w:nsid w:val="74DE0EE3"/>
    <w:multiLevelType w:val="hybridMultilevel"/>
    <w:lvl w:ilvl="0">
      <w:lvlJc w:val="left"/>
      <w:lvlText w:val="%1."/>
      <w:numFmt w:val="decimal"/>
      <w:start w:val="4"/>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1"/>
    </w:lvl>
  </w:abstractNum>
  <w:abstractNum w:abstractNumId="83">
    <w:nsid w:val="46B7D447"/>
    <w:multiLevelType w:val="hybridMultilevel"/>
    <w:lvl w:ilvl="0">
      <w:lvlJc w:val="left"/>
      <w:lvlText w:val="(%1)"/>
      <w:numFmt w:val="lowerLetter"/>
      <w:start w:val="3"/>
    </w:lvl>
  </w:abstractNum>
  <w:abstractNum w:abstractNumId="84">
    <w:nsid w:val="4A2AC315"/>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85">
    <w:nsid w:val="39EE015C"/>
    <w:multiLevelType w:val="hybridMultilevel"/>
    <w:lvl w:ilvl="0">
      <w:lvlJc w:val="left"/>
      <w:lvlText w:val="%1"/>
      <w:numFmt w:val="decimal"/>
      <w:start w:val="1"/>
    </w:lvl>
    <w:lvl w:ilvl="1">
      <w:lvlJc w:val="left"/>
      <w:lvlText w:val="(%2)"/>
      <w:numFmt w:val="lowerLetter"/>
      <w:start w:val="3"/>
    </w:lvl>
  </w:abstractNum>
  <w:abstractNum w:abstractNumId="86">
    <w:nsid w:val="57FC4FBB"/>
    <w:multiLevelType w:val="hybridMultilevel"/>
    <w:lvl w:ilvl="0">
      <w:lvlJc w:val="left"/>
      <w:lvlText w:val="%1."/>
      <w:numFmt w:val="decimal"/>
      <w:start w:val="6"/>
    </w:lvl>
    <w:lvl w:ilvl="1">
      <w:lvlJc w:val="left"/>
      <w:lvlText w:val="(%2)"/>
      <w:numFmt w:val="lowerLetter"/>
      <w:start w:val="1"/>
    </w:lvl>
  </w:abstractNum>
  <w:abstractNum w:abstractNumId="87">
    <w:nsid w:val="CC1016F"/>
    <w:multiLevelType w:val="hybridMultilevel"/>
    <w:lvl w:ilvl="0">
      <w:lvlJc w:val="left"/>
      <w:lvlText w:val="%1."/>
      <w:numFmt w:val="decimal"/>
      <w:start w:val="7"/>
    </w:lvl>
  </w:abstractNum>
  <w:abstractNum w:abstractNumId="88">
    <w:nsid w:val="43F18422"/>
    <w:multiLevelType w:val="hybridMultilevel"/>
    <w:lvl w:ilvl="0">
      <w:lvlJc w:val="left"/>
      <w:lvlText w:val="(%1)"/>
      <w:numFmt w:val="lowerLetter"/>
      <w:start w:val="2"/>
    </w:lvl>
  </w:abstractNum>
  <w:abstractNum w:abstractNumId="89">
    <w:nsid w:val="60EF0119"/>
    <w:multiLevelType w:val="hybridMultilevel"/>
    <w:lvl w:ilvl="0">
      <w:lvlJc w:val="left"/>
      <w:lvlText w:val="%1."/>
      <w:numFmt w:val="decimal"/>
      <w:start w:val="9"/>
    </w:lvl>
  </w:abstractNum>
  <w:abstractNum w:abstractNumId="90">
    <w:nsid w:val="26F324BA"/>
    <w:multiLevelType w:val="hybridMultilevel"/>
    <w:lvl w:ilvl="0">
      <w:lvlJc w:val="left"/>
      <w:lvlText w:val="%1."/>
      <w:numFmt w:val="decimal"/>
      <w:start w:val="15"/>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2"/>
    </w:lvl>
  </w:abstractNum>
  <w:abstractNum w:abstractNumId="93">
    <w:nsid w:val="7055A5F5"/>
    <w:multiLevelType w:val="hybridMultilevel"/>
    <w:lvl w:ilvl="0">
      <w:lvlJc w:val="left"/>
      <w:lvlText w:val="%1."/>
      <w:numFmt w:val="decimal"/>
      <w:start w:val="19"/>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2019-12-07T00:51:18Z</dcterms:created>
  <dcterms:modified xsi:type="dcterms:W3CDTF">2019-12-07T00:51:18Z</dcterms:modified>
</cp:coreProperties>
</file>