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5"/>
          <w:szCs w:val="35"/>
          <w:b w:val="1"/>
          <w:bCs w:val="1"/>
          <w:color w:val="auto"/>
        </w:rPr>
        <w:drawing>
          <wp:anchor simplePos="0" relativeHeight="251657728" behindDoc="1" locked="0" layoutInCell="0" allowOverlap="1">
            <wp:simplePos x="0" y="0"/>
            <wp:positionH relativeFrom="page">
              <wp:posOffset>205740</wp:posOffset>
            </wp:positionH>
            <wp:positionV relativeFrom="page">
              <wp:posOffset>576580</wp:posOffset>
            </wp:positionV>
            <wp:extent cx="713740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2476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634365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93980</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20" w:hanging="416"/>
        <w:spacing w:after="0" w:line="196" w:lineRule="auto"/>
        <w:tabs>
          <w:tab w:leader="none" w:pos="420" w:val="left"/>
        </w:tabs>
        <w:numPr>
          <w:ilvl w:val="0"/>
          <w:numId w:val="1"/>
        </w:numPr>
        <w:rPr>
          <w:rFonts w:ascii="MS PGothic" w:cs="MS PGothic" w:eastAsia="MS PGothic" w:hAnsi="MS PGothic"/>
          <w:sz w:val="28"/>
          <w:szCs w:val="28"/>
          <w:color w:val="auto"/>
          <w:highlight w:val="black"/>
          <w:vertAlign w:val="superscript"/>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For the fiscal year ended February 1, 2025</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420" w:hanging="416"/>
        <w:spacing w:after="0"/>
        <w:tabs>
          <w:tab w:leader="none" w:pos="420" w:val="left"/>
        </w:tabs>
        <w:numPr>
          <w:ilvl w:val="0"/>
          <w:numId w:val="2"/>
        </w:numPr>
        <w:rPr>
          <w:rFonts w:ascii="MS PGothic" w:cs="MS PGothic" w:eastAsia="MS PGothic" w:hAnsi="MS PGothic"/>
          <w:sz w:val="28"/>
          <w:szCs w:val="28"/>
          <w:color w:val="auto"/>
          <w:highlight w:val="black"/>
          <w:vertAlign w:val="super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tbl>
      <w:tblPr>
        <w:tblLayout w:type="fixed"/>
        <w:tblInd w:w="420" w:type="dxa"/>
        <w:tblCellMar>
          <w:top w:w="0" w:type="dxa"/>
          <w:left w:w="0" w:type="dxa"/>
          <w:bottom w:w="0" w:type="dxa"/>
          <w:right w:w="0" w:type="dxa"/>
        </w:tblCellMar>
      </w:tblPr>
      <w:tr>
        <w:trPr>
          <w:trHeight w:val="137"/>
        </w:trPr>
        <w:tc>
          <w:tcPr>
            <w:tcW w:w="182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9"/>
              </w:rPr>
              <w:t>For the transition period from</w:t>
            </w:r>
          </w:p>
        </w:tc>
        <w:tc>
          <w:tcPr>
            <w:tcW w:w="420" w:type="dxa"/>
            <w:vAlign w:val="bottom"/>
          </w:tcPr>
          <w:p>
            <w:pPr>
              <w:spacing w:after="0"/>
              <w:rPr>
                <w:sz w:val="11"/>
                <w:szCs w:val="11"/>
                <w:color w:val="auto"/>
              </w:rPr>
            </w:pPr>
          </w:p>
        </w:tc>
        <w:tc>
          <w:tcPr>
            <w:tcW w:w="404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to</w:t>
            </w:r>
          </w:p>
        </w:tc>
      </w:tr>
      <w:tr>
        <w:trPr>
          <w:trHeight w:val="295"/>
        </w:trPr>
        <w:tc>
          <w:tcPr>
            <w:tcW w:w="18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80645</wp:posOffset>
            </wp:positionV>
            <wp:extent cx="1421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BUILD-A-BEAR WORKSHOP,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83820</wp:posOffset>
            </wp:positionV>
            <wp:extent cx="1421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jc w:val="center"/>
              <w:ind w:left="175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60" w:type="dxa"/>
            <w:vAlign w:val="bottom"/>
          </w:tcPr>
          <w:p>
            <w:pPr>
              <w:jc w:val="right"/>
              <w:ind w:right="2411"/>
              <w:spacing w:after="0"/>
              <w:rPr>
                <w:sz w:val="20"/>
                <w:szCs w:val="20"/>
                <w:color w:val="auto"/>
              </w:rPr>
            </w:pPr>
            <w:r>
              <w:rPr>
                <w:rFonts w:ascii="Times New Roman" w:cs="Times New Roman" w:eastAsia="Times New Roman" w:hAnsi="Times New Roman"/>
                <w:sz w:val="14"/>
                <w:szCs w:val="14"/>
                <w:b w:val="1"/>
                <w:bCs w:val="1"/>
                <w:color w:val="auto"/>
              </w:rPr>
              <w:t>43-1883836</w:t>
            </w:r>
          </w:p>
        </w:tc>
        <w:tc>
          <w:tcPr>
            <w:tcW w:w="0" w:type="dxa"/>
            <w:vAlign w:val="bottom"/>
          </w:tcPr>
          <w:p>
            <w:pPr>
              <w:spacing w:after="0"/>
              <w:rPr>
                <w:sz w:val="1"/>
                <w:szCs w:val="1"/>
                <w:color w:val="auto"/>
              </w:rPr>
            </w:pPr>
          </w:p>
        </w:tc>
      </w:tr>
      <w:tr>
        <w:trPr>
          <w:trHeight w:val="143"/>
        </w:trPr>
        <w:tc>
          <w:tcPr>
            <w:tcW w:w="3820" w:type="dxa"/>
            <w:vAlign w:val="bottom"/>
          </w:tcPr>
          <w:p>
            <w:pPr>
              <w:jc w:val="center"/>
              <w:ind w:left="1751"/>
              <w:spacing w:after="0" w:line="143" w:lineRule="exact"/>
              <w:rPr>
                <w:sz w:val="20"/>
                <w:szCs w:val="20"/>
                <w:color w:val="auto"/>
              </w:rPr>
            </w:pPr>
            <w:r>
              <w:rPr>
                <w:rFonts w:ascii="Times New Roman" w:cs="Times New Roman" w:eastAsia="Times New Roman" w:hAnsi="Times New Roman"/>
                <w:sz w:val="14"/>
                <w:szCs w:val="14"/>
                <w:b w:val="1"/>
                <w:bCs w:val="1"/>
                <w:i w:val="1"/>
                <w:iCs w:val="1"/>
                <w:color w:val="auto"/>
                <w:w w:val="98"/>
              </w:rPr>
              <w:t>(State or Other Jurisdiction of</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71"/>
              <w:spacing w:after="0" w:line="143" w:lineRule="exact"/>
              <w:rPr>
                <w:sz w:val="20"/>
                <w:szCs w:val="20"/>
                <w:color w:val="auto"/>
              </w:rPr>
            </w:pPr>
            <w:r>
              <w:rPr>
                <w:rFonts w:ascii="Times New Roman" w:cs="Times New Roman" w:eastAsia="Times New Roman" w:hAnsi="Times New Roman"/>
                <w:sz w:val="14"/>
                <w:szCs w:val="14"/>
                <w:b w:val="1"/>
                <w:bCs w:val="1"/>
                <w:i w:val="1"/>
                <w:iCs w:val="1"/>
                <w:color w:val="auto"/>
                <w:w w:val="98"/>
              </w:rPr>
              <w:t>(I.R.S. Employer</w:t>
            </w:r>
          </w:p>
        </w:tc>
        <w:tc>
          <w:tcPr>
            <w:tcW w:w="0" w:type="dxa"/>
            <w:vAlign w:val="bottom"/>
          </w:tcPr>
          <w:p>
            <w:pPr>
              <w:spacing w:after="0"/>
              <w:rPr>
                <w:sz w:val="1"/>
                <w:szCs w:val="1"/>
                <w:color w:val="auto"/>
              </w:rPr>
            </w:pPr>
          </w:p>
        </w:tc>
      </w:tr>
      <w:tr>
        <w:trPr>
          <w:trHeight w:val="184"/>
        </w:trPr>
        <w:tc>
          <w:tcPr>
            <w:tcW w:w="3820" w:type="dxa"/>
            <w:vAlign w:val="bottom"/>
          </w:tcPr>
          <w:p>
            <w:pPr>
              <w:jc w:val="center"/>
              <w:ind w:left="1751"/>
              <w:spacing w:after="0"/>
              <w:rPr>
                <w:sz w:val="20"/>
                <w:szCs w:val="20"/>
                <w:color w:val="auto"/>
              </w:rPr>
            </w:pPr>
            <w:r>
              <w:rPr>
                <w:rFonts w:ascii="Times New Roman" w:cs="Times New Roman" w:eastAsia="Times New Roman" w:hAnsi="Times New Roman"/>
                <w:sz w:val="14"/>
                <w:szCs w:val="14"/>
                <w:b w:val="1"/>
                <w:bCs w:val="1"/>
                <w:i w:val="1"/>
                <w:iCs w:val="1"/>
                <w:color w:val="auto"/>
                <w:w w:val="99"/>
              </w:rPr>
              <w:t>Incorporation or Organization)</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60" w:type="dxa"/>
            <w:vAlign w:val="bottom"/>
          </w:tcPr>
          <w:p>
            <w:pPr>
              <w:jc w:val="center"/>
              <w:ind w:right="1791"/>
              <w:spacing w:after="0"/>
              <w:rPr>
                <w:sz w:val="20"/>
                <w:szCs w:val="20"/>
                <w:color w:val="auto"/>
              </w:rPr>
            </w:pPr>
            <w:r>
              <w:rPr>
                <w:rFonts w:ascii="Times New Roman" w:cs="Times New Roman" w:eastAsia="Times New Roman" w:hAnsi="Times New Roman"/>
                <w:sz w:val="14"/>
                <w:szCs w:val="14"/>
                <w:b w:val="1"/>
                <w:bCs w:val="1"/>
                <w:i w:val="1"/>
                <w:iCs w:val="1"/>
                <w:color w:val="auto"/>
                <w:w w:val="98"/>
              </w:rPr>
              <w:t>Identification No.)</w:t>
            </w:r>
          </w:p>
        </w:tc>
        <w:tc>
          <w:tcPr>
            <w:tcW w:w="0" w:type="dxa"/>
            <w:vAlign w:val="bottom"/>
          </w:tcPr>
          <w:p>
            <w:pPr>
              <w:spacing w:after="0"/>
              <w:rPr>
                <w:sz w:val="1"/>
                <w:szCs w:val="1"/>
                <w:color w:val="auto"/>
              </w:rPr>
            </w:pPr>
          </w:p>
        </w:tc>
      </w:tr>
      <w:tr>
        <w:trPr>
          <w:trHeight w:val="246"/>
        </w:trPr>
        <w:tc>
          <w:tcPr>
            <w:tcW w:w="3820" w:type="dxa"/>
            <w:vAlign w:val="bottom"/>
          </w:tcPr>
          <w:p>
            <w:pPr>
              <w:jc w:val="center"/>
              <w:ind w:left="1751"/>
              <w:spacing w:after="0"/>
              <w:rPr>
                <w:sz w:val="20"/>
                <w:szCs w:val="20"/>
                <w:color w:val="auto"/>
              </w:rPr>
            </w:pPr>
            <w:r>
              <w:rPr>
                <w:rFonts w:ascii="Times New Roman" w:cs="Times New Roman" w:eastAsia="Times New Roman" w:hAnsi="Times New Roman"/>
                <w:sz w:val="14"/>
                <w:szCs w:val="14"/>
                <w:b w:val="1"/>
                <w:bCs w:val="1"/>
                <w:color w:val="auto"/>
                <w:w w:val="99"/>
              </w:rPr>
              <w:t>415 South 18th St.</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60" w:type="dxa"/>
            <w:vAlign w:val="bottom"/>
            <w:vMerge w:val="restart"/>
          </w:tcPr>
          <w:p>
            <w:pPr>
              <w:jc w:val="right"/>
              <w:ind w:right="2571"/>
              <w:spacing w:after="0"/>
              <w:rPr>
                <w:sz w:val="20"/>
                <w:szCs w:val="20"/>
                <w:color w:val="auto"/>
              </w:rPr>
            </w:pPr>
            <w:r>
              <w:rPr>
                <w:rFonts w:ascii="Times New Roman" w:cs="Times New Roman" w:eastAsia="Times New Roman" w:hAnsi="Times New Roman"/>
                <w:sz w:val="14"/>
                <w:szCs w:val="14"/>
                <w:b w:val="1"/>
                <w:bCs w:val="1"/>
                <w:color w:val="auto"/>
              </w:rPr>
              <w:t>63103</w:t>
            </w:r>
          </w:p>
        </w:tc>
        <w:tc>
          <w:tcPr>
            <w:tcW w:w="0" w:type="dxa"/>
            <w:vAlign w:val="bottom"/>
          </w:tcPr>
          <w:p>
            <w:pPr>
              <w:spacing w:after="0"/>
              <w:rPr>
                <w:sz w:val="1"/>
                <w:szCs w:val="1"/>
                <w:color w:val="auto"/>
              </w:rPr>
            </w:pPr>
          </w:p>
        </w:tc>
      </w:tr>
      <w:tr>
        <w:trPr>
          <w:trHeight w:val="143"/>
        </w:trPr>
        <w:tc>
          <w:tcPr>
            <w:tcW w:w="3820" w:type="dxa"/>
            <w:vAlign w:val="bottom"/>
          </w:tcPr>
          <w:p>
            <w:pPr>
              <w:jc w:val="center"/>
              <w:ind w:left="1751"/>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 Louis, Missouri</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480" w:type="dxa"/>
            <w:vAlign w:val="bottom"/>
            <w:gridSpan w:val="7"/>
          </w:tcPr>
          <w:p>
            <w:pPr>
              <w:jc w:val="center"/>
              <w:ind w:right="1860"/>
              <w:spacing w:after="0"/>
              <w:rPr>
                <w:sz w:val="20"/>
                <w:szCs w:val="20"/>
                <w:color w:val="auto"/>
              </w:rPr>
            </w:pPr>
            <w:r>
              <w:rPr>
                <w:rFonts w:ascii="Times New Roman" w:cs="Times New Roman" w:eastAsia="Times New Roman" w:hAnsi="Times New Roman"/>
                <w:sz w:val="14"/>
                <w:szCs w:val="14"/>
                <w:b w:val="1"/>
                <w:bCs w:val="1"/>
                <w:i w:val="1"/>
                <w:iCs w:val="1"/>
                <w:color w:val="auto"/>
                <w:w w:val="98"/>
              </w:rPr>
              <w:t>(Address of Principal Executive Offices)</w:t>
            </w:r>
          </w:p>
        </w:tc>
        <w:tc>
          <w:tcPr>
            <w:tcW w:w="3760" w:type="dxa"/>
            <w:vAlign w:val="bottom"/>
          </w:tcPr>
          <w:p>
            <w:pPr>
              <w:jc w:val="center"/>
              <w:ind w:right="1791"/>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2380" w:type="dxa"/>
            <w:vAlign w:val="bottom"/>
            <w:gridSpan w:val="3"/>
          </w:tcPr>
          <w:p>
            <w:pPr>
              <w:jc w:val="center"/>
              <w:ind w:left="1171"/>
              <w:spacing w:after="0"/>
              <w:rPr>
                <w:sz w:val="20"/>
                <w:szCs w:val="20"/>
                <w:color w:val="auto"/>
              </w:rPr>
            </w:pPr>
            <w:r>
              <w:rPr>
                <w:rFonts w:ascii="Times New Roman" w:cs="Times New Roman" w:eastAsia="Times New Roman" w:hAnsi="Times New Roman"/>
                <w:sz w:val="14"/>
                <w:szCs w:val="14"/>
                <w:b w:val="1"/>
                <w:bCs w:val="1"/>
                <w:color w:val="auto"/>
                <w:w w:val="98"/>
              </w:rPr>
              <w:t>(314) 423-8000</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36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w w:val="97"/>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3820" w:type="dxa"/>
            <w:vAlign w:val="bottom"/>
          </w:tcPr>
          <w:p>
            <w:pPr>
              <w:spacing w:after="0"/>
              <w:rPr>
                <w:sz w:val="24"/>
                <w:szCs w:val="24"/>
                <w:color w:val="auto"/>
              </w:rPr>
            </w:pPr>
          </w:p>
        </w:tc>
        <w:tc>
          <w:tcPr>
            <w:tcW w:w="36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Act: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7"/>
        </w:trPr>
        <w:tc>
          <w:tcPr>
            <w:tcW w:w="3820" w:type="dxa"/>
            <w:vAlign w:val="bottom"/>
            <w:tcBorders>
              <w:top w:val="single" w:sz="8" w:color="auto"/>
            </w:tcBorders>
          </w:tcPr>
          <w:p>
            <w:pPr>
              <w:jc w:val="center"/>
              <w:ind w:left="631"/>
              <w:spacing w:after="0"/>
              <w:rPr>
                <w:sz w:val="20"/>
                <w:szCs w:val="20"/>
                <w:color w:val="auto"/>
              </w:rPr>
            </w:pPr>
            <w:r>
              <w:rPr>
                <w:rFonts w:ascii="Times New Roman" w:cs="Times New Roman" w:eastAsia="Times New Roman" w:hAnsi="Times New Roman"/>
                <w:sz w:val="14"/>
                <w:szCs w:val="14"/>
                <w:b w:val="1"/>
                <w:bCs w:val="1"/>
                <w:color w:val="auto"/>
                <w:w w:val="99"/>
              </w:rPr>
              <w:t>Common Stock, par value $0.01 per share</w:t>
            </w:r>
          </w:p>
        </w:tc>
        <w:tc>
          <w:tcPr>
            <w:tcW w:w="6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BBW</w:t>
            </w:r>
          </w:p>
        </w:tc>
        <w:tc>
          <w:tcPr>
            <w:tcW w:w="560" w:type="dxa"/>
            <w:vAlign w:val="bottom"/>
            <w:gridSpan w:val="2"/>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276860</wp:posOffset>
            </wp:positionV>
            <wp:extent cx="1421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00"/>
          </w:cols>
          <w:pgMar w:left="300" w:top="121" w:right="39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1" w:lineRule="exact"/>
        <w:rPr>
          <w:sz w:val="20"/>
          <w:szCs w:val="20"/>
          <w:color w:val="auto"/>
        </w:rPr>
      </w:pPr>
    </w:p>
    <w:p>
      <w:pPr>
        <w:sectPr>
          <w:pgSz w:w="11900" w:h="16838" w:orient="portrait"/>
          <w:cols w:equalWidth="0" w:num="3">
            <w:col w:w="6540" w:space="140"/>
            <w:col w:w="380" w:space="180"/>
            <w:col w:w="3960"/>
          </w:cols>
          <w:pgMar w:left="300" w:top="121" w:right="39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9" w:lineRule="exact"/>
        <w:rPr>
          <w:sz w:val="20"/>
          <w:szCs w:val="20"/>
          <w:color w:val="auto"/>
        </w:rPr>
      </w:pPr>
    </w:p>
    <w:p>
      <w:pPr>
        <w:sectPr>
          <w:pgSz w:w="11900" w:h="16838" w:orient="portrait"/>
          <w:cols w:equalWidth="0" w:num="3">
            <w:col w:w="6660" w:space="140"/>
            <w:col w:w="400" w:space="160"/>
            <w:col w:w="3840"/>
          </w:cols>
          <w:pgMar w:left="300" w:top="121" w:right="399" w:bottom="1440" w:gutter="0" w:footer="0" w:header="0"/>
          <w:type w:val="continuous"/>
        </w:sectPr>
      </w:pPr>
    </w:p>
    <w:p>
      <w:pPr>
        <w:ind w:left="20" w:right="2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6" w:lineRule="exact"/>
        <w:rPr>
          <w:sz w:val="20"/>
          <w:szCs w:val="20"/>
          <w:color w:val="auto"/>
        </w:rPr>
      </w:pPr>
    </w:p>
    <w:p>
      <w:pPr>
        <w:ind w:left="20" w:right="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6"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p>
      <w:pPr>
        <w:ind w:left="20"/>
        <w:spacing w:after="0" w:line="161" w:lineRule="exact"/>
        <w:tabs>
          <w:tab w:leader="none" w:pos="2260" w:val="left"/>
          <w:tab w:leader="none" w:pos="4500" w:val="left"/>
          <w:tab w:leader="none" w:pos="6760" w:val="left"/>
          <w:tab w:leader="none" w:pos="90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9" w:lineRule="exact"/>
        <w:rPr>
          <w:sz w:val="20"/>
          <w:szCs w:val="20"/>
          <w:color w:val="auto"/>
        </w:rPr>
      </w:pPr>
    </w:p>
    <w:p>
      <w:pPr>
        <w:ind w:left="20" w:right="3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6" w:lineRule="exact"/>
        <w:rPr>
          <w:sz w:val="20"/>
          <w:szCs w:val="20"/>
          <w:color w:val="auto"/>
        </w:rPr>
      </w:pPr>
    </w:p>
    <w:p>
      <w:pPr>
        <w:ind w:left="20" w:right="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6" w:lineRule="exact"/>
        <w:rPr>
          <w:sz w:val="20"/>
          <w:szCs w:val="20"/>
          <w:color w:val="auto"/>
        </w:rPr>
      </w:pPr>
    </w:p>
    <w:p>
      <w:pPr>
        <w:ind w:right="48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96" w:lineRule="exact"/>
        <w:rPr>
          <w:sz w:val="20"/>
          <w:szCs w:val="20"/>
          <w:color w:val="auto"/>
        </w:rPr>
      </w:pPr>
    </w:p>
    <w:p>
      <w:pPr>
        <w:ind w:right="1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78" w:lineRule="exact"/>
        <w:rPr>
          <w:sz w:val="20"/>
          <w:szCs w:val="20"/>
          <w:color w:val="auto"/>
        </w:rPr>
      </w:pPr>
    </w:p>
    <w:p>
      <w:pPr>
        <w:ind w:left="20"/>
        <w:spacing w:after="0" w:line="161" w:lineRule="exact"/>
        <w:tabs>
          <w:tab w:leader="none" w:pos="58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69" w:lineRule="exact"/>
        <w:rPr>
          <w:sz w:val="20"/>
          <w:szCs w:val="20"/>
          <w:color w:val="auto"/>
        </w:rPr>
      </w:pPr>
    </w:p>
    <w:p>
      <w:pPr>
        <w:ind w:left="20" w:right="60"/>
        <w:spacing w:after="0" w:line="244" w:lineRule="auto"/>
        <w:rPr>
          <w:sz w:val="20"/>
          <w:szCs w:val="20"/>
          <w:color w:val="auto"/>
        </w:rPr>
      </w:pPr>
      <w:r>
        <w:rPr>
          <w:rFonts w:ascii="Times New Roman" w:cs="Times New Roman" w:eastAsia="Times New Roman" w:hAnsi="Times New Roman"/>
          <w:sz w:val="14"/>
          <w:szCs w:val="14"/>
          <w:color w:val="auto"/>
        </w:rPr>
        <w:t>There is no non-voting common equity. The aggregate market value of the common stock held by non-affiliates (based upon the closing price of $25.45 for the shares on the New York Stock Exchange on August 3, 2024) was $345.9 million as of August 3, 2024, the last business day of the registrant’s most recently completed second fiscal quarter.</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 of April 14, 2025, there were 13,144,130 issued and outstanding shares of the registrant’s common stock.</w:t>
      </w:r>
    </w:p>
    <w:p>
      <w:pPr>
        <w:spacing w:after="0" w:line="1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25" w:lineRule="exact"/>
        <w:rPr>
          <w:sz w:val="20"/>
          <w:szCs w:val="20"/>
          <w:color w:val="auto"/>
        </w:rPr>
      </w:pPr>
    </w:p>
    <w:p>
      <w:pPr>
        <w:ind w:left="20" w:right="100"/>
        <w:spacing w:after="0" w:line="244" w:lineRule="auto"/>
        <w:rPr>
          <w:sz w:val="20"/>
          <w:szCs w:val="20"/>
          <w:color w:val="auto"/>
        </w:rPr>
      </w:pPr>
      <w:r>
        <w:rPr>
          <w:rFonts w:ascii="Times New Roman" w:cs="Times New Roman" w:eastAsia="Times New Roman" w:hAnsi="Times New Roman"/>
          <w:sz w:val="14"/>
          <w:szCs w:val="14"/>
          <w:color w:val="auto"/>
        </w:rPr>
        <w:t>Portions of the registrant’s Proxy Statement for its June 12, 2025, Annual Meeting of Stockholders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203200</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244475</wp:posOffset>
            </wp:positionV>
            <wp:extent cx="713740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2476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00" w:top="121" w:right="3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6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84"/>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17"/>
          </w:tcPr>
          <w:p>
            <w:pPr>
              <w:jc w:val="center"/>
              <w:ind w:right="3300"/>
              <w:spacing w:after="0"/>
              <w:rPr>
                <w:sz w:val="20"/>
                <w:szCs w:val="20"/>
                <w:color w:val="auto"/>
              </w:rPr>
            </w:pPr>
            <w:r>
              <w:rPr>
                <w:rFonts w:ascii="Times New Roman" w:cs="Times New Roman" w:eastAsia="Times New Roman" w:hAnsi="Times New Roman"/>
                <w:sz w:val="17"/>
                <w:szCs w:val="17"/>
                <w:b w:val="1"/>
                <w:bCs w:val="1"/>
                <w:color w:val="auto"/>
              </w:rPr>
              <w:t>BUILD-A-BEAR WORKSHOP,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60" w:type="dxa"/>
            <w:vAlign w:val="bottom"/>
            <w:gridSpan w:val="16"/>
          </w:tcPr>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INDEX TO FORM 10-K</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6"/>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70"/>
        </w:trPr>
        <w:tc>
          <w:tcPr>
            <w:tcW w:w="10680" w:type="dxa"/>
            <w:vAlign w:val="bottom"/>
            <w:gridSpan w:val="35"/>
          </w:tcPr>
          <w:p>
            <w:pPr>
              <w:spacing w:after="0"/>
              <w:rPr>
                <w:sz w:val="20"/>
                <w:szCs w:val="20"/>
                <w:color w:val="auto"/>
              </w:rPr>
            </w:pPr>
            <w:r>
              <w:rPr>
                <w:rFonts w:ascii="Times New Roman" w:cs="Times New Roman" w:eastAsia="Times New Roman" w:hAnsi="Times New Roman"/>
                <w:sz w:val="17"/>
                <w:szCs w:val="17"/>
                <w:color w:val="0000EE"/>
              </w:rPr>
              <w:t>Forward-Looking Statements</w:t>
            </w:r>
          </w:p>
        </w:tc>
        <w:tc>
          <w:tcPr>
            <w:tcW w:w="32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0000EE"/>
                <w:w w:val="93"/>
              </w:rPr>
              <w:t>4</w:t>
            </w:r>
          </w:p>
        </w:tc>
        <w:tc>
          <w:tcPr>
            <w:tcW w:w="240" w:type="dxa"/>
            <w:vAlign w:val="bottom"/>
          </w:tcPr>
          <w:p>
            <w:pPr>
              <w:spacing w:after="0"/>
              <w:rPr>
                <w:sz w:val="24"/>
                <w:szCs w:val="24"/>
                <w:color w:val="auto"/>
              </w:rPr>
            </w:pPr>
          </w:p>
        </w:tc>
      </w:tr>
      <w:tr>
        <w:trPr>
          <w:trHeight w:val="188"/>
        </w:trPr>
        <w:tc>
          <w:tcPr>
            <w:tcW w:w="7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60" w:type="dxa"/>
            <w:vAlign w:val="bottom"/>
            <w:gridSpan w:val="11"/>
          </w:tcPr>
          <w:p>
            <w:pPr>
              <w:jc w:val="center"/>
              <w:ind w:right="5120"/>
              <w:spacing w:after="0" w:line="188" w:lineRule="exact"/>
              <w:rPr>
                <w:sz w:val="20"/>
                <w:szCs w:val="20"/>
                <w:color w:val="auto"/>
              </w:rPr>
            </w:pPr>
            <w:r>
              <w:rPr>
                <w:rFonts w:ascii="Times New Roman" w:cs="Times New Roman" w:eastAsia="Times New Roman" w:hAnsi="Times New Roman"/>
                <w:sz w:val="17"/>
                <w:szCs w:val="17"/>
                <w:b w:val="1"/>
                <w:bCs w:val="1"/>
                <w:color w:val="0000EE"/>
              </w:rPr>
              <w:t>Part I</w:t>
            </w:r>
          </w:p>
        </w:tc>
        <w:tc>
          <w:tcPr>
            <w:tcW w:w="2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w:t>
            </w:r>
          </w:p>
        </w:tc>
        <w:tc>
          <w:tcPr>
            <w:tcW w:w="56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color w:val="0000EE"/>
                <w:w w:val="89"/>
              </w:rPr>
              <w:t>Business</w:t>
            </w:r>
          </w:p>
        </w:tc>
        <w:tc>
          <w:tcPr>
            <w:tcW w:w="3820" w:type="dxa"/>
            <w:vAlign w:val="bottom"/>
            <w:gridSpan w:val="20"/>
          </w:tcPr>
          <w:p>
            <w:pPr>
              <w:spacing w:after="0"/>
              <w:rPr>
                <w:sz w:val="16"/>
                <w:szCs w:val="16"/>
                <w:color w:val="auto"/>
              </w:rPr>
            </w:pPr>
          </w:p>
        </w:tc>
        <w:tc>
          <w:tcPr>
            <w:tcW w:w="440" w:type="dxa"/>
            <w:vAlign w:val="bottom"/>
            <w:tcBorders>
              <w:top w:val="single" w:sz="8" w:color="0000EE"/>
            </w:tcBorders>
            <w:gridSpan w:val="2"/>
          </w:tcPr>
          <w:p>
            <w:pPr>
              <w:spacing w:after="0"/>
              <w:rPr>
                <w:sz w:val="16"/>
                <w:szCs w:val="16"/>
                <w:color w:val="auto"/>
              </w:rPr>
            </w:pPr>
          </w:p>
        </w:tc>
        <w:tc>
          <w:tcPr>
            <w:tcW w:w="5120" w:type="dxa"/>
            <w:vAlign w:val="bottom"/>
            <w:gridSpan w:val="9"/>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0000EE"/>
                <w:w w:val="93"/>
              </w:rPr>
              <w:t>5</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1A.</w:t>
            </w:r>
          </w:p>
        </w:tc>
        <w:tc>
          <w:tcPr>
            <w:tcW w:w="820" w:type="dxa"/>
            <w:vAlign w:val="bottom"/>
            <w:gridSpan w:val="6"/>
          </w:tcPr>
          <w:p>
            <w:pPr>
              <w:spacing w:after="0" w:line="188" w:lineRule="exact"/>
              <w:rPr>
                <w:sz w:val="20"/>
                <w:szCs w:val="20"/>
                <w:color w:val="auto"/>
              </w:rPr>
            </w:pPr>
            <w:r>
              <w:rPr>
                <w:rFonts w:ascii="Times New Roman" w:cs="Times New Roman" w:eastAsia="Times New Roman" w:hAnsi="Times New Roman"/>
                <w:sz w:val="17"/>
                <w:szCs w:val="17"/>
                <w:color w:val="0000EE"/>
                <w:w w:val="93"/>
              </w:rPr>
              <w:t>Risk Factors</w:t>
            </w:r>
          </w:p>
        </w:tc>
        <w:tc>
          <w:tcPr>
            <w:tcW w:w="9120" w:type="dxa"/>
            <w:vAlign w:val="bottom"/>
            <w:gridSpan w:val="28"/>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0000EE"/>
                <w:w w:val="93"/>
              </w:rPr>
              <w:t>9</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1B.</w:t>
            </w:r>
          </w:p>
        </w:tc>
        <w:tc>
          <w:tcPr>
            <w:tcW w:w="1920" w:type="dxa"/>
            <w:vAlign w:val="bottom"/>
            <w:gridSpan w:val="14"/>
          </w:tcPr>
          <w:p>
            <w:pPr>
              <w:spacing w:after="0" w:line="188" w:lineRule="exact"/>
              <w:rPr>
                <w:sz w:val="20"/>
                <w:szCs w:val="20"/>
                <w:color w:val="auto"/>
              </w:rPr>
            </w:pPr>
            <w:r>
              <w:rPr>
                <w:rFonts w:ascii="Times New Roman" w:cs="Times New Roman" w:eastAsia="Times New Roman" w:hAnsi="Times New Roman"/>
                <w:sz w:val="17"/>
                <w:szCs w:val="17"/>
                <w:color w:val="0000EE"/>
                <w:w w:val="98"/>
              </w:rPr>
              <w:t>Unresolved Staff Comments</w:t>
            </w:r>
          </w:p>
        </w:tc>
        <w:tc>
          <w:tcPr>
            <w:tcW w:w="8020" w:type="dxa"/>
            <w:vAlign w:val="bottom"/>
            <w:gridSpan w:val="20"/>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21</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1C.</w:t>
            </w:r>
          </w:p>
        </w:tc>
        <w:tc>
          <w:tcPr>
            <w:tcW w:w="920" w:type="dxa"/>
            <w:vAlign w:val="bottom"/>
            <w:gridSpan w:val="7"/>
          </w:tcPr>
          <w:p>
            <w:pPr>
              <w:spacing w:after="0" w:line="188" w:lineRule="exact"/>
              <w:rPr>
                <w:sz w:val="20"/>
                <w:szCs w:val="20"/>
                <w:color w:val="auto"/>
              </w:rPr>
            </w:pPr>
            <w:r>
              <w:rPr>
                <w:rFonts w:ascii="Times New Roman" w:cs="Times New Roman" w:eastAsia="Times New Roman" w:hAnsi="Times New Roman"/>
                <w:sz w:val="17"/>
                <w:szCs w:val="17"/>
                <w:color w:val="0000EE"/>
                <w:w w:val="94"/>
              </w:rPr>
              <w:t>Cybersecurity</w:t>
            </w:r>
          </w:p>
        </w:tc>
        <w:tc>
          <w:tcPr>
            <w:tcW w:w="1000" w:type="dxa"/>
            <w:vAlign w:val="bottom"/>
            <w:gridSpan w:val="7"/>
          </w:tcPr>
          <w:p>
            <w:pPr>
              <w:spacing w:after="0"/>
              <w:rPr>
                <w:sz w:val="16"/>
                <w:szCs w:val="16"/>
                <w:color w:val="auto"/>
              </w:rPr>
            </w:pPr>
          </w:p>
        </w:tc>
        <w:tc>
          <w:tcPr>
            <w:tcW w:w="8020" w:type="dxa"/>
            <w:vAlign w:val="bottom"/>
            <w:gridSpan w:val="20"/>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21</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2.</w:t>
            </w:r>
          </w:p>
        </w:tc>
        <w:tc>
          <w:tcPr>
            <w:tcW w:w="920" w:type="dxa"/>
            <w:vAlign w:val="bottom"/>
            <w:gridSpan w:val="7"/>
          </w:tcPr>
          <w:p>
            <w:pPr>
              <w:spacing w:after="0" w:line="188" w:lineRule="exact"/>
              <w:rPr>
                <w:sz w:val="20"/>
                <w:szCs w:val="20"/>
                <w:color w:val="auto"/>
              </w:rPr>
            </w:pPr>
            <w:r>
              <w:rPr>
                <w:rFonts w:ascii="Times New Roman" w:cs="Times New Roman" w:eastAsia="Times New Roman" w:hAnsi="Times New Roman"/>
                <w:sz w:val="17"/>
                <w:szCs w:val="17"/>
                <w:color w:val="0000EE"/>
              </w:rPr>
              <w:t>Properties</w:t>
            </w:r>
          </w:p>
        </w:tc>
        <w:tc>
          <w:tcPr>
            <w:tcW w:w="9020" w:type="dxa"/>
            <w:vAlign w:val="bottom"/>
            <w:gridSpan w:val="27"/>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23</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3.</w:t>
            </w:r>
          </w:p>
        </w:tc>
        <w:tc>
          <w:tcPr>
            <w:tcW w:w="994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EE"/>
              </w:rPr>
              <w:t>Legal Proceedings</w:t>
            </w: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23</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4.</w:t>
            </w:r>
          </w:p>
        </w:tc>
        <w:tc>
          <w:tcPr>
            <w:tcW w:w="994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EE"/>
              </w:rPr>
              <w:t>Mine Safety Disclosure</w:t>
            </w: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23</w:t>
            </w:r>
          </w:p>
        </w:tc>
        <w:tc>
          <w:tcPr>
            <w:tcW w:w="240" w:type="dxa"/>
            <w:vAlign w:val="bottom"/>
          </w:tcPr>
          <w:p>
            <w:pPr>
              <w:spacing w:after="0"/>
              <w:rPr>
                <w:sz w:val="16"/>
                <w:szCs w:val="16"/>
                <w:color w:val="auto"/>
              </w:rPr>
            </w:pPr>
          </w:p>
        </w:tc>
      </w:tr>
      <w:tr>
        <w:trPr>
          <w:trHeight w:val="188"/>
        </w:trPr>
        <w:tc>
          <w:tcPr>
            <w:tcW w:w="7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bottom w:val="single" w:sz="8" w:color="0000EE"/>
            </w:tcBorders>
            <w:gridSpan w:val="4"/>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0000EE"/>
              </w:rPr>
              <w:t>Part II</w:t>
            </w:r>
          </w:p>
        </w:tc>
        <w:tc>
          <w:tcPr>
            <w:tcW w:w="5080" w:type="dxa"/>
            <w:vAlign w:val="bottom"/>
            <w:gridSpan w:val="8"/>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5.</w:t>
            </w:r>
          </w:p>
        </w:tc>
        <w:tc>
          <w:tcPr>
            <w:tcW w:w="994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23</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6.</w:t>
            </w:r>
          </w:p>
        </w:tc>
        <w:tc>
          <w:tcPr>
            <w:tcW w:w="7720" w:type="dxa"/>
            <w:vAlign w:val="bottom"/>
            <w:gridSpan w:val="33"/>
          </w:tcPr>
          <w:p>
            <w:pPr>
              <w:spacing w:after="0" w:line="188" w:lineRule="exact"/>
              <w:rPr>
                <w:sz w:val="20"/>
                <w:szCs w:val="20"/>
                <w:color w:val="auto"/>
              </w:rPr>
            </w:pPr>
            <w:r>
              <w:rPr>
                <w:rFonts w:ascii="Times New Roman" w:cs="Times New Roman" w:eastAsia="Times New Roman" w:hAnsi="Times New Roman"/>
                <w:sz w:val="17"/>
                <w:szCs w:val="17"/>
                <w:color w:val="0000EE"/>
              </w:rPr>
              <w:t>[Reserved]</w:t>
            </w:r>
          </w:p>
        </w:tc>
        <w:tc>
          <w:tcPr>
            <w:tcW w:w="2220" w:type="dxa"/>
            <w:vAlign w:val="bottom"/>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24</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7.</w:t>
            </w:r>
          </w:p>
        </w:tc>
        <w:tc>
          <w:tcPr>
            <w:tcW w:w="994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25</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7A.</w:t>
            </w:r>
          </w:p>
        </w:tc>
        <w:tc>
          <w:tcPr>
            <w:tcW w:w="4140" w:type="dxa"/>
            <w:vAlign w:val="bottom"/>
            <w:gridSpan w:val="19"/>
          </w:tcPr>
          <w:p>
            <w:pPr>
              <w:spacing w:after="0" w:line="188"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020" w:type="dxa"/>
            <w:vAlign w:val="bottom"/>
            <w:gridSpan w:val="11"/>
          </w:tcPr>
          <w:p>
            <w:pPr>
              <w:spacing w:after="0"/>
              <w:rPr>
                <w:sz w:val="16"/>
                <w:szCs w:val="16"/>
                <w:color w:val="auto"/>
              </w:rPr>
            </w:pPr>
          </w:p>
        </w:tc>
        <w:tc>
          <w:tcPr>
            <w:tcW w:w="3780" w:type="dxa"/>
            <w:vAlign w:val="bottom"/>
            <w:gridSpan w:val="4"/>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35</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8.</w:t>
            </w:r>
          </w:p>
        </w:tc>
        <w:tc>
          <w:tcPr>
            <w:tcW w:w="4140" w:type="dxa"/>
            <w:vAlign w:val="bottom"/>
            <w:gridSpan w:val="19"/>
          </w:tcPr>
          <w:p>
            <w:pPr>
              <w:spacing w:after="0" w:line="188"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5800" w:type="dxa"/>
            <w:vAlign w:val="bottom"/>
            <w:gridSpan w:val="15"/>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35</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9.</w:t>
            </w:r>
          </w:p>
        </w:tc>
        <w:tc>
          <w:tcPr>
            <w:tcW w:w="994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35</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9A.</w:t>
            </w:r>
          </w:p>
        </w:tc>
        <w:tc>
          <w:tcPr>
            <w:tcW w:w="6180" w:type="dxa"/>
            <w:vAlign w:val="bottom"/>
            <w:gridSpan w:val="31"/>
          </w:tcPr>
          <w:p>
            <w:pPr>
              <w:spacing w:after="0" w:line="188" w:lineRule="exact"/>
              <w:rPr>
                <w:sz w:val="20"/>
                <w:szCs w:val="20"/>
                <w:color w:val="auto"/>
              </w:rPr>
            </w:pPr>
            <w:r>
              <w:rPr>
                <w:rFonts w:ascii="Times New Roman" w:cs="Times New Roman" w:eastAsia="Times New Roman" w:hAnsi="Times New Roman"/>
                <w:sz w:val="17"/>
                <w:szCs w:val="17"/>
                <w:color w:val="0000EE"/>
              </w:rPr>
              <w:t>Controls and Procedures</w:t>
            </w:r>
          </w:p>
        </w:tc>
        <w:tc>
          <w:tcPr>
            <w:tcW w:w="3760" w:type="dxa"/>
            <w:vAlign w:val="bottom"/>
            <w:gridSpan w:val="3"/>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36</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9B.</w:t>
            </w:r>
          </w:p>
        </w:tc>
        <w:tc>
          <w:tcPr>
            <w:tcW w:w="1640" w:type="dxa"/>
            <w:vAlign w:val="bottom"/>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Other Information</w:t>
            </w:r>
          </w:p>
        </w:tc>
        <w:tc>
          <w:tcPr>
            <w:tcW w:w="8300" w:type="dxa"/>
            <w:vAlign w:val="bottom"/>
            <w:gridSpan w:val="22"/>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38</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9C.</w:t>
            </w:r>
          </w:p>
        </w:tc>
        <w:tc>
          <w:tcPr>
            <w:tcW w:w="4660" w:type="dxa"/>
            <w:vAlign w:val="bottom"/>
            <w:gridSpan w:val="24"/>
          </w:tcPr>
          <w:p>
            <w:pPr>
              <w:spacing w:after="0" w:line="188"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5280" w:type="dxa"/>
            <w:vAlign w:val="bottom"/>
            <w:gridSpan w:val="10"/>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38</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0" w:type="dxa"/>
            <w:vAlign w:val="bottom"/>
            <w:gridSpan w:val="15"/>
          </w:tcPr>
          <w:p>
            <w:pPr>
              <w:jc w:val="center"/>
              <w:ind w:right="4860"/>
              <w:spacing w:after="0" w:line="188" w:lineRule="exact"/>
              <w:rPr>
                <w:sz w:val="20"/>
                <w:szCs w:val="20"/>
                <w:color w:val="auto"/>
              </w:rPr>
            </w:pPr>
            <w:r>
              <w:rPr>
                <w:rFonts w:ascii="Times New Roman" w:cs="Times New Roman" w:eastAsia="Times New Roman" w:hAnsi="Times New Roman"/>
                <w:sz w:val="17"/>
                <w:szCs w:val="17"/>
                <w:b w:val="1"/>
                <w:bCs w:val="1"/>
                <w:color w:val="0000EE"/>
              </w:rPr>
              <w:t>Part III</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10.</w:t>
            </w:r>
          </w:p>
        </w:tc>
        <w:tc>
          <w:tcPr>
            <w:tcW w:w="4320" w:type="dxa"/>
            <w:vAlign w:val="bottom"/>
            <w:gridSpan w:val="20"/>
          </w:tcPr>
          <w:p>
            <w:pPr>
              <w:spacing w:after="0" w:line="188"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580" w:type="dxa"/>
            <w:vAlign w:val="bottom"/>
            <w:tcBorders>
              <w:top w:val="single" w:sz="8" w:color="0000EE"/>
            </w:tcBorders>
            <w:gridSpan w:val="8"/>
          </w:tcPr>
          <w:p>
            <w:pPr>
              <w:spacing w:after="0"/>
              <w:rPr>
                <w:sz w:val="16"/>
                <w:szCs w:val="16"/>
                <w:color w:val="auto"/>
              </w:rPr>
            </w:pPr>
          </w:p>
        </w:tc>
        <w:tc>
          <w:tcPr>
            <w:tcW w:w="5040" w:type="dxa"/>
            <w:vAlign w:val="bottom"/>
            <w:gridSpan w:val="6"/>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38</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11.</w:t>
            </w:r>
          </w:p>
        </w:tc>
        <w:tc>
          <w:tcPr>
            <w:tcW w:w="1680" w:type="dxa"/>
            <w:vAlign w:val="bottom"/>
            <w:gridSpan w:val="13"/>
          </w:tcPr>
          <w:p>
            <w:pPr>
              <w:spacing w:after="0" w:line="188" w:lineRule="exact"/>
              <w:rPr>
                <w:sz w:val="20"/>
                <w:szCs w:val="20"/>
                <w:color w:val="auto"/>
              </w:rPr>
            </w:pPr>
            <w:r>
              <w:rPr>
                <w:rFonts w:ascii="Times New Roman" w:cs="Times New Roman" w:eastAsia="Times New Roman" w:hAnsi="Times New Roman"/>
                <w:sz w:val="17"/>
                <w:szCs w:val="17"/>
                <w:color w:val="0000EE"/>
                <w:w w:val="97"/>
              </w:rPr>
              <w:t>Executive Compensation</w:t>
            </w:r>
          </w:p>
        </w:tc>
        <w:tc>
          <w:tcPr>
            <w:tcW w:w="2200" w:type="dxa"/>
            <w:vAlign w:val="bottom"/>
            <w:gridSpan w:val="5"/>
          </w:tcPr>
          <w:p>
            <w:pPr>
              <w:spacing w:after="0"/>
              <w:rPr>
                <w:sz w:val="16"/>
                <w:szCs w:val="16"/>
                <w:color w:val="auto"/>
              </w:rPr>
            </w:pPr>
          </w:p>
        </w:tc>
        <w:tc>
          <w:tcPr>
            <w:tcW w:w="6060" w:type="dxa"/>
            <w:vAlign w:val="bottom"/>
            <w:gridSpan w:val="16"/>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39</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12.</w:t>
            </w:r>
          </w:p>
        </w:tc>
        <w:tc>
          <w:tcPr>
            <w:tcW w:w="994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39</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13.</w:t>
            </w:r>
          </w:p>
        </w:tc>
        <w:tc>
          <w:tcPr>
            <w:tcW w:w="6960" w:type="dxa"/>
            <w:vAlign w:val="bottom"/>
            <w:gridSpan w:val="32"/>
          </w:tcPr>
          <w:p>
            <w:pPr>
              <w:spacing w:after="0" w:line="188"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2980" w:type="dxa"/>
            <w:vAlign w:val="bottom"/>
            <w:gridSpan w:val="2"/>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39</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14.</w:t>
            </w:r>
          </w:p>
        </w:tc>
        <w:tc>
          <w:tcPr>
            <w:tcW w:w="5140" w:type="dxa"/>
            <w:vAlign w:val="bottom"/>
            <w:gridSpan w:val="29"/>
          </w:tcPr>
          <w:p>
            <w:pPr>
              <w:spacing w:after="0" w:line="188"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4800" w:type="dxa"/>
            <w:vAlign w:val="bottom"/>
            <w:gridSpan w:val="5"/>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39</w:t>
            </w:r>
          </w:p>
        </w:tc>
        <w:tc>
          <w:tcPr>
            <w:tcW w:w="240" w:type="dxa"/>
            <w:vAlign w:val="bottom"/>
          </w:tcPr>
          <w:p>
            <w:pPr>
              <w:spacing w:after="0"/>
              <w:rPr>
                <w:sz w:val="16"/>
                <w:szCs w:val="16"/>
                <w:color w:val="auto"/>
              </w:rPr>
            </w:pPr>
          </w:p>
        </w:tc>
      </w:tr>
      <w:tr>
        <w:trPr>
          <w:trHeight w:val="188"/>
        </w:trPr>
        <w:tc>
          <w:tcPr>
            <w:tcW w:w="7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0" w:type="dxa"/>
            <w:vAlign w:val="bottom"/>
            <w:gridSpan w:val="13"/>
          </w:tcPr>
          <w:p>
            <w:pPr>
              <w:jc w:val="center"/>
              <w:ind w:right="5060"/>
              <w:spacing w:after="0" w:line="188" w:lineRule="exact"/>
              <w:rPr>
                <w:sz w:val="20"/>
                <w:szCs w:val="20"/>
                <w:color w:val="auto"/>
              </w:rPr>
            </w:pPr>
            <w:r>
              <w:rPr>
                <w:rFonts w:ascii="Times New Roman" w:cs="Times New Roman" w:eastAsia="Times New Roman" w:hAnsi="Times New Roman"/>
                <w:sz w:val="17"/>
                <w:szCs w:val="17"/>
                <w:b w:val="1"/>
                <w:bCs w:val="1"/>
                <w:color w:val="0000EE"/>
                <w:w w:val="97"/>
              </w:rPr>
              <w:t>Part IV</w:t>
            </w:r>
          </w:p>
        </w:tc>
        <w:tc>
          <w:tcPr>
            <w:tcW w:w="24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15.</w:t>
            </w:r>
          </w:p>
        </w:tc>
        <w:tc>
          <w:tcPr>
            <w:tcW w:w="4340" w:type="dxa"/>
            <w:vAlign w:val="bottom"/>
            <w:gridSpan w:val="21"/>
          </w:tcPr>
          <w:p>
            <w:pPr>
              <w:spacing w:after="0" w:line="188" w:lineRule="exact"/>
              <w:rPr>
                <w:sz w:val="20"/>
                <w:szCs w:val="20"/>
                <w:color w:val="auto"/>
              </w:rPr>
            </w:pPr>
            <w:r>
              <w:rPr>
                <w:rFonts w:ascii="Times New Roman" w:cs="Times New Roman" w:eastAsia="Times New Roman" w:hAnsi="Times New Roman"/>
                <w:sz w:val="17"/>
                <w:szCs w:val="17"/>
                <w:color w:val="0000EE"/>
              </w:rPr>
              <w:t>Exhibits and Financial Statement Schedules</w:t>
            </w:r>
          </w:p>
        </w:tc>
        <w:tc>
          <w:tcPr>
            <w:tcW w:w="540" w:type="dxa"/>
            <w:vAlign w:val="bottom"/>
            <w:tcBorders>
              <w:top w:val="single" w:sz="8" w:color="0000EE"/>
            </w:tcBorders>
            <w:gridSpan w:val="6"/>
          </w:tcPr>
          <w:p>
            <w:pPr>
              <w:spacing w:after="0"/>
              <w:rPr>
                <w:sz w:val="16"/>
                <w:szCs w:val="16"/>
                <w:color w:val="auto"/>
              </w:rPr>
            </w:pPr>
          </w:p>
        </w:tc>
        <w:tc>
          <w:tcPr>
            <w:tcW w:w="5060" w:type="dxa"/>
            <w:vAlign w:val="bottom"/>
            <w:gridSpan w:val="7"/>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40</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960" w:type="dxa"/>
            <w:vAlign w:val="bottom"/>
            <w:gridSpan w:val="1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Item 16.</w:t>
            </w:r>
          </w:p>
        </w:tc>
        <w:tc>
          <w:tcPr>
            <w:tcW w:w="1440" w:type="dxa"/>
            <w:vAlign w:val="bottom"/>
            <w:gridSpan w:val="10"/>
          </w:tcPr>
          <w:p>
            <w:pPr>
              <w:spacing w:after="0" w:line="188" w:lineRule="exact"/>
              <w:rPr>
                <w:sz w:val="20"/>
                <w:szCs w:val="20"/>
                <w:color w:val="auto"/>
              </w:rPr>
            </w:pPr>
            <w:r>
              <w:rPr>
                <w:rFonts w:ascii="Times New Roman" w:cs="Times New Roman" w:eastAsia="Times New Roman" w:hAnsi="Times New Roman"/>
                <w:sz w:val="17"/>
                <w:szCs w:val="17"/>
                <w:color w:val="0000EE"/>
                <w:w w:val="96"/>
              </w:rPr>
              <w:t>Form 10-K Summary</w:t>
            </w:r>
          </w:p>
        </w:tc>
        <w:tc>
          <w:tcPr>
            <w:tcW w:w="1540" w:type="dxa"/>
            <w:vAlign w:val="bottom"/>
            <w:gridSpan w:val="6"/>
          </w:tcPr>
          <w:p>
            <w:pPr>
              <w:spacing w:after="0"/>
              <w:rPr>
                <w:sz w:val="16"/>
                <w:szCs w:val="16"/>
                <w:color w:val="auto"/>
              </w:rPr>
            </w:pPr>
          </w:p>
        </w:tc>
        <w:tc>
          <w:tcPr>
            <w:tcW w:w="6960" w:type="dxa"/>
            <w:vAlign w:val="bottom"/>
            <w:gridSpan w:val="18"/>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69</w:t>
            </w:r>
          </w:p>
        </w:tc>
        <w:tc>
          <w:tcPr>
            <w:tcW w:w="240" w:type="dxa"/>
            <w:vAlign w:val="bottom"/>
          </w:tcPr>
          <w:p>
            <w:pPr>
              <w:spacing w:after="0"/>
              <w:rPr>
                <w:sz w:val="16"/>
                <w:szCs w:val="16"/>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8500" w:type="dxa"/>
            <w:vAlign w:val="bottom"/>
            <w:gridSpan w:val="24"/>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396"/>
        </w:trPr>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Exhibit Index</w:t>
            </w:r>
          </w:p>
        </w:tc>
        <w:tc>
          <w:tcPr>
            <w:tcW w:w="9720" w:type="dxa"/>
            <w:vAlign w:val="bottom"/>
            <w:gridSpan w:val="33"/>
          </w:tcPr>
          <w:p>
            <w:pPr>
              <w:spacing w:after="0"/>
              <w:rPr>
                <w:sz w:val="24"/>
                <w:szCs w:val="24"/>
                <w:color w:val="auto"/>
              </w:rPr>
            </w:pPr>
          </w:p>
        </w:tc>
        <w:tc>
          <w:tcPr>
            <w:tcW w:w="32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0000EE"/>
              </w:rPr>
              <w:t>66</w:t>
            </w:r>
          </w:p>
        </w:tc>
        <w:tc>
          <w:tcPr>
            <w:tcW w:w="240" w:type="dxa"/>
            <w:vAlign w:val="bottom"/>
          </w:tcPr>
          <w:p>
            <w:pPr>
              <w:spacing w:after="0"/>
              <w:rPr>
                <w:sz w:val="24"/>
                <w:szCs w:val="24"/>
                <w:color w:val="auto"/>
              </w:rPr>
            </w:pPr>
          </w:p>
        </w:tc>
      </w:tr>
      <w:tr>
        <w:trPr>
          <w:trHeight w:val="20"/>
        </w:trPr>
        <w:tc>
          <w:tcPr>
            <w:tcW w:w="7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720" w:type="dxa"/>
            <w:vAlign w:val="bottom"/>
            <w:gridSpan w:val="3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88"/>
        </w:trPr>
        <w:tc>
          <w:tcPr>
            <w:tcW w:w="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0000EE"/>
                <w:w w:val="97"/>
              </w:rPr>
              <w:t>Signatures</w:t>
            </w:r>
          </w:p>
        </w:tc>
        <w:tc>
          <w:tcPr>
            <w:tcW w:w="220" w:type="dxa"/>
            <w:vAlign w:val="bottom"/>
          </w:tcPr>
          <w:p>
            <w:pPr>
              <w:spacing w:after="0"/>
              <w:rPr>
                <w:sz w:val="16"/>
                <w:szCs w:val="16"/>
                <w:color w:val="auto"/>
              </w:rPr>
            </w:pPr>
          </w:p>
        </w:tc>
        <w:tc>
          <w:tcPr>
            <w:tcW w:w="9720" w:type="dxa"/>
            <w:vAlign w:val="bottom"/>
            <w:gridSpan w:val="33"/>
          </w:tcPr>
          <w:p>
            <w:pPr>
              <w:spacing w:after="0"/>
              <w:rPr>
                <w:sz w:val="16"/>
                <w:szCs w:val="16"/>
                <w:color w:val="auto"/>
              </w:rPr>
            </w:pPr>
          </w:p>
        </w:tc>
        <w:tc>
          <w:tcPr>
            <w:tcW w:w="320" w:type="dxa"/>
            <w:vAlign w:val="bottom"/>
            <w:gridSpan w:val="2"/>
          </w:tcPr>
          <w:p>
            <w:pPr>
              <w:jc w:val="center"/>
              <w:ind w:left="53"/>
              <w:spacing w:after="0" w:line="188" w:lineRule="exact"/>
              <w:rPr>
                <w:sz w:val="20"/>
                <w:szCs w:val="20"/>
                <w:color w:val="auto"/>
              </w:rPr>
            </w:pPr>
            <w:r>
              <w:rPr>
                <w:rFonts w:ascii="Times New Roman" w:cs="Times New Roman" w:eastAsia="Times New Roman" w:hAnsi="Times New Roman"/>
                <w:sz w:val="17"/>
                <w:szCs w:val="17"/>
                <w:color w:val="0000EE"/>
              </w:rPr>
              <w:t>70</w:t>
            </w:r>
          </w:p>
        </w:tc>
        <w:tc>
          <w:tcPr>
            <w:tcW w:w="240" w:type="dxa"/>
            <w:vAlign w:val="bottom"/>
          </w:tcPr>
          <w:p>
            <w:pPr>
              <w:spacing w:after="0"/>
              <w:rPr>
                <w:sz w:val="16"/>
                <w:szCs w:val="16"/>
                <w:color w:val="auto"/>
              </w:rPr>
            </w:pPr>
          </w:p>
        </w:tc>
      </w:tr>
      <w:tr>
        <w:trPr>
          <w:trHeight w:val="435"/>
        </w:trPr>
        <w:tc>
          <w:tcPr>
            <w:tcW w:w="740" w:type="dxa"/>
            <w:vAlign w:val="bottom"/>
            <w:tcBorders>
              <w:top w:val="single" w:sz="8" w:color="0000EE"/>
            </w:tcBorders>
          </w:tcPr>
          <w:p>
            <w:pPr>
              <w:spacing w:after="0"/>
              <w:rPr>
                <w:sz w:val="24"/>
                <w:szCs w:val="24"/>
                <w:color w:val="auto"/>
              </w:rPr>
            </w:pPr>
          </w:p>
        </w:tc>
        <w:tc>
          <w:tcPr>
            <w:tcW w:w="5140" w:type="dxa"/>
            <w:vAlign w:val="bottom"/>
            <w:gridSpan w:val="29"/>
          </w:tcPr>
          <w:p>
            <w:pPr>
              <w:jc w:val="center"/>
              <w:ind w:left="4533"/>
              <w:spacing w:after="0"/>
              <w:rPr>
                <w:sz w:val="20"/>
                <w:szCs w:val="20"/>
                <w:color w:val="auto"/>
              </w:rPr>
            </w:pPr>
            <w:r>
              <w:rPr>
                <w:rFonts w:ascii="Times New Roman" w:cs="Times New Roman" w:eastAsia="Times New Roman" w:hAnsi="Times New Roman"/>
                <w:sz w:val="17"/>
                <w:szCs w:val="17"/>
                <w:color w:val="auto"/>
                <w:w w:val="93"/>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110"/>
        </w:trPr>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380" w:lineRule="exact"/>
        <w:rPr>
          <w:sz w:val="20"/>
          <w:szCs w:val="20"/>
          <w:color w:val="auto"/>
        </w:rPr>
      </w:pPr>
    </w:p>
    <w:p>
      <w:pPr>
        <w:ind w:left="420" w:hanging="312"/>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and the sufficiency of our cash generated from operations and borrowings under our credit facility;</w:t>
      </w:r>
    </w:p>
    <w:p>
      <w:pPr>
        <w:spacing w:after="0" w:line="220" w:lineRule="exact"/>
        <w:rPr>
          <w:rFonts w:ascii="Times New Roman" w:cs="Times New Roman" w:eastAsia="Times New Roman" w:hAnsi="Times New Roman"/>
          <w:sz w:val="17"/>
          <w:szCs w:val="17"/>
          <w:color w:val="auto"/>
        </w:rPr>
      </w:pPr>
    </w:p>
    <w:p>
      <w:pPr>
        <w:ind w:left="420" w:hanging="312"/>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operating strategies and future strategic expansion initiatives;</w:t>
      </w:r>
    </w:p>
    <w:p>
      <w:pPr>
        <w:spacing w:after="0" w:line="220" w:lineRule="exact"/>
        <w:rPr>
          <w:rFonts w:ascii="Times New Roman" w:cs="Times New Roman" w:eastAsia="Times New Roman" w:hAnsi="Times New Roman"/>
          <w:sz w:val="17"/>
          <w:szCs w:val="17"/>
          <w:color w:val="auto"/>
        </w:rPr>
      </w:pPr>
    </w:p>
    <w:p>
      <w:pPr>
        <w:ind w:left="420" w:hanging="312"/>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expenditures;</w:t>
      </w:r>
    </w:p>
    <w:p>
      <w:pPr>
        <w:spacing w:after="0" w:line="220" w:lineRule="exact"/>
        <w:rPr>
          <w:rFonts w:ascii="Times New Roman" w:cs="Times New Roman" w:eastAsia="Times New Roman" w:hAnsi="Times New Roman"/>
          <w:sz w:val="17"/>
          <w:szCs w:val="17"/>
          <w:color w:val="auto"/>
        </w:rPr>
      </w:pPr>
    </w:p>
    <w:p>
      <w:pPr>
        <w:ind w:left="420" w:hanging="312"/>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rate of store relocations, openings and closures; and</w:t>
      </w:r>
    </w:p>
    <w:p>
      <w:pPr>
        <w:spacing w:after="0" w:line="220" w:lineRule="exact"/>
        <w:rPr>
          <w:rFonts w:ascii="Times New Roman" w:cs="Times New Roman" w:eastAsia="Times New Roman" w:hAnsi="Times New Roman"/>
          <w:sz w:val="17"/>
          <w:szCs w:val="17"/>
          <w:color w:val="auto"/>
        </w:rPr>
      </w:pPr>
    </w:p>
    <w:p>
      <w:pPr>
        <w:ind w:left="420" w:hanging="312"/>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costs related to store relocations, openings and closures.</w:t>
      </w:r>
    </w:p>
    <w:p>
      <w:pPr>
        <w:spacing w:after="0" w:line="221" w:lineRule="exact"/>
        <w:rPr>
          <w:sz w:val="20"/>
          <w:szCs w:val="20"/>
          <w:color w:val="auto"/>
        </w:rPr>
      </w:pPr>
    </w:p>
    <w:p>
      <w:pPr>
        <w:jc w:val="both"/>
        <w:ind w:firstLine="425"/>
        <w:spacing w:after="0" w:line="268" w:lineRule="auto"/>
        <w:rPr>
          <w:sz w:val="20"/>
          <w:szCs w:val="20"/>
          <w:color w:val="auto"/>
        </w:rPr>
      </w:pPr>
      <w:r>
        <w:rPr>
          <w:rFonts w:ascii="Times New Roman" w:cs="Times New Roman" w:eastAsia="Times New Roman" w:hAnsi="Times New Roman"/>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68" w:lineRule="exact"/>
        <w:rPr>
          <w:sz w:val="20"/>
          <w:szCs w:val="20"/>
          <w:color w:val="auto"/>
        </w:rPr>
      </w:pPr>
    </w:p>
    <w:p>
      <w:pPr>
        <w:jc w:val="both"/>
        <w:ind w:firstLine="425"/>
        <w:spacing w:after="0" w:line="265" w:lineRule="auto"/>
        <w:rPr>
          <w:sz w:val="20"/>
          <w:szCs w:val="20"/>
          <w:color w:val="auto"/>
        </w:rPr>
      </w:pPr>
      <w:r>
        <w:rPr>
          <w:rFonts w:ascii="Times New Roman" w:cs="Times New Roman" w:eastAsia="Times New Roman" w:hAnsi="Times New Roman"/>
          <w:sz w:val="17"/>
          <w:szCs w:val="17"/>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 and may not contain all of the material factors that are important to you.</w:t>
      </w:r>
    </w:p>
    <w:p>
      <w:pPr>
        <w:spacing w:after="0" w:line="168" w:lineRule="exact"/>
        <w:rPr>
          <w:sz w:val="20"/>
          <w:szCs w:val="20"/>
          <w:color w:val="auto"/>
        </w:rPr>
      </w:pPr>
    </w:p>
    <w:p>
      <w:pPr>
        <w:jc w:val="both"/>
        <w:ind w:firstLine="425"/>
        <w:spacing w:after="0" w:line="275" w:lineRule="auto"/>
        <w:rPr>
          <w:sz w:val="20"/>
          <w:szCs w:val="20"/>
          <w:color w:val="auto"/>
        </w:rPr>
      </w:pPr>
      <w:r>
        <w:rPr>
          <w:rFonts w:ascii="Times New Roman" w:cs="Times New Roman" w:eastAsia="Times New Roman" w:hAnsi="Times New Roman"/>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63" w:lineRule="exact"/>
        <w:rPr>
          <w:sz w:val="20"/>
          <w:szCs w:val="20"/>
          <w:color w:val="auto"/>
        </w:rPr>
      </w:pPr>
    </w:p>
    <w:p>
      <w:pPr>
        <w:jc w:val="both"/>
        <w:ind w:firstLine="425"/>
        <w:spacing w:after="0" w:line="293" w:lineRule="auto"/>
        <w:rPr>
          <w:sz w:val="20"/>
          <w:szCs w:val="20"/>
          <w:color w:val="auto"/>
        </w:rPr>
      </w:pPr>
      <w:r>
        <w:rPr>
          <w:rFonts w:ascii="Times New Roman" w:cs="Times New Roman" w:eastAsia="Times New Roman" w:hAnsi="Times New Roman"/>
          <w:sz w:val="17"/>
          <w:szCs w:val="17"/>
          <w:color w:val="auto"/>
        </w:rPr>
        <w:t>Unless the context otherwise requires, references in this Annual Report on Form 10-K to the “Company,” “we,” “us,” and “our” refer to Build-A-Bear Workshop, Inc. and, where appropriate, its subsidiaries.</w:t>
      </w:r>
    </w:p>
    <w:p>
      <w:pPr>
        <w:spacing w:after="0" w:line="147" w:lineRule="exact"/>
        <w:rPr>
          <w:sz w:val="20"/>
          <w:szCs w:val="20"/>
          <w:color w:val="auto"/>
        </w:rPr>
      </w:pPr>
    </w:p>
    <w:p>
      <w:pPr>
        <w:jc w:val="both"/>
        <w:ind w:firstLine="425"/>
        <w:spacing w:after="0" w:line="293" w:lineRule="auto"/>
        <w:rPr>
          <w:sz w:val="20"/>
          <w:szCs w:val="20"/>
          <w:color w:val="auto"/>
        </w:rPr>
      </w:pPr>
      <w:r>
        <w:rPr>
          <w:rFonts w:ascii="Times New Roman" w:cs="Times New Roman" w:eastAsia="Times New Roman" w:hAnsi="Times New Roman"/>
          <w:sz w:val="17"/>
          <w:szCs w:val="17"/>
          <w:color w:val="auto"/>
        </w:rPr>
        <w:t>The following discussion contains references to fiscal 2024, fiscal 2023 and fiscal 2022, which represent our fiscal years ending February 1, 2025, February 3, 2024 and January 28, 2023, respectively.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1"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0" w:lineRule="exact"/>
        <w:rPr>
          <w:sz w:val="20"/>
          <w:szCs w:val="20"/>
          <w:color w:val="auto"/>
        </w:rPr>
      </w:pPr>
    </w:p>
    <w:p>
      <w:pPr>
        <w:spacing w:after="0" w:line="231" w:lineRule="exact"/>
        <w:rPr>
          <w:sz w:val="20"/>
          <w:szCs w:val="20"/>
          <w:color w:val="auto"/>
        </w:rPr>
      </w:pPr>
    </w:p>
    <w:p>
      <w:pPr>
        <w:ind w:left="20" w:right="20" w:firstLine="416"/>
        <w:spacing w:after="0" w:line="258" w:lineRule="auto"/>
        <w:rPr>
          <w:sz w:val="20"/>
          <w:szCs w:val="20"/>
          <w:color w:val="auto"/>
        </w:rPr>
      </w:pPr>
      <w:r>
        <w:rPr>
          <w:rFonts w:ascii="Times New Roman" w:cs="Times New Roman" w:eastAsia="Times New Roman" w:hAnsi="Times New Roman"/>
          <w:sz w:val="17"/>
          <w:szCs w:val="17"/>
          <w:color w:val="auto"/>
        </w:rPr>
        <w:t>Build-A-Bear Workshop, Inc., a Delaware corporation, was formed in 1997 as a mall-based, experiential specialty retailer for children. Build-A-Bear has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based on the Company’s own intellectual property and in conjunction with a variety of best-in-class licenses. The hands-on and interactive nature of our nearly 600 company-owned, partner-operated and franchise experience locations around the world, combined with Build-A-Bear’s pop-culture appeal, often fosters a lasting and emotional brand connection with consumers, and has enabled the Company to expand beyond its retail stores to include e-commerce sales on www.buildabear.com, third-party-operated stores, and non-plush branded consumer categories via out-bound licensing agreements with leading manufacturers, as well as the creation of engaging content via Build-A-Bear Entertainment (a subsidiary of Build-A-Bear Workshop, Inc.). Over the last 27 years, Build-A-Bear has become a brand with high consumer awareness, positive affinity, and strong retail influence by leveraging our brand strength to expand our brick-and-mortar retail footprint through a range of store sizes, formats, and locations, including tourist destinations. In addition to growing our corporately-managed store footprint, we are also growing through third-party-operated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expanding our total addressable market beyond children by adding teens and adults with entertainment and sports licensing, collectible and gifting offerings, as well as by introducing new products and adding categories beyond plush.</w:t>
      </w:r>
    </w:p>
    <w:p>
      <w:pPr>
        <w:spacing w:after="0" w:line="178" w:lineRule="exact"/>
        <w:rPr>
          <w:sz w:val="20"/>
          <w:szCs w:val="20"/>
          <w:color w:val="auto"/>
        </w:rPr>
      </w:pPr>
    </w:p>
    <w:p>
      <w:pPr>
        <w:ind w:left="20" w:right="120" w:firstLine="416"/>
        <w:spacing w:after="0" w:line="261" w:lineRule="auto"/>
        <w:rPr>
          <w:sz w:val="20"/>
          <w:szCs w:val="20"/>
          <w:color w:val="auto"/>
        </w:rPr>
      </w:pPr>
      <w:r>
        <w:rPr>
          <w:rFonts w:ascii="Times New Roman" w:cs="Times New Roman" w:eastAsia="Times New Roman" w:hAnsi="Times New Roman"/>
          <w:sz w:val="17"/>
          <w:szCs w:val="17"/>
          <w:color w:val="auto"/>
        </w:rPr>
        <w:t>We primarily operate through a vertical retail channel with corporately-managed, partner-operated, and franchise locations that feature a unique combination of experience and product in which guests can “make their own stuffed animals.” We also operate buildabear.com that serves as an information and communications tool to plan a store visit as well as an e-commerce. that focuses on gift-giving, collectible merchandise, and licensed products that appeal to consumers that have an affinity for characters from a range of entertainment, sports, art, and gaming properties.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77" w:lineRule="exact"/>
        <w:rPr>
          <w:sz w:val="20"/>
          <w:szCs w:val="20"/>
          <w:color w:val="auto"/>
        </w:rPr>
      </w:pPr>
    </w:p>
    <w:p>
      <w:pPr>
        <w:ind w:left="40" w:right="100" w:firstLine="468"/>
        <w:spacing w:after="0" w:line="265" w:lineRule="auto"/>
        <w:rPr>
          <w:sz w:val="20"/>
          <w:szCs w:val="20"/>
          <w:color w:val="auto"/>
        </w:rPr>
      </w:pPr>
      <w:r>
        <w:rPr>
          <w:rFonts w:ascii="Times New Roman" w:cs="Times New Roman" w:eastAsia="Times New Roman" w:hAnsi="Times New Roman"/>
          <w:sz w:val="17"/>
          <w:szCs w:val="17"/>
          <w:color w:val="auto"/>
        </w:rPr>
        <w:t>Our strategy includes leveraging our brand strength to continue to evolve our brick-and-mortar retail footprint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spacing w:after="0" w:line="170" w:lineRule="exact"/>
        <w:rPr>
          <w:sz w:val="20"/>
          <w:szCs w:val="20"/>
          <w:color w:val="auto"/>
        </w:rPr>
      </w:pPr>
    </w:p>
    <w:p>
      <w:pPr>
        <w:ind w:left="40" w:right="60" w:firstLine="468"/>
        <w:spacing w:after="0" w:line="260" w:lineRule="auto"/>
        <w:rPr>
          <w:sz w:val="20"/>
          <w:szCs w:val="20"/>
          <w:color w:val="auto"/>
        </w:rPr>
      </w:pPr>
      <w:r>
        <w:rPr>
          <w:rFonts w:ascii="Times New Roman" w:cs="Times New Roman" w:eastAsia="Times New Roman" w:hAnsi="Times New Roman"/>
          <w:sz w:val="17"/>
          <w:szCs w:val="17"/>
          <w:color w:val="auto"/>
        </w:rPr>
        <w:t>As of February 1, 2025, the Company had 589 global locations through a combination of its corporately-managed, partner-operated, and international-franchise models. This reflects 368 corporately-managed locations, including 328 stores in the United States (“U.S.”) and Canada and 40 stores in the United Kingdom (“U.K.”) and the Republic of Ireland, 138 partner-operated locations operated through our "third-party retail" model in which we sell our products on a wholesale basis to other companies that then, in turn, execute our retail experience, and 83 franchised stores operating internationally,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 For the 2024 fiscal year, the Company had a net new unit growth of 64 experience locations, comprised of nine corporately managed locations, 46 partner-operated locations, and nine international franchise locations.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Segments and Geographic Areas</w:t>
      </w:r>
    </w:p>
    <w:p>
      <w:pPr>
        <w:spacing w:after="0" w:line="223" w:lineRule="exact"/>
        <w:rPr>
          <w:sz w:val="20"/>
          <w:szCs w:val="20"/>
          <w:color w:val="auto"/>
        </w:rPr>
      </w:pPr>
    </w:p>
    <w:p>
      <w:pPr>
        <w:jc w:val="both"/>
        <w:ind w:left="40" w:firstLine="468"/>
        <w:spacing w:after="0" w:line="265" w:lineRule="auto"/>
        <w:rPr>
          <w:sz w:val="20"/>
          <w:szCs w:val="20"/>
          <w:color w:val="auto"/>
        </w:rPr>
      </w:pPr>
      <w:r>
        <w:rPr>
          <w:rFonts w:ascii="Times New Roman" w:cs="Times New Roman" w:eastAsia="Times New Roman" w:hAnsi="Times New Roman"/>
          <w:sz w:val="17"/>
          <w:szCs w:val="17"/>
          <w:color w:val="auto"/>
        </w:rPr>
        <w:t>Our 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by geographic area.</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Operations</w:t>
      </w:r>
    </w:p>
    <w:p>
      <w:pPr>
        <w:spacing w:after="0" w:line="223" w:lineRule="exact"/>
        <w:rPr>
          <w:sz w:val="20"/>
          <w:szCs w:val="20"/>
          <w:color w:val="auto"/>
        </w:rPr>
      </w:pPr>
    </w:p>
    <w:p>
      <w:pPr>
        <w:jc w:val="both"/>
        <w:ind w:left="40" w:firstLine="468"/>
        <w:spacing w:after="0" w:line="259" w:lineRule="auto"/>
        <w:rPr>
          <w:sz w:val="20"/>
          <w:szCs w:val="20"/>
          <w:color w:val="auto"/>
        </w:rPr>
      </w:pPr>
      <w:r>
        <w:rPr>
          <w:rFonts w:ascii="Times New Roman" w:cs="Times New Roman" w:eastAsia="Times New Roman" w:hAnsi="Times New Roman"/>
          <w:sz w:val="17"/>
          <w:szCs w:val="17"/>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experience locations that feature a unique combination of interactivity and product in which guests can “make their own stuffed animals” by participating in the stuffing, dressing, accessorizing and naming of their own teddy bears and other stuffed animals along with the now-famous "Heart Ceremony" that helps to make the experience memorable by bringing the furry friend to "life."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microsite. Our retail stores also act as “mini distribution centers” that provide efficient omnichannel support for our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ectPr>
          <w:pgSz w:w="11900" w:h="16838" w:orient="portrait"/>
          <w:cols w:equalWidth="0" w:num="1">
            <w:col w:w="11280"/>
          </w:cols>
          <w:pgMar w:left="280" w:top="121" w:right="33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93345</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left="40" w:right="20" w:firstLine="468"/>
        <w:spacing w:after="0" w:line="266" w:lineRule="auto"/>
        <w:rPr>
          <w:sz w:val="20"/>
          <w:szCs w:val="20"/>
          <w:color w:val="auto"/>
        </w:rPr>
      </w:pPr>
      <w:r>
        <w:rPr>
          <w:rFonts w:ascii="Times New Roman" w:cs="Times New Roman" w:eastAsia="Times New Roman" w:hAnsi="Times New Roman"/>
          <w:sz w:val="17"/>
          <w:szCs w:val="17"/>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382" w:lineRule="exact"/>
        <w:rPr>
          <w:sz w:val="20"/>
          <w:szCs w:val="20"/>
          <w:color w:val="auto"/>
        </w:rPr>
      </w:pPr>
    </w:p>
    <w:p>
      <w:pPr>
        <w:jc w:val="both"/>
        <w:ind w:left="40" w:firstLine="468"/>
        <w:spacing w:after="0" w:line="268" w:lineRule="auto"/>
        <w:rPr>
          <w:sz w:val="20"/>
          <w:szCs w:val="20"/>
          <w:color w:val="auto"/>
        </w:rPr>
      </w:pPr>
      <w:r>
        <w:rPr>
          <w:rFonts w:ascii="Times New Roman" w:cs="Times New Roman" w:eastAsia="Times New Roman" w:hAnsi="Times New Roman"/>
          <w:sz w:val="17"/>
          <w:szCs w:val="17"/>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Strategies</w:t>
      </w:r>
    </w:p>
    <w:p>
      <w:pPr>
        <w:spacing w:after="0" w:line="223" w:lineRule="exact"/>
        <w:rPr>
          <w:sz w:val="20"/>
          <w:szCs w:val="20"/>
          <w:color w:val="auto"/>
        </w:rPr>
      </w:pPr>
    </w:p>
    <w:p>
      <w:pPr>
        <w:jc w:val="both"/>
        <w:ind w:left="40" w:right="200" w:firstLine="468"/>
        <w:spacing w:after="0" w:line="274" w:lineRule="auto"/>
        <w:rPr>
          <w:sz w:val="20"/>
          <w:szCs w:val="20"/>
          <w:color w:val="auto"/>
        </w:rPr>
      </w:pPr>
      <w:r>
        <w:rPr>
          <w:rFonts w:ascii="Times New Roman" w:cs="Times New Roman" w:eastAsia="Times New Roman" w:hAnsi="Times New Roman"/>
          <w:sz w:val="17"/>
          <w:szCs w:val="17"/>
          <w:color w:val="auto"/>
        </w:rPr>
        <w:t>We believe that the initiatives and investments that were put in place prior to the pandemic, and in many cases, we accelerated during the pandemic, are driving improved results, as we delivered growth in total revenues and profit in fiscal 2022, 2023 and 2024. To continue to drive revenue and profit growth, we remain focused on our strategic priorities, which are centered primarily on three key areas:</w:t>
      </w:r>
    </w:p>
    <w:p>
      <w:pPr>
        <w:spacing w:after="0" w:line="163" w:lineRule="exact"/>
        <w:rPr>
          <w:sz w:val="20"/>
          <w:szCs w:val="20"/>
          <w:color w:val="auto"/>
        </w:rPr>
      </w:pPr>
    </w:p>
    <w:p>
      <w:pPr>
        <w:ind w:left="500" w:right="20" w:hanging="339"/>
        <w:spacing w:after="0" w:line="261"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 global expansion of our unique experience locations.</w:t>
      </w:r>
      <w:r>
        <w:rPr>
          <w:rFonts w:ascii="Times New Roman" w:cs="Times New Roman" w:eastAsia="Times New Roman" w:hAnsi="Times New Roman"/>
          <w:sz w:val="17"/>
          <w:szCs w:val="17"/>
          <w:color w:val="auto"/>
        </w:rPr>
        <w:t xml:space="preserve"> During fiscal 2024, we opened a net 64 Build-A-Bear Workshop retail experience locations, through a combination of corporately-managed, third-party operated, and franchise business models. In fiscal 2025, we expect net new unit growth of at least 50 locations in North America and internationally through our three store business models. We have made a concerted effort to shift to non-traditional locations, including family-centric tourist and hospitality sites, as well as asset-light partner-operated and franchise locations, and now have more than a third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w:t>
      </w:r>
    </w:p>
    <w:p>
      <w:pPr>
        <w:spacing w:after="0" w:line="177" w:lineRule="exact"/>
        <w:rPr>
          <w:rFonts w:ascii="Times New Roman" w:cs="Times New Roman" w:eastAsia="Times New Roman" w:hAnsi="Times New Roman"/>
          <w:sz w:val="17"/>
          <w:szCs w:val="17"/>
          <w:color w:val="auto"/>
        </w:rPr>
      </w:pPr>
    </w:p>
    <w:p>
      <w:pPr>
        <w:ind w:left="500" w:right="60" w:hanging="339"/>
        <w:spacing w:after="0" w:line="263"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Accelerate our multi-year comprehensive digital transformation across the entire company.</w:t>
      </w:r>
      <w:r>
        <w:rPr>
          <w:rFonts w:ascii="Times New Roman" w:cs="Times New Roman" w:eastAsia="Times New Roman" w:hAnsi="Times New Roman"/>
          <w:sz w:val="17"/>
          <w:szCs w:val="17"/>
          <w:color w:val="auto"/>
        </w:rPr>
        <w:t xml:space="preserve"> In addition to systems upgrades and e-commerce evolution, we have been enhancing our marketing and loyalty programs as well as creating digital content and entertainment initiatives to increase consumer engagement. Our digital transformation is also designed to elevate our business efficiency, integrate our consumer communications to acquire new guests and increase purchase occasions while expanding our total addressable market beyond our core kid base and to acquire tween, teen and adults with new offerings including gifting, personalization and licensed options. In September 2024, we created a new position of Chief Revenue Officer to further align our operating structure with our digital strategy.</w:t>
      </w:r>
    </w:p>
    <w:p>
      <w:pPr>
        <w:spacing w:after="0" w:line="171" w:lineRule="exact"/>
        <w:rPr>
          <w:rFonts w:ascii="Times New Roman" w:cs="Times New Roman" w:eastAsia="Times New Roman" w:hAnsi="Times New Roman"/>
          <w:sz w:val="17"/>
          <w:szCs w:val="17"/>
          <w:color w:val="auto"/>
        </w:rPr>
      </w:pPr>
    </w:p>
    <w:p>
      <w:pPr>
        <w:ind w:left="500" w:right="120" w:hanging="339"/>
        <w:spacing w:after="0" w:line="265"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7"/>
          <w:szCs w:val="17"/>
          <w:color w:val="auto"/>
        </w:rPr>
        <w:t xml:space="preserve"> As corporate store operating margins have remained robust from higher levels of revenue combined with disciplined expense management, particularly considering recent inflationary pressures, wage increases and supply chain challenges, and as we continue to evolve our real estate portfolio with new locations and formats, plus shift to asset-light business models, the company’s cash flows have meaningfully improved. This higher-level of cash flows has been used to increase support for key initiatives to deliver long-term profitable growth, while also returning capital to shareholders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-673100</wp:posOffset>
            </wp:positionV>
            <wp:extent cx="198120" cy="123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 cy="123825"/>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Merchandise Sourcing and Inventory Management</w:t>
      </w:r>
    </w:p>
    <w:p>
      <w:pPr>
        <w:spacing w:after="0" w:line="223"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Our stores and e-commerce sites offer an extensive and coordinated selection of merchandise, including a wide range of different styles of plush products to be stuffed, pre-stuffed plush products, sounds and scents that can be added to the stuffed animals and a broad variety of clothing, shoes and accessories, as well as other brand appropriate toy and novelty items including family sleepwear, sourced from multiple vendors primarily in Vietnam and China. Our plush products and clothing are produced from high quality, man-made materials or natural fibers, and the stuffing is made of a high-grade polyester fiber.</w:t>
      </w:r>
    </w:p>
    <w:p>
      <w:pPr>
        <w:spacing w:after="0" w:line="168"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We believe we comply with governmental safety requirements specific to each product category and country where there are Build-A-Bear Workshop locations. Specifically, we believe all of the toy products sold in our stores and through our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Chile Standard on Safety of Toys NCh 3251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comparable third-party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77"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Historically, the average time from product conception to the arrival in stores has been approximately 12 months, including approximately 90 to 150 days from the beginning of production to in-store delivery. Through an ongoing analysis of selling trends, we regularly update our product assortment by increasing quantities of productive styles and eliminating less productive styles. Our relationships with our vendors generally are on a purchase order basis without contractual obligation to provide adequate supply or acceptable pricing on a long-term basis.</w:t>
      </w:r>
    </w:p>
    <w:p>
      <w:pPr>
        <w:spacing w:after="0" w:line="168" w:lineRule="exact"/>
        <w:rPr>
          <w:sz w:val="20"/>
          <w:szCs w:val="20"/>
          <w:color w:val="auto"/>
        </w:rPr>
      </w:pPr>
    </w:p>
    <w:p>
      <w:pPr>
        <w:jc w:val="both"/>
        <w:ind w:right="240" w:firstLine="468"/>
        <w:spacing w:after="0" w:line="274" w:lineRule="auto"/>
        <w:rPr>
          <w:sz w:val="20"/>
          <w:szCs w:val="20"/>
          <w:color w:val="auto"/>
        </w:rPr>
      </w:pPr>
      <w:r>
        <w:rPr>
          <w:rFonts w:ascii="Times New Roman" w:cs="Times New Roman" w:eastAsia="Times New Roman" w:hAnsi="Times New Roman"/>
          <w:sz w:val="17"/>
          <w:szCs w:val="17"/>
          <w:color w:val="auto"/>
        </w:rPr>
        <w:t>As of February 1, 2025, our inventory balance was $69.8 million, an increase of $6.3 million compared to February 3, 2024. The Company accelerated inventory purchases in the second half of fiscal 2024 in anticipation of the uncertainty in cost due to potential tariffs. We are comfortable with the composition and level of our inventory.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and Logistics</w:t>
      </w:r>
    </w:p>
    <w:p>
      <w:pPr>
        <w:spacing w:after="0" w:line="223" w:lineRule="exact"/>
        <w:rPr>
          <w:sz w:val="20"/>
          <w:szCs w:val="20"/>
          <w:color w:val="auto"/>
        </w:rPr>
      </w:pPr>
    </w:p>
    <w:p>
      <w:pPr>
        <w:jc w:val="both"/>
        <w:ind w:firstLine="468"/>
        <w:spacing w:after="0" w:line="263" w:lineRule="auto"/>
        <w:rPr>
          <w:sz w:val="20"/>
          <w:szCs w:val="20"/>
          <w:color w:val="auto"/>
        </w:rPr>
      </w:pPr>
      <w:r>
        <w:rPr>
          <w:rFonts w:ascii="Times New Roman" w:cs="Times New Roman" w:eastAsia="Times New Roman" w:hAnsi="Times New Roman"/>
          <w:sz w:val="17"/>
          <w:szCs w:val="17"/>
          <w:color w:val="auto"/>
        </w:rPr>
        <w:t>We own a 350,000 square-foot distribution center in Groveport, Ohio (near Columbus), that serves the majority of our stores in the U.S. and Canada. We also contract with a third-party warehouse in southern California to service our West Coast stores. The contract has a one-year term and is renewable. In Europe, we contract with a third-party distribution center in Selby, England under an agreement guaranteed through January 2026, and continuing on if neither party terminates the agreement, to fulfill our store and e-commerce fulfillment needs. This agreement contains clauses that allow for termination if certain performance criteria are not met. In Asia, we contract for office space and a third-party distribution center in Shanghai, China, with the office space contract ending in August 2025 and the distribution center contract ending in April 2025, with both contracts expected to be renewed before their respective expiration dates.</w:t>
      </w:r>
    </w:p>
    <w:p>
      <w:pPr>
        <w:spacing w:after="0" w:line="172" w:lineRule="exact"/>
        <w:rPr>
          <w:sz w:val="20"/>
          <w:szCs w:val="20"/>
          <w:color w:val="auto"/>
        </w:rPr>
      </w:pPr>
    </w:p>
    <w:p>
      <w:pPr>
        <w:jc w:val="both"/>
        <w:ind w:firstLine="468"/>
        <w:spacing w:after="0" w:line="263" w:lineRule="auto"/>
        <w:rPr>
          <w:sz w:val="20"/>
          <w:szCs w:val="20"/>
          <w:color w:val="auto"/>
        </w:rPr>
      </w:pPr>
      <w:r>
        <w:rPr>
          <w:rFonts w:ascii="Times New Roman" w:cs="Times New Roman" w:eastAsia="Times New Roman" w:hAnsi="Times New Roman"/>
          <w:sz w:val="17"/>
          <w:szCs w:val="17"/>
          <w:color w:val="auto"/>
        </w:rPr>
        <w:t>Transportation from the warehouses to stores is managed by several third-party logistics providers. In the U.S.,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both"/>
        <w:ind w:left="20" w:firstLine="468"/>
        <w:spacing w:after="0" w:line="274" w:lineRule="auto"/>
        <w:rPr>
          <w:sz w:val="20"/>
          <w:szCs w:val="20"/>
          <w:color w:val="auto"/>
        </w:rPr>
      </w:pPr>
      <w:r>
        <w:rPr>
          <w:rFonts w:ascii="Times New Roman" w:cs="Times New Roman" w:eastAsia="Times New Roman" w:hAnsi="Times New Roman"/>
          <w:sz w:val="17"/>
          <w:szCs w:val="17"/>
          <w:color w:val="auto"/>
        </w:rPr>
        <w:t>During fiscal 2020, we introduced "Buy Online, Ship From Store" and "Buy Online, Pick Up In Store" for orders placed in the U.S. and "Click and Collect" for orders placed in the U.K. These ongoing programs allow our brick-and-mortar locations to operate essentially as mini distribution centers allowing us to leverage the geographic proximity of stores, available inventory and labor to fulfill digital demand.</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Employees</w:t>
      </w:r>
    </w:p>
    <w:p>
      <w:pPr>
        <w:spacing w:after="0" w:line="223" w:lineRule="exact"/>
        <w:rPr>
          <w:sz w:val="20"/>
          <w:szCs w:val="20"/>
          <w:color w:val="auto"/>
        </w:rPr>
      </w:pPr>
    </w:p>
    <w:p>
      <w:pPr>
        <w:ind w:right="60" w:firstLine="468"/>
        <w:spacing w:after="0" w:line="274" w:lineRule="auto"/>
        <w:rPr>
          <w:sz w:val="20"/>
          <w:szCs w:val="20"/>
          <w:color w:val="auto"/>
        </w:rPr>
      </w:pPr>
      <w:r>
        <w:rPr>
          <w:rFonts w:ascii="Times New Roman" w:cs="Times New Roman" w:eastAsia="Times New Roman" w:hAnsi="Times New Roman"/>
          <w:sz w:val="17"/>
          <w:szCs w:val="17"/>
          <w:color w:val="auto"/>
        </w:rPr>
        <w:t>As of February 1, 2025, we had approximately 1,000 full-time and 4,100 part-time employees in the U.S., Canada, the UK, and the Republic of Ireland. The number of part-time employees at all locations fluctuates depending on our seasonal needs. None of our employees are represented by a labor union, and we believe our relationship with our employees is good.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Culture</w:t>
      </w:r>
    </w:p>
    <w:p>
      <w:pPr>
        <w:spacing w:after="0" w:line="223" w:lineRule="exact"/>
        <w:rPr>
          <w:sz w:val="20"/>
          <w:szCs w:val="20"/>
          <w:color w:val="auto"/>
        </w:rPr>
      </w:pPr>
    </w:p>
    <w:p>
      <w:pPr>
        <w:ind w:right="440" w:firstLine="468"/>
        <w:spacing w:after="0" w:line="274" w:lineRule="auto"/>
        <w:rPr>
          <w:sz w:val="20"/>
          <w:szCs w:val="20"/>
          <w:color w:val="auto"/>
        </w:rPr>
      </w:pPr>
      <w:r>
        <w:rPr>
          <w:rFonts w:ascii="Times New Roman" w:cs="Times New Roman" w:eastAsia="Times New Roman" w:hAnsi="Times New Roman"/>
          <w:sz w:val="17"/>
          <w:szCs w:val="17"/>
          <w:color w:val="auto"/>
        </w:rPr>
        <w:t>Our mission statement is to "add a little more heart to life." This tenet guides both the experience that we provide our guests and the way we treat our fellow associates, vendors and partners. Every day, we work to create a unique and fun environment that values and promotes teamwork and individual contributions. Our goals include looking for possibilities, not obstacles, to help us strive for breakthrough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Engagement</w:t>
      </w:r>
    </w:p>
    <w:p>
      <w:pPr>
        <w:spacing w:after="0" w:line="223" w:lineRule="exact"/>
        <w:rPr>
          <w:sz w:val="20"/>
          <w:szCs w:val="20"/>
          <w:color w:val="auto"/>
        </w:rPr>
      </w:pPr>
    </w:p>
    <w:p>
      <w:pPr>
        <w:ind w:firstLine="468"/>
        <w:spacing w:after="0" w:line="260" w:lineRule="auto"/>
        <w:rPr>
          <w:sz w:val="20"/>
          <w:szCs w:val="20"/>
          <w:color w:val="auto"/>
        </w:rPr>
      </w:pPr>
      <w:r>
        <w:rPr>
          <w:rFonts w:ascii="Times New Roman" w:cs="Times New Roman" w:eastAsia="Times New Roman" w:hAnsi="Times New Roman"/>
          <w:sz w:val="17"/>
          <w:szCs w:val="17"/>
          <w:color w:val="auto"/>
        </w:rPr>
        <w:t>We encourage our teams to acknowledge success, recognize individual and team contributions, and to have fun along the way. It is important for our associates to feel that they are a part of a bigger mission to spread joy around the world because, as our founder Maxine Clark said, "a teddy bear hug is understood in every language." We pride ourselves on cultivating engaging connections with associates such as regular Global Bearquarters Meetings, Experience First Fun (monthly in-person events), philanthropic team-building events via our Foundation and periodically scheduled events that facilitate direct access to our leadership team.</w:t>
      </w:r>
    </w:p>
    <w:p>
      <w:pPr>
        <w:ind w:left="480"/>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Capital Management Oversight</w:t>
      </w:r>
    </w:p>
    <w:p>
      <w:pPr>
        <w:spacing w:after="0" w:line="202" w:lineRule="exact"/>
        <w:rPr>
          <w:sz w:val="20"/>
          <w:szCs w:val="20"/>
          <w:color w:val="auto"/>
        </w:rPr>
      </w:pPr>
    </w:p>
    <w:p>
      <w:pPr>
        <w:ind w:right="40" w:firstLine="468"/>
        <w:spacing w:after="0" w:line="263" w:lineRule="auto"/>
        <w:rPr>
          <w:sz w:val="20"/>
          <w:szCs w:val="20"/>
          <w:color w:val="auto"/>
        </w:rPr>
      </w:pPr>
      <w:r>
        <w:rPr>
          <w:rFonts w:ascii="Times New Roman" w:cs="Times New Roman" w:eastAsia="Times New Roman" w:hAnsi="Times New Roman"/>
          <w:sz w:val="17"/>
          <w:szCs w:val="17"/>
          <w:color w:val="auto"/>
        </w:rPr>
        <w:t>Our recruitment is all about finding the perfect fit for each position. We seek out individuals who will thrive and contribute to our special Bear family. Our Build-A-Bear HR teams scout for the best talent to fill a wide variety of roles and functions. They rely on various avenues to support their efforts, including internal job placements and promotions, career websites, social media, internships, and temporary hiring services, as well as guests who have a desire to join our team. We have set a minimum age of 18 to work in our stores, Bearhouse, and Bearquarters. We ensure the right fit by providing each of our managers access to digital surveys completed by candidates, as well as interview guides to ensure rigorous interviews are completed. Refence checks and psychological tests are also utilized to help ensure that candidates values align with our mission and vision.</w:t>
      </w:r>
    </w:p>
    <w:p>
      <w:pPr>
        <w:spacing w:after="0" w:line="172" w:lineRule="exact"/>
        <w:rPr>
          <w:sz w:val="20"/>
          <w:szCs w:val="20"/>
          <w:color w:val="auto"/>
        </w:rPr>
      </w:pPr>
    </w:p>
    <w:p>
      <w:pPr>
        <w:ind w:right="160" w:firstLine="468"/>
        <w:spacing w:after="0" w:line="265" w:lineRule="auto"/>
        <w:rPr>
          <w:sz w:val="20"/>
          <w:szCs w:val="20"/>
          <w:color w:val="auto"/>
        </w:rPr>
      </w:pPr>
      <w:r>
        <w:rPr>
          <w:rFonts w:ascii="Times New Roman" w:cs="Times New Roman" w:eastAsia="Times New Roman" w:hAnsi="Times New Roman"/>
          <w:sz w:val="17"/>
          <w:szCs w:val="17"/>
          <w:color w:val="auto"/>
        </w:rPr>
        <w:t>Once hired, our field talent development strategy focuses on the entire employee lifecycle. We provide comprehensive training programs that are tailored to different roles and responsibilities, both when employees join the Company and on an ongoing basis. We strive to nurture organizational capabilities through associate development, programs, and processes that help Build-A-Bear achieve its vision. Learning never stops at our Company as we are committed to the development of our people and take a promote-from-within approach. We help our associates develop their skills and build their confidence to be the best versions of themselves.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Philosophy, Benefits, and Wellness</w:t>
      </w:r>
    </w:p>
    <w:p>
      <w:pPr>
        <w:spacing w:after="0" w:line="223" w:lineRule="exact"/>
        <w:rPr>
          <w:sz w:val="20"/>
          <w:szCs w:val="20"/>
          <w:color w:val="auto"/>
        </w:rPr>
      </w:pPr>
    </w:p>
    <w:p>
      <w:pPr>
        <w:ind w:right="60" w:firstLine="624"/>
        <w:spacing w:after="0" w:line="265" w:lineRule="auto"/>
        <w:rPr>
          <w:sz w:val="20"/>
          <w:szCs w:val="20"/>
          <w:color w:val="auto"/>
        </w:rPr>
      </w:pPr>
      <w:r>
        <w:rPr>
          <w:rFonts w:ascii="Times New Roman" w:cs="Times New Roman" w:eastAsia="Times New Roman" w:hAnsi="Times New Roman"/>
          <w:sz w:val="17"/>
          <w:szCs w:val="17"/>
          <w:color w:val="auto"/>
        </w:rPr>
        <w:t>Our approach to compensation focuses on consistency and fairness across our offices, distribution centers, and stores world-wide. We have conducted compensation risk assessments to evaluate our pay practices and policies to help identify if there are high-risk compensation plans and assist us in better understanding which plans may pose moderate risks. Results of the assessments are shared with the Compensation and Human Capital Committee of our Board of Directors to inform its review of the Company's base salary and bonus initiatives, incentive bonus framework, as well as executive and director compensations assessments.</w:t>
      </w:r>
    </w:p>
    <w:p>
      <w:pPr>
        <w:spacing w:after="0" w:line="170"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We continuously strive to make Build-A-Bear a fun place and make it a point to care about the health, well-being, and long-term financial security of our associates and their families. We achieve this with our comprehensive health coverage and other important employee benefits including paid time off, savings and retirement benefits, and life and disability insurance. We also provide an online corporate perquisites program, a scholarship program, as well as employee assistance programs, most notably the Beverly Fund, created to honor one of our associates who lost their battle with cancer.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Giving Back: Philanthropy and Social Impact</w:t>
      </w:r>
    </w:p>
    <w:p>
      <w:pPr>
        <w:spacing w:after="0" w:line="223" w:lineRule="exact"/>
        <w:rPr>
          <w:sz w:val="20"/>
          <w:szCs w:val="20"/>
          <w:color w:val="auto"/>
        </w:rPr>
      </w:pPr>
    </w:p>
    <w:p>
      <w:pPr>
        <w:ind w:firstLine="468"/>
        <w:spacing w:after="0" w:line="271" w:lineRule="auto"/>
        <w:rPr>
          <w:sz w:val="20"/>
          <w:szCs w:val="20"/>
          <w:color w:val="auto"/>
        </w:rPr>
      </w:pPr>
      <w:r>
        <w:rPr>
          <w:rFonts w:ascii="Times New Roman" w:cs="Times New Roman" w:eastAsia="Times New Roman" w:hAnsi="Times New Roman"/>
          <w:sz w:val="17"/>
          <w:szCs w:val="17"/>
          <w:color w:val="auto"/>
        </w:rPr>
        <w:t>The act of giving – providing support and caring for one another – is one of our core values and has been a pillar of our brand throughout our history. Our giving program comes to life through the work of the Build-A-Bear Foundation and the generous acts of our associates and guests. Founded in 2004, the Build-A-Bear Foundation is the charitable arm of our Company. Its mission is to add a little more to life by sharing hugs, inspiring creativity, and supporting those in need.</w:t>
      </w:r>
    </w:p>
    <w:p>
      <w:pPr>
        <w:spacing w:after="0" w:line="379" w:lineRule="exact"/>
        <w:rPr>
          <w:sz w:val="20"/>
          <w:szCs w:val="20"/>
          <w:color w:val="auto"/>
        </w:rPr>
      </w:pPr>
    </w:p>
    <w:p>
      <w:pPr>
        <w:jc w:val="both"/>
        <w:ind w:right="240" w:firstLine="468"/>
        <w:spacing w:after="0" w:line="274" w:lineRule="auto"/>
        <w:rPr>
          <w:sz w:val="20"/>
          <w:szCs w:val="20"/>
          <w:color w:val="auto"/>
        </w:rPr>
      </w:pPr>
      <w:r>
        <w:rPr>
          <w:rFonts w:ascii="Times New Roman" w:cs="Times New Roman" w:eastAsia="Times New Roman" w:hAnsi="Times New Roman"/>
          <w:sz w:val="17"/>
          <w:szCs w:val="17"/>
          <w:color w:val="auto"/>
        </w:rPr>
        <w:t>Our giving strategy is driven by three impactful programs: The Build-A-Bear Foundation Literacy Programs, the Hearts’ ‘n’ ‘Hugs Fund and charitable partnerships that cultivate community strength and impact by funding remarkable organizations that empower people to overcome serious challenges and meet the diverse needs in our communities.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3" w:lineRule="exact"/>
        <w:rPr>
          <w:sz w:val="20"/>
          <w:szCs w:val="20"/>
          <w:color w:val="auto"/>
        </w:rPr>
      </w:pPr>
    </w:p>
    <w:p>
      <w:pPr>
        <w:jc w:val="both"/>
        <w:ind w:left="20" w:firstLine="468"/>
        <w:spacing w:after="0" w:line="268" w:lineRule="auto"/>
        <w:rPr>
          <w:sz w:val="20"/>
          <w:szCs w:val="20"/>
          <w:color w:val="auto"/>
        </w:rPr>
      </w:pPr>
      <w:r>
        <w:rPr>
          <w:rFonts w:ascii="Times New Roman" w:cs="Times New Roman" w:eastAsia="Times New Roman" w:hAnsi="Times New Roman"/>
          <w:sz w:val="17"/>
          <w:szCs w:val="17"/>
          <w:color w:val="auto"/>
        </w:rPr>
        <w:t>As our company has diversified and evolved, we view our competition through a number of categories. For our retail stores, we view the Build-A-Bear Workshop store experience as a distinctive combination of entertainment and retail with limited direct competition. 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68" w:lineRule="exact"/>
        <w:rPr>
          <w:sz w:val="20"/>
          <w:szCs w:val="20"/>
          <w:color w:val="auto"/>
        </w:rPr>
      </w:pPr>
    </w:p>
    <w:p>
      <w:pPr>
        <w:jc w:val="both"/>
        <w:ind w:left="20" w:firstLine="468"/>
        <w:spacing w:after="0" w:line="274" w:lineRule="auto"/>
        <w:rPr>
          <w:sz w:val="20"/>
          <w:szCs w:val="20"/>
          <w:color w:val="auto"/>
        </w:rPr>
      </w:pPr>
      <w:r>
        <w:rPr>
          <w:rFonts w:ascii="Times New Roman" w:cs="Times New Roman" w:eastAsia="Times New Roman" w:hAnsi="Times New Roman"/>
          <w:sz w:val="17"/>
          <w:szCs w:val="17"/>
          <w:color w:val="auto"/>
        </w:rPr>
        <w:t>Since our signature products, teddy bears and other stuffed animals, are included in the toy category, we compete indirectly with a number of companies that sell plush products or premium children’s toys, including, but not limited to, Ty, Mattel, Hasbro, and Lego. We also compete with toy retailers including online and mass merchandisers such as Amazon, Walmart, and Target.</w:t>
      </w:r>
    </w:p>
    <w:p>
      <w:pPr>
        <w:sectPr>
          <w:pgSz w:w="11900" w:h="16838" w:orient="portrait"/>
          <w:cols w:equalWidth="0" w:num="1">
            <w:col w:w="11260"/>
          </w:cols>
          <w:pgMar w:left="300" w:top="121" w:right="339" w:bottom="80" w:gutter="0" w:footer="0" w:header="0"/>
        </w:sectPr>
      </w:pPr>
    </w:p>
    <w:bookmarkStart w:id="8" w:name="page9"/>
    <w:bookmarkEnd w:id="8"/>
    <w:p>
      <w:pPr>
        <w:jc w:val="both"/>
        <w:ind w:left="40" w:firstLine="468"/>
        <w:spacing w:after="0" w:line="274" w:lineRule="auto"/>
        <w:rPr>
          <w:sz w:val="20"/>
          <w:szCs w:val="20"/>
          <w:color w:val="auto"/>
        </w:rPr>
      </w:pPr>
      <w:r>
        <w:rPr>
          <w:rFonts w:ascii="Times New Roman" w:cs="Times New Roman" w:eastAsia="Times New Roman" w:hAnsi="Times New Roman"/>
          <w:sz w:val="17"/>
          <w:szCs w:val="17"/>
          <w:color w:val="auto"/>
        </w:rPr>
        <w:t>Additionally, because approximately one-third of our business is associated with birthdays and/or parties and as our gift-giving and affinity business has grown, our competition has also expanded to include gift-giving and collectibles businesses as well as companies that compete for family leisure time and entertainment dollars such as movie theaters, amusement parks, arcades, and party venues.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Intellectual Property and Trademarks</w:t>
      </w:r>
    </w:p>
    <w:p>
      <w:pPr>
        <w:spacing w:after="0" w:line="223" w:lineRule="exact"/>
        <w:rPr>
          <w:sz w:val="20"/>
          <w:szCs w:val="20"/>
          <w:color w:val="auto"/>
        </w:rPr>
      </w:pPr>
    </w:p>
    <w:p>
      <w:pPr>
        <w:jc w:val="both"/>
        <w:ind w:left="40" w:firstLine="468"/>
        <w:spacing w:after="0" w:line="274" w:lineRule="auto"/>
        <w:rPr>
          <w:sz w:val="20"/>
          <w:szCs w:val="20"/>
          <w:color w:val="auto"/>
        </w:rPr>
      </w:pPr>
      <w:r>
        <w:rPr>
          <w:rFonts w:ascii="Times New Roman" w:cs="Times New Roman" w:eastAsia="Times New Roman" w:hAnsi="Times New Roman"/>
          <w:sz w:val="17"/>
          <w:szCs w:val="17"/>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63" w:lineRule="exact"/>
        <w:rPr>
          <w:sz w:val="20"/>
          <w:szCs w:val="20"/>
          <w:color w:val="auto"/>
        </w:rPr>
      </w:pPr>
    </w:p>
    <w:p>
      <w:pPr>
        <w:jc w:val="both"/>
        <w:ind w:left="40" w:firstLine="468"/>
        <w:spacing w:after="0" w:line="265" w:lineRule="auto"/>
        <w:rPr>
          <w:sz w:val="20"/>
          <w:szCs w:val="20"/>
          <w:color w:val="auto"/>
        </w:rPr>
      </w:pPr>
      <w:r>
        <w:rPr>
          <w:rFonts w:ascii="Times New Roman" w:cs="Times New Roman" w:eastAsia="Times New Roman" w:hAnsi="Times New Roman"/>
          <w:sz w:val="17"/>
          <w:szCs w:val="17"/>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NBCUniversal, Lucasfilm, Warner Bros., Pokémon, ViacomCBS, Nintendo, Sanrio, and major professional sports leagues along with other culturally relevant brands.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Availability of Information</w:t>
      </w:r>
    </w:p>
    <w:p>
      <w:pPr>
        <w:spacing w:after="0" w:line="223" w:lineRule="exact"/>
        <w:rPr>
          <w:sz w:val="20"/>
          <w:szCs w:val="20"/>
          <w:color w:val="auto"/>
        </w:rPr>
      </w:pPr>
    </w:p>
    <w:p>
      <w:pPr>
        <w:jc w:val="both"/>
        <w:ind w:right="120" w:firstLine="468"/>
        <w:spacing w:after="0" w:line="261" w:lineRule="auto"/>
        <w:rPr>
          <w:sz w:val="20"/>
          <w:szCs w:val="20"/>
          <w:color w:val="auto"/>
        </w:rPr>
      </w:pPr>
      <w:r>
        <w:rPr>
          <w:rFonts w:ascii="Times New Roman" w:cs="Times New Roman" w:eastAsia="Times New Roman" w:hAnsi="Times New Roman"/>
          <w:sz w:val="17"/>
          <w:szCs w:val="17"/>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practical after we electronically file such material with, or furnish it to, the SEC. You may also request copies of these materials without charge by writing to our Investor Relations department at Build-A-Bear Workshop, Inc. World Headquarters, 415 South 18th Street, St. Louis, MO 63103.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1A.</w:t>
      </w:r>
    </w:p>
    <w:p>
      <w:pPr>
        <w:spacing w:after="0" w:line="200" w:lineRule="exact"/>
        <w:rPr>
          <w:sz w:val="20"/>
          <w:szCs w:val="20"/>
          <w:color w:val="auto"/>
        </w:rPr>
      </w:pPr>
    </w:p>
    <w:p>
      <w:pPr>
        <w:jc w:val="both"/>
        <w:ind w:right="120" w:firstLine="468"/>
        <w:spacing w:after="0" w:line="269" w:lineRule="auto"/>
        <w:rPr>
          <w:sz w:val="20"/>
          <w:szCs w:val="20"/>
          <w:color w:val="auto"/>
        </w:rPr>
      </w:pPr>
      <w:r>
        <w:rPr>
          <w:rFonts w:ascii="Times New Roman" w:cs="Times New Roman" w:eastAsia="Times New Roman" w:hAnsi="Times New Roman"/>
          <w:sz w:val="17"/>
          <w:szCs w:val="17"/>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 Additional risks not currently known to us or that we presently deem immaterial may also impair our business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AND INDUSTRY RISKS</w:t>
      </w:r>
    </w:p>
    <w:p>
      <w:pPr>
        <w:spacing w:after="0" w:line="221" w:lineRule="exact"/>
        <w:rPr>
          <w:sz w:val="20"/>
          <w:szCs w:val="20"/>
          <w:color w:val="auto"/>
        </w:rPr>
      </w:pPr>
    </w:p>
    <w:p>
      <w:pPr>
        <w:jc w:val="both"/>
        <w:ind w:right="360"/>
        <w:spacing w:after="0" w:line="275" w:lineRule="auto"/>
        <w:rPr>
          <w:sz w:val="20"/>
          <w:szCs w:val="20"/>
          <w:color w:val="auto"/>
        </w:rPr>
      </w:pPr>
      <w:r>
        <w:rPr>
          <w:rFonts w:ascii="Times New Roman" w:cs="Times New Roman" w:eastAsia="Times New Roman" w:hAnsi="Times New Roman"/>
          <w:sz w:val="17"/>
          <w:szCs w:val="17"/>
          <w:b w:val="1"/>
          <w:bCs w:val="1"/>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63"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inflation, levels of employment, salaries and wage rates, consumer confidence and consumer perception of economic conditions. A slowdown in the North American or European economies or in the economies of the countries in which our franchisees and third-party retail partners operate or uncertainty as to the economic outlook could reduce discretionary spending or cause a shift in consumer discretionary spending to other products. For example, the potential adverse effects of inflation, or geopolitical conflicts could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our financial condition which may affect our ability to access capital resources under our credit agreement. The amount available for borrowing could be restricted under our agreement if the amount of assets used to calculate the borrowing base (specified percentages of eligible credit card receivables, eligible inventory, and, under certain circumstances, eligible foreign in-transit inventory and, in the discretion of the agent, eligible receivables) decreases.</w:t>
      </w:r>
    </w:p>
    <w:p>
      <w:pPr>
        <w:spacing w:after="0" w:line="177" w:lineRule="exact"/>
        <w:rPr>
          <w:sz w:val="20"/>
          <w:szCs w:val="20"/>
          <w:color w:val="auto"/>
        </w:rPr>
      </w:pPr>
    </w:p>
    <w:p>
      <w:pPr>
        <w:ind w:right="40" w:firstLine="468"/>
        <w:spacing w:after="0" w:line="274" w:lineRule="auto"/>
        <w:rPr>
          <w:sz w:val="20"/>
          <w:szCs w:val="20"/>
          <w:color w:val="auto"/>
        </w:rPr>
      </w:pPr>
      <w:r>
        <w:rPr>
          <w:rFonts w:ascii="Times New Roman" w:cs="Times New Roman" w:eastAsia="Times New Roman" w:hAnsi="Times New Roman"/>
          <w:sz w:val="17"/>
          <w:szCs w:val="17"/>
          <w:color w:val="auto"/>
        </w:rPr>
        <w:t>Inflation had an adverse effect on our business operations in fiscal 2024, predominately through rising store labor costs. Although we took actions to mitigate these pressures, such as strategic price increases on highly sought-after products, there can be no assurance that we will be able continue these actions or that they will be successful in the future. We expect the inflationary pressures experienced in fiscal 2024 to continue in the fiscal year 2025.</w:t>
      </w:r>
    </w:p>
    <w:p>
      <w:pPr>
        <w:spacing w:after="0" w:line="163" w:lineRule="exact"/>
        <w:rPr>
          <w:sz w:val="20"/>
          <w:szCs w:val="20"/>
          <w:color w:val="auto"/>
        </w:rPr>
      </w:pPr>
    </w:p>
    <w:p>
      <w:pPr>
        <w:ind w:left="140" w:right="20" w:firstLine="312"/>
        <w:spacing w:after="0" w:line="274" w:lineRule="auto"/>
        <w:rPr>
          <w:sz w:val="20"/>
          <w:szCs w:val="20"/>
          <w:color w:val="auto"/>
        </w:rPr>
      </w:pPr>
      <w:r>
        <w:rPr>
          <w:rFonts w:ascii="Times New Roman" w:cs="Times New Roman" w:eastAsia="Times New Roman" w:hAnsi="Times New Roman"/>
          <w:sz w:val="17"/>
          <w:szCs w:val="17"/>
          <w:color w:val="auto"/>
        </w:rPr>
        <w:t>We continue to monitor the impact of inflation and tariffs on our business operations on an ongoing basis and may need to adjust our prices further to mitigate the impacts of changes to the inflation rate during 2025 or in future years. These select price increases could have a negative impact on demand for our products.</w:t>
      </w:r>
    </w:p>
    <w:p>
      <w:pPr>
        <w:spacing w:after="0" w:line="163" w:lineRule="exact"/>
        <w:rPr>
          <w:sz w:val="20"/>
          <w:szCs w:val="20"/>
          <w:color w:val="auto"/>
        </w:rPr>
      </w:pPr>
    </w:p>
    <w:p>
      <w:pPr>
        <w:ind w:right="180" w:firstLine="468"/>
        <w:spacing w:after="0" w:line="265" w:lineRule="auto"/>
        <w:rPr>
          <w:sz w:val="20"/>
          <w:szCs w:val="20"/>
          <w:color w:val="auto"/>
        </w:rPr>
      </w:pPr>
      <w:r>
        <w:rPr>
          <w:rFonts w:ascii="Times New Roman" w:cs="Times New Roman" w:eastAsia="Times New Roman" w:hAnsi="Times New Roman"/>
          <w:sz w:val="17"/>
          <w:szCs w:val="17"/>
          <w:color w:val="auto"/>
        </w:rPr>
        <w:t>Weakened economic conditions, lowered employment levels or recessions in any of our major markets may also significantly impair consumer spending and reduce purchases of our products. Economic conditions may also be negatively impacted by terrorist attacks, wars, geopolitical shifts, and other conflicts, such as the current Russia-Ukraine crisis and the Israel-Hamas conflict that has heightened geopolitical tensions in the Middle East region, as well as natural disasters, increases in commodity prices or labor costs, or the prospect of such events. Such a weakened economic and business climate, as well as consumer uncertainty created by such a climate, could harm our revenues and profitability.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left="100" w:right="240" w:firstLine="468"/>
        <w:spacing w:after="0" w:line="265" w:lineRule="auto"/>
        <w:rPr>
          <w:sz w:val="20"/>
          <w:szCs w:val="20"/>
          <w:color w:val="auto"/>
        </w:rPr>
      </w:pPr>
      <w:r>
        <w:rPr>
          <w:rFonts w:ascii="Times New Roman" w:cs="Times New Roman" w:eastAsia="Times New Roman" w:hAnsi="Times New Roman"/>
          <w:sz w:val="17"/>
          <w:szCs w:val="17"/>
          <w:color w:val="auto"/>
        </w:rPr>
        <w:t>Our success and profitability depend not only on consumer demand for our products, but also on our ability to produce and sell those products at costs which allow us to make a profit. Whether due to inflation or other factors, tariffs, rising petroleum and material prices, increased transportation and shipping costs, and increased labor costs in the markets in which our products are manufactured and sold all may further increase the costs we incur to produce and transport our products, which in turn may reduce our margins, reduce our profitability, and harm our business, in particular if we are unable to further adjust prices beyond what we were able to do in fiscal 2024, as discussed above.</w:t>
      </w:r>
    </w:p>
    <w:p>
      <w:pPr>
        <w:spacing w:after="0" w:line="168" w:lineRule="exact"/>
        <w:rPr>
          <w:sz w:val="20"/>
          <w:szCs w:val="20"/>
          <w:color w:val="auto"/>
        </w:rPr>
      </w:pPr>
    </w:p>
    <w:p>
      <w:pPr>
        <w:ind w:right="260" w:firstLine="104"/>
        <w:spacing w:after="0" w:line="296" w:lineRule="auto"/>
        <w:rPr>
          <w:sz w:val="20"/>
          <w:szCs w:val="20"/>
          <w:color w:val="auto"/>
        </w:rPr>
      </w:pPr>
      <w:r>
        <w:rPr>
          <w:rFonts w:ascii="Times New Roman" w:cs="Times New Roman" w:eastAsia="Times New Roman" w:hAnsi="Times New Roman"/>
          <w:sz w:val="17"/>
          <w:szCs w:val="17"/>
          <w:b w:val="1"/>
          <w:bCs w:val="1"/>
          <w:color w:val="auto"/>
        </w:rPr>
        <w:t>The impact of the significant tariffs on countries from which we import is expected to have an impact on our business, mainly our cost of goods and t margin.</w:t>
      </w:r>
    </w:p>
    <w:p>
      <w:pPr>
        <w:spacing w:after="0" w:line="144" w:lineRule="exact"/>
        <w:rPr>
          <w:sz w:val="20"/>
          <w:szCs w:val="20"/>
          <w:color w:val="auto"/>
        </w:rPr>
      </w:pPr>
    </w:p>
    <w:p>
      <w:pPr>
        <w:ind w:left="100" w:right="120" w:firstLine="468"/>
        <w:spacing w:after="0" w:line="274" w:lineRule="auto"/>
        <w:rPr>
          <w:sz w:val="20"/>
          <w:szCs w:val="20"/>
          <w:color w:val="auto"/>
        </w:rPr>
      </w:pPr>
      <w:r>
        <w:rPr>
          <w:rFonts w:ascii="Times New Roman" w:cs="Times New Roman" w:eastAsia="Times New Roman" w:hAnsi="Times New Roman"/>
          <w:sz w:val="17"/>
          <w:szCs w:val="17"/>
          <w:color w:val="auto"/>
        </w:rPr>
        <w:t>The recent enactment of tariffs by the U.S. government, including a tariff on all imported goods and targeting specific countries, along with the unpredictability of the rates, poses a significant risk to our business operations. As a company that sources a substantial portion of our inventory from Vietnam and China, these tariffs are expected to increase the cost of goods sold, which could adversely affect our profit margins.</w:t>
      </w:r>
    </w:p>
    <w:p>
      <w:pPr>
        <w:spacing w:after="0" w:line="163" w:lineRule="exact"/>
        <w:rPr>
          <w:sz w:val="20"/>
          <w:szCs w:val="20"/>
          <w:color w:val="auto"/>
        </w:rPr>
      </w:pPr>
    </w:p>
    <w:p>
      <w:pPr>
        <w:ind w:left="100" w:firstLine="468"/>
        <w:spacing w:after="0" w:line="293" w:lineRule="auto"/>
        <w:rPr>
          <w:sz w:val="20"/>
          <w:szCs w:val="20"/>
          <w:color w:val="auto"/>
        </w:rPr>
      </w:pPr>
      <w:r>
        <w:rPr>
          <w:rFonts w:ascii="Times New Roman" w:cs="Times New Roman" w:eastAsia="Times New Roman" w:hAnsi="Times New Roman"/>
          <w:sz w:val="17"/>
          <w:szCs w:val="17"/>
          <w:color w:val="auto"/>
        </w:rPr>
        <w:t>The tariffs may lead to higher prices for our products, potentially reducing consumer demand and impacting our sales volume. Additionally, the increased costs could force us to seek alternative suppliers, which may result in supply chain disruptions and further cost increases.</w:t>
      </w:r>
    </w:p>
    <w:p>
      <w:pPr>
        <w:spacing w:after="0" w:line="147" w:lineRule="exact"/>
        <w:rPr>
          <w:sz w:val="20"/>
          <w:szCs w:val="20"/>
          <w:color w:val="auto"/>
        </w:rPr>
      </w:pPr>
    </w:p>
    <w:p>
      <w:pPr>
        <w:ind w:left="100" w:right="340" w:firstLine="468"/>
        <w:spacing w:after="0" w:line="274" w:lineRule="auto"/>
        <w:rPr>
          <w:sz w:val="20"/>
          <w:szCs w:val="20"/>
          <w:color w:val="auto"/>
        </w:rPr>
      </w:pPr>
      <w:r>
        <w:rPr>
          <w:rFonts w:ascii="Times New Roman" w:cs="Times New Roman" w:eastAsia="Times New Roman" w:hAnsi="Times New Roman"/>
          <w:sz w:val="17"/>
          <w:szCs w:val="17"/>
          <w:color w:val="auto"/>
        </w:rPr>
        <w:t>We are actively monitoring the situation and exploring strategies to mitigate these risks, including negotiating with suppliers, adjusting our pricing strategies, and seeking tariff exemptions where possible. However, there can be no assurance that these measures will fully offset the negative impact of the tariffs on our business.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Given the uncertainty regarding the scope and duration of the current and potential tariffs, as well as the potential for additional trade actions by the U.S.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or other countries, the specific impact on our business, results of operations, and financial condition is uncertain but could be significant.</w:t>
      </w:r>
    </w:p>
    <w:p>
      <w:pPr>
        <w:spacing w:after="0" w:line="200" w:lineRule="exact"/>
        <w:rPr>
          <w:sz w:val="20"/>
          <w:szCs w:val="20"/>
          <w:color w:val="auto"/>
        </w:rPr>
      </w:pPr>
    </w:p>
    <w:p>
      <w:pPr>
        <w:jc w:val="both"/>
        <w:ind w:left="100" w:right="40"/>
        <w:spacing w:after="0" w:line="296" w:lineRule="auto"/>
        <w:rPr>
          <w:sz w:val="20"/>
          <w:szCs w:val="20"/>
          <w:color w:val="auto"/>
        </w:rPr>
      </w:pPr>
      <w:r>
        <w:rPr>
          <w:rFonts w:ascii="Times New Roman" w:cs="Times New Roman" w:eastAsia="Times New Roman" w:hAnsi="Times New Roman"/>
          <w:sz w:val="17"/>
          <w:szCs w:val="17"/>
          <w:b w:val="1"/>
          <w:bCs w:val="1"/>
          <w:color w:val="auto"/>
        </w:rPr>
        <w:t>Consumer interests can change rapidly, and our success depends on the ongoing effectiveness of our marketing and online initiatives to build consumer affinity for our brand and drive consumer demand for our products and services.</w:t>
      </w:r>
    </w:p>
    <w:p>
      <w:pPr>
        <w:spacing w:after="0" w:line="144" w:lineRule="exact"/>
        <w:rPr>
          <w:sz w:val="20"/>
          <w:szCs w:val="20"/>
          <w:color w:val="auto"/>
        </w:rPr>
      </w:pPr>
    </w:p>
    <w:p>
      <w:pPr>
        <w:jc w:val="both"/>
        <w:ind w:left="100" w:right="20" w:firstLine="468"/>
        <w:spacing w:after="0" w:line="268" w:lineRule="auto"/>
        <w:rPr>
          <w:sz w:val="20"/>
          <w:szCs w:val="20"/>
          <w:color w:val="auto"/>
        </w:rPr>
      </w:pPr>
      <w:r>
        <w:rPr>
          <w:rFonts w:ascii="Times New Roman" w:cs="Times New Roman" w:eastAsia="Times New Roman" w:hAnsi="Times New Roman"/>
          <w:sz w:val="17"/>
          <w:szCs w:val="17"/>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resulting in licensing relationships in a profitable manner and future marketing and advertising efforts that we undertake, including our ability to:</w:t>
      </w:r>
    </w:p>
    <w:p>
      <w:pPr>
        <w:spacing w:after="0" w:line="168" w:lineRule="exact"/>
        <w:rPr>
          <w:sz w:val="20"/>
          <w:szCs w:val="20"/>
          <w:color w:val="auto"/>
        </w:rPr>
      </w:pPr>
    </w:p>
    <w:p>
      <w:pPr>
        <w:ind w:left="580" w:hanging="359"/>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greater awareness and affinity of our brand, interactive shopping experience and products;</w:t>
      </w:r>
    </w:p>
    <w:p>
      <w:pPr>
        <w:spacing w:after="0" w:line="220" w:lineRule="exact"/>
        <w:rPr>
          <w:rFonts w:ascii="Times New Roman" w:cs="Times New Roman" w:eastAsia="Times New Roman" w:hAnsi="Times New Roman"/>
          <w:sz w:val="17"/>
          <w:szCs w:val="17"/>
          <w:color w:val="auto"/>
        </w:rPr>
      </w:pPr>
    </w:p>
    <w:p>
      <w:pPr>
        <w:ind w:left="580" w:hanging="359"/>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consumer awareness into store and e-commerce site visits and product purchases;</w:t>
      </w:r>
    </w:p>
    <w:p>
      <w:pPr>
        <w:spacing w:after="0" w:line="220" w:lineRule="exact"/>
        <w:rPr>
          <w:rFonts w:ascii="Times New Roman" w:cs="Times New Roman" w:eastAsia="Times New Roman" w:hAnsi="Times New Roman"/>
          <w:sz w:val="17"/>
          <w:szCs w:val="17"/>
          <w:color w:val="auto"/>
        </w:rPr>
      </w:pPr>
    </w:p>
    <w:p>
      <w:pPr>
        <w:ind w:left="580" w:hanging="359"/>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optimal level of marketing spend and most efficient marketing channels;</w:t>
      </w:r>
    </w:p>
    <w:p>
      <w:pPr>
        <w:spacing w:after="0" w:line="220" w:lineRule="exact"/>
        <w:rPr>
          <w:rFonts w:ascii="Times New Roman" w:cs="Times New Roman" w:eastAsia="Times New Roman" w:hAnsi="Times New Roman"/>
          <w:sz w:val="17"/>
          <w:szCs w:val="17"/>
          <w:color w:val="auto"/>
        </w:rPr>
      </w:pPr>
    </w:p>
    <w:p>
      <w:pPr>
        <w:ind w:left="580" w:hanging="359"/>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the right geographic areas in which to market;</w:t>
      </w:r>
    </w:p>
    <w:p>
      <w:pPr>
        <w:spacing w:after="0" w:line="220" w:lineRule="exact"/>
        <w:rPr>
          <w:rFonts w:ascii="Times New Roman" w:cs="Times New Roman" w:eastAsia="Times New Roman" w:hAnsi="Times New Roman"/>
          <w:sz w:val="17"/>
          <w:szCs w:val="17"/>
          <w:color w:val="auto"/>
        </w:rPr>
      </w:pPr>
    </w:p>
    <w:p>
      <w:pPr>
        <w:ind w:left="580" w:hanging="359"/>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appropriate creative message and media mix for marketing programs locally, nationally and internationally; and</w:t>
      </w:r>
    </w:p>
    <w:p>
      <w:pPr>
        <w:spacing w:after="0" w:line="220" w:lineRule="exact"/>
        <w:rPr>
          <w:rFonts w:ascii="Times New Roman" w:cs="Times New Roman" w:eastAsia="Times New Roman" w:hAnsi="Times New Roman"/>
          <w:sz w:val="17"/>
          <w:szCs w:val="17"/>
          <w:color w:val="auto"/>
        </w:rPr>
      </w:pPr>
    </w:p>
    <w:p>
      <w:pPr>
        <w:ind w:left="580" w:hanging="359"/>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manage marketing costs (including creative and media) to maintain acceptable operating margins and return on marketing investment.</w:t>
      </w:r>
    </w:p>
    <w:p>
      <w:pPr>
        <w:spacing w:after="0" w:line="221" w:lineRule="exact"/>
        <w:rPr>
          <w:sz w:val="20"/>
          <w:szCs w:val="20"/>
          <w:color w:val="auto"/>
        </w:rPr>
      </w:pPr>
    </w:p>
    <w:p>
      <w:pPr>
        <w:jc w:val="both"/>
        <w:ind w:left="60" w:right="20" w:firstLine="468"/>
        <w:spacing w:after="0" w:line="274" w:lineRule="auto"/>
        <w:rPr>
          <w:sz w:val="20"/>
          <w:szCs w:val="20"/>
          <w:color w:val="auto"/>
        </w:rPr>
      </w:pPr>
      <w:r>
        <w:rPr>
          <w:rFonts w:ascii="Times New Roman" w:cs="Times New Roman" w:eastAsia="Times New Roman" w:hAnsi="Times New Roman"/>
          <w:sz w:val="17"/>
          <w:szCs w:val="17"/>
          <w:color w:val="auto"/>
        </w:rPr>
        <w:t>Our planned marketing expenditures may not increase total sales or generate sufficient product and brand awareness, which could also have a material adverse effect on our financial condition and profitability. Additionally, we have shifted a number of our marketing programs to digital outlets, which may not continue to be as effective as our more traditional, historical programs.</w:t>
      </w:r>
    </w:p>
    <w:p>
      <w:pPr>
        <w:spacing w:after="0" w:line="161" w:lineRule="exact"/>
        <w:rPr>
          <w:sz w:val="20"/>
          <w:szCs w:val="20"/>
          <w:color w:val="auto"/>
        </w:rPr>
      </w:pPr>
    </w:p>
    <w:p>
      <w:pPr>
        <w:jc w:val="both"/>
        <w:ind w:left="100" w:right="20"/>
        <w:spacing w:after="0" w:line="296" w:lineRule="auto"/>
        <w:rPr>
          <w:sz w:val="20"/>
          <w:szCs w:val="20"/>
          <w:color w:val="auto"/>
        </w:rPr>
      </w:pPr>
      <w:r>
        <w:rPr>
          <w:rFonts w:ascii="Times New Roman" w:cs="Times New Roman" w:eastAsia="Times New Roman" w:hAnsi="Times New Roman"/>
          <w:sz w:val="17"/>
          <w:szCs w:val="17"/>
          <w:b w:val="1"/>
          <w:bCs w:val="1"/>
          <w:color w:val="auto"/>
        </w:rPr>
        <w:t>We depend upon the shopping malls and tourist locations in which our stores are located to attract guests. Continued or further volatility in retail consumer traffic could adversely affect our financial performance and profitability.</w:t>
      </w:r>
    </w:p>
    <w:p>
      <w:pPr>
        <w:spacing w:after="0" w:line="144" w:lineRule="exact"/>
        <w:rPr>
          <w:sz w:val="20"/>
          <w:szCs w:val="20"/>
          <w:color w:val="auto"/>
        </w:rPr>
      </w:pPr>
    </w:p>
    <w:p>
      <w:pPr>
        <w:jc w:val="both"/>
        <w:ind w:left="100" w:right="20" w:firstLine="468"/>
        <w:spacing w:after="0" w:line="260" w:lineRule="auto"/>
        <w:rPr>
          <w:sz w:val="20"/>
          <w:szCs w:val="20"/>
          <w:color w:val="auto"/>
        </w:rPr>
      </w:pPr>
      <w:r>
        <w:rPr>
          <w:rFonts w:ascii="Times New Roman" w:cs="Times New Roman" w:eastAsia="Times New Roman" w:hAnsi="Times New Roman"/>
          <w:sz w:val="17"/>
          <w:szCs w:val="17"/>
          <w:color w:val="auto"/>
        </w:rPr>
        <w:t>While we invest in integrated marketing efforts and believe we are more of a destination location than many other retailers, we rely to a great extent on consumer traffic in the malls and tourist locations in which we are located.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While we have had significant growth in our e-commerce sales compared to pre-pandemic levels and continue with initiatives intended to develop and strengthen our online business, most of our sales are generated from our physical store locations. Consumer traffic may also be reduced due to factors such as the economy, civil unrest, actual or threatened acts of terrorism, or other crime in shopping locations, the impact of weather or natural disasters or a decline in consumer confidence resulting from international conflicts or war. A decrease in consumer traffic could have an adverse effect on our financial condition and profitability.</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85725</wp:posOffset>
            </wp:positionV>
            <wp:extent cx="7137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220" w:top="12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may be adversely impacted at any time by various significant competitive threats.</w:t>
      </w:r>
    </w:p>
    <w:p>
      <w:pPr>
        <w:spacing w:after="0" w:line="223" w:lineRule="exact"/>
        <w:rPr>
          <w:sz w:val="20"/>
          <w:szCs w:val="20"/>
          <w:color w:val="auto"/>
        </w:rPr>
      </w:pPr>
    </w:p>
    <w:p>
      <w:pPr>
        <w:jc w:val="both"/>
        <w:ind w:right="100" w:firstLine="468"/>
        <w:spacing w:after="0" w:line="260" w:lineRule="auto"/>
        <w:rPr>
          <w:sz w:val="20"/>
          <w:szCs w:val="20"/>
          <w:color w:val="auto"/>
        </w:rPr>
      </w:pPr>
      <w:r>
        <w:rPr>
          <w:rFonts w:ascii="Times New Roman" w:cs="Times New Roman" w:eastAsia="Times New Roman" w:hAnsi="Times New Roman"/>
          <w:sz w:val="17"/>
          <w:szCs w:val="17"/>
          <w:color w:val="auto"/>
        </w:rPr>
        <w:t>We operate in a highly competitive environment characterized by low barriers to entry. We compete against a diverse group of competitors. Because we have mall-based locations, we see our competition as other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spacing w:after="0" w:line="179" w:lineRule="exact"/>
        <w:rPr>
          <w:sz w:val="20"/>
          <w:szCs w:val="20"/>
          <w:color w:val="auto"/>
        </w:rPr>
      </w:pPr>
    </w:p>
    <w:p>
      <w:pPr>
        <w:ind w:right="100" w:firstLine="468"/>
        <w:spacing w:after="0" w:line="274" w:lineRule="auto"/>
        <w:rPr>
          <w:sz w:val="20"/>
          <w:szCs w:val="20"/>
          <w:color w:val="auto"/>
        </w:rPr>
      </w:pPr>
      <w:r>
        <w:rPr>
          <w:rFonts w:ascii="Times New Roman" w:cs="Times New Roman" w:eastAsia="Times New Roman" w:hAnsi="Times New Roman"/>
          <w:sz w:val="17"/>
          <w:szCs w:val="17"/>
          <w:color w:val="auto"/>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63" w:lineRule="exact"/>
        <w:rPr>
          <w:sz w:val="20"/>
          <w:szCs w:val="20"/>
          <w:color w:val="auto"/>
        </w:rPr>
      </w:pPr>
    </w:p>
    <w:p>
      <w:pPr>
        <w:jc w:val="both"/>
        <w:ind w:right="100" w:firstLine="468"/>
        <w:spacing w:after="0" w:line="268" w:lineRule="auto"/>
        <w:rPr>
          <w:sz w:val="20"/>
          <w:szCs w:val="20"/>
          <w:color w:val="auto"/>
        </w:rPr>
      </w:pPr>
      <w:r>
        <w:rPr>
          <w:rFonts w:ascii="Times New Roman" w:cs="Times New Roman" w:eastAsia="Times New Roman" w:hAnsi="Times New Roman"/>
          <w:sz w:val="17"/>
          <w:szCs w:val="17"/>
          <w:color w:val="auto"/>
        </w:rPr>
        <w:t>The retail sector has experienced an immense increase in sales initiated online and using mobile applications, as well as online sales for both in-store or curbside pick-up. Online and multi-channel retailers continue to focus on delivery services, with consumers increasingly seeking faster, guaranteed delivery times and low-cost or free shipping. Our ability to be competitive on delivery times and delivery costs depends on many factors, and our failure to successfully manage these factors and offer competitive delivery options could negatively impact the demand for our products and our profit margins.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or regional health pandemics or epidemics could negatively impact our business, financial position and results of operations.</w:t>
      </w:r>
    </w:p>
    <w:p>
      <w:pPr>
        <w:spacing w:after="0" w:line="223" w:lineRule="exact"/>
        <w:rPr>
          <w:sz w:val="20"/>
          <w:szCs w:val="20"/>
          <w:color w:val="auto"/>
        </w:rPr>
      </w:pPr>
    </w:p>
    <w:p>
      <w:pPr>
        <w:ind w:right="20" w:firstLine="468"/>
        <w:spacing w:after="0" w:line="265" w:lineRule="auto"/>
        <w:rPr>
          <w:sz w:val="20"/>
          <w:szCs w:val="20"/>
          <w:color w:val="auto"/>
        </w:rPr>
      </w:pPr>
      <w:r>
        <w:rPr>
          <w:rFonts w:ascii="Times New Roman" w:cs="Times New Roman" w:eastAsia="Times New Roman" w:hAnsi="Times New Roman"/>
          <w:sz w:val="17"/>
          <w:szCs w:val="17"/>
          <w:color w:val="auto"/>
        </w:rPr>
        <w:t>The extent to which a pandemic may impact our operational and financial performance remains uncertain and will depend on many factors outside of our control, including the timing, extent, trajectory and duration of the pandemic, the emergence of new variants, the development, availability, distribution and effectiveness of vaccines and treatments, the imposition of protective public safety measures, and the impact of the pandemic on the global economy and demand for our products. Additional future impacts may include, but are not limited to, material adverse effects on demand for our products and interactive experience, supply chain operations disruptions, our ability to execute strategic plans and to predict future performance, and our financial performance and profitability.</w:t>
      </w:r>
    </w:p>
    <w:p>
      <w:pPr>
        <w:spacing w:after="0" w:line="170" w:lineRule="exact"/>
        <w:rPr>
          <w:sz w:val="20"/>
          <w:szCs w:val="20"/>
          <w:color w:val="auto"/>
        </w:rPr>
      </w:pPr>
    </w:p>
    <w:p>
      <w:pPr>
        <w:ind w:right="80" w:firstLine="468"/>
        <w:spacing w:after="0" w:line="274" w:lineRule="auto"/>
        <w:rPr>
          <w:sz w:val="20"/>
          <w:szCs w:val="20"/>
          <w:color w:val="auto"/>
        </w:rPr>
      </w:pPr>
      <w:r>
        <w:rPr>
          <w:rFonts w:ascii="Times New Roman" w:cs="Times New Roman" w:eastAsia="Times New Roman" w:hAnsi="Times New Roman"/>
          <w:sz w:val="17"/>
          <w:szCs w:val="17"/>
          <w:color w:val="auto"/>
        </w:rPr>
        <w:t>To the extent a pandemic adversely affects our business, operations, financial condition and operating results, it may also heighten many of the other risks described in this “Risk Factors” section, such as those relating to retail consumer traffic, general global economic conditions, and demand for our interactive retail experience.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profitability could be adversely affected by fluctuations in petroleum product prices.</w:t>
      </w:r>
    </w:p>
    <w:p>
      <w:pPr>
        <w:spacing w:after="0" w:line="223" w:lineRule="exact"/>
        <w:rPr>
          <w:sz w:val="20"/>
          <w:szCs w:val="20"/>
          <w:color w:val="auto"/>
        </w:rPr>
      </w:pPr>
    </w:p>
    <w:p>
      <w:pPr>
        <w:ind w:firstLine="468"/>
        <w:spacing w:after="0" w:line="262" w:lineRule="auto"/>
        <w:rPr>
          <w:sz w:val="20"/>
          <w:szCs w:val="20"/>
          <w:color w:val="auto"/>
        </w:rPr>
      </w:pPr>
      <w:r>
        <w:rPr>
          <w:rFonts w:ascii="Times New Roman" w:cs="Times New Roman" w:eastAsia="Times New Roman" w:hAnsi="Times New Roman"/>
          <w:sz w:val="17"/>
          <w:szCs w:val="17"/>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plush products and stuffing. Volatility in petroleum prices can be due to many external factors that are beyond our control including political, environmental, and economic factors such as hostilities or other conflicts in oil producing areas (including the current Russia-Ukraine conflict and tensions in the Middle East), limitations and/or disruptions in refining and pipeline capacity, and worldwide demand for petroleum. We cannot predict the price of crude oil or resulting petroleum products in the future. We may be unable to pass along to our guests the increased costs resulting from higher petroleum prices. Therefore, any such increase could have an adverse impact on our business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RISKS</w:t>
      </w:r>
    </w:p>
    <w:p>
      <w:pPr>
        <w:spacing w:after="0" w:line="22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7"/>
          <w:szCs w:val="17"/>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44"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We believe that our success depends in large part upon our ability to continue to attract new and repeat guests with our interactive shopping experience, and our ability to anticipate, gauge and respond in a timely manner to changing consumer preferences, such as online buying, and fashion trends including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negative commentary regarding our company or the products we sell may be posted on social media sites and other platforms at any time and may negatively impact our reputation or business.</w:t>
      </w:r>
    </w:p>
    <w:p>
      <w:pPr>
        <w:spacing w:after="0" w:line="179" w:lineRule="exact"/>
        <w:rPr>
          <w:sz w:val="20"/>
          <w:szCs w:val="20"/>
          <w:color w:val="auto"/>
        </w:rPr>
      </w:pPr>
    </w:p>
    <w:p>
      <w:pPr>
        <w:jc w:val="both"/>
        <w:ind w:firstLine="468"/>
        <w:spacing w:after="0" w:line="263" w:lineRule="auto"/>
        <w:rPr>
          <w:sz w:val="20"/>
          <w:szCs w:val="20"/>
          <w:color w:val="auto"/>
        </w:rPr>
      </w:pPr>
      <w:r>
        <w:rPr>
          <w:rFonts w:ascii="Times New Roman" w:cs="Times New Roman" w:eastAsia="Times New Roman" w:hAnsi="Times New Roman"/>
          <w:sz w:val="17"/>
          <w:szCs w:val="17"/>
          <w:color w:val="auto"/>
        </w:rPr>
        <w:t>Our future success depends, in part, on the popularity and consumer demand for brands of licensors such as Sanrio, Disney, NBCUniversal, Lucasfilm, Warner Bros., and Nintendo. If we are not able to meet our contractual commitments or are unable to maintain licensing agreements with key brands, our business may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 thereby adversely affecting our financial condition and profitability.</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If we cannot renew, renegotiate or replace our store leases or enter into leases for new stores on favorable terms, or if we violate any of the terms of our current leases, our revenue and profitability could be harmed.</w:t>
      </w:r>
    </w:p>
    <w:p>
      <w:pPr>
        <w:spacing w:after="0" w:line="144"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We lease all of our corporately-managed store locations. Most of our store leases contain provisions for base rent plus percentage rent based on sales in excess of an agreed-upon minimum annual sales level. Some store leases only include a provision for a percentage of a store's total sales, instead of a fixed base rent amount. A number of our leases include a termination provision that applies if we do not meet certain sales levels during a specified period, typically in the third to fourth year and the sixth to seventh year of the lease, which may be at either the landlord’s option or ours. Although we have largely shifted our leases in North America to shorter term leases to provide flexibility in aligning stores with market trends, this strategy has risk if we renew leases at a time when commercial rental rates are higher than the rate we could have secured with a longer-term lease.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incur expenses and charges associated with those closures that could negatively impact our profitability.</w:t>
      </w:r>
    </w:p>
    <w:p>
      <w:pPr>
        <w:spacing w:after="0" w:line="180"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Additionally, several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63"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Our leases in the U.K. and the Republic of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spacing w:after="0" w:line="1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ind w:right="1120"/>
        <w:spacing w:after="0" w:line="296" w:lineRule="auto"/>
        <w:rPr>
          <w:sz w:val="20"/>
          <w:szCs w:val="20"/>
          <w:color w:val="auto"/>
        </w:rPr>
      </w:pPr>
      <w:r>
        <w:rPr>
          <w:rFonts w:ascii="Times New Roman" w:cs="Times New Roman" w:eastAsia="Times New Roman" w:hAnsi="Times New Roman"/>
          <w:sz w:val="17"/>
          <w:szCs w:val="17"/>
          <w:b w:val="1"/>
          <w:bCs w:val="1"/>
          <w:color w:val="auto"/>
        </w:rPr>
        <w:t>Fail ure to successfully execute our omnichannel and brand expansion strategy and the cost of our investments in e-commerce and digital transformation may materially adversely affect our financial condition and profitability.</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retail industry continues to evolve rapidly</w:t>
      </w:r>
    </w:p>
    <w:p>
      <w:pPr>
        <w:spacing w:after="0" w:line="31" w:lineRule="exact"/>
        <w:rPr>
          <w:sz w:val="20"/>
          <w:szCs w:val="20"/>
          <w:color w:val="auto"/>
        </w:rPr>
      </w:pPr>
    </w:p>
    <w:p>
      <w:pPr>
        <w:jc w:val="both"/>
        <w:ind w:firstLine="468"/>
        <w:spacing w:after="0" w:line="271" w:lineRule="auto"/>
        <w:rPr>
          <w:sz w:val="20"/>
          <w:szCs w:val="20"/>
          <w:color w:val="auto"/>
        </w:rPr>
      </w:pPr>
      <w:r>
        <w:rPr>
          <w:rFonts w:ascii="Times New Roman" w:cs="Times New Roman" w:eastAsia="Times New Roman" w:hAnsi="Times New Roman"/>
          <w:sz w:val="17"/>
          <w:szCs w:val="17"/>
          <w:color w:val="auto"/>
        </w:rPr>
        <w:t>and consumers continue to embrace digital shopping. As a result, the portion of total consumer expenditures with retailers occurring through digital platforms is increasing, and the pace of this increase could continue to accelerate.</w:t>
      </w:r>
    </w:p>
    <w:p>
      <w:pPr>
        <w:spacing w:after="0" w:line="165"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7"/>
          <w:szCs w:val="17"/>
          <w:color w:val="auto"/>
        </w:rPr>
        <w:t>Our strategy, which includes investments in e-commerce platforms, digital technology, and other consumer initiatives, may not adequately or effectively allow us to continue to grow our e-commerce business, increase sales, or grow our position in the specialty retail and gifting and collectibles markets such as adult to adult gifting (e.g., gift boxes), adult driven affinity (e.g., The Bear Cave), and occasion gifting (e.g., graduation, Valentine's Day). The success of our strategy will depend on our ability to continue building and delivering a seamless omnichannel shopping experience for consumers. With an increasing allocation of capital expenditures focused on digital initiatives, our failure to successfully execute on individual components of this initiative may adversely affect our financial performance. In addition, a greater concentration of e-commerce sales could result in a reduction in the amount of traffic in our brick-and-mortar locations and materially adversely affect our financial performance.</w:t>
      </w:r>
    </w:p>
    <w:p>
      <w:pPr>
        <w:spacing w:after="0" w:line="177"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Furthermore, the cost of certain investments in e-commerce and digital technology may adversely impact our financial performance in the short term and failure to realize the benefits of these investments may adversely impact our financial performance over the longer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risks associated with technology and digital operations.</w:t>
      </w:r>
    </w:p>
    <w:p>
      <w:pPr>
        <w:spacing w:after="0" w:line="223" w:lineRule="exact"/>
        <w:rPr>
          <w:sz w:val="20"/>
          <w:szCs w:val="20"/>
          <w:color w:val="auto"/>
        </w:rPr>
      </w:pPr>
    </w:p>
    <w:p>
      <w:pPr>
        <w:jc w:val="both"/>
        <w:ind w:right="120" w:firstLine="468"/>
        <w:spacing w:after="0" w:line="265" w:lineRule="auto"/>
        <w:rPr>
          <w:sz w:val="20"/>
          <w:szCs w:val="20"/>
          <w:color w:val="auto"/>
        </w:rPr>
      </w:pPr>
      <w:r>
        <w:rPr>
          <w:rFonts w:ascii="Times New Roman" w:cs="Times New Roman" w:eastAsia="Times New Roman" w:hAnsi="Times New Roman"/>
          <w:sz w:val="17"/>
          <w:szCs w:val="17"/>
          <w:color w:val="auto"/>
        </w:rPr>
        <w:t>Our operations are subject to numerous technology-related risks, including risks related to the failure of the computer systems that operate our point of sale and inventory systems, websites, mobile sites and their related support systems. We engage key third-party business partners to support various functions of our business, including, but not limited to, information technology, web hosting and cloud-based services. We, and those third-party businesses that support us, are also subject to risks related to computer viruses, telecommunications failures, and other disruptions. Also, we may require additional capital in the future to sustain or grow our technological infrastructure and digital commerce capabilities.</w:t>
      </w:r>
    </w:p>
    <w:p>
      <w:pPr>
        <w:spacing w:after="0" w:line="170" w:lineRule="exact"/>
        <w:rPr>
          <w:sz w:val="20"/>
          <w:szCs w:val="20"/>
          <w:color w:val="auto"/>
        </w:rPr>
      </w:pPr>
    </w:p>
    <w:p>
      <w:pPr>
        <w:jc w:val="both"/>
        <w:ind w:right="120" w:firstLine="468"/>
        <w:spacing w:after="0" w:line="268" w:lineRule="auto"/>
        <w:rPr>
          <w:sz w:val="20"/>
          <w:szCs w:val="20"/>
          <w:color w:val="auto"/>
        </w:rPr>
      </w:pPr>
      <w:r>
        <w:rPr>
          <w:rFonts w:ascii="Times New Roman" w:cs="Times New Roman" w:eastAsia="Times New Roman" w:hAnsi="Times New Roman"/>
          <w:sz w:val="17"/>
          <w:szCs w:val="17"/>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occur, it could have a material adverse effect on our business. Further, as our online sales have increased and have become critical to our growth, the risk of any interruption of our information technology system capabilities is heightened.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w:t>
      </w:r>
    </w:p>
    <w:p>
      <w:pPr>
        <w:spacing w:after="0" w:line="16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7"/>
          <w:szCs w:val="17"/>
          <w:color w:val="auto"/>
        </w:rPr>
        <w:t>Our future results will largely depend on our ability to optimize and maintain store productivity and profitability by strategically evolving our real estate portfolio to align with market trends while selectively opening new locations and systematically refreshing our store base. For example, our real estate development initiatives include a focus on tourist locations due to changing consumer preferences and declining traditional mall traffic, and we cannot be certain that this strategy will be successful. Our ability to manage our portfolio of stores in future years, in desirable locations, and to operate stores profitably, particularly in multi-store markets, are key factors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77" w:lineRule="exact"/>
        <w:rPr>
          <w:sz w:val="20"/>
          <w:szCs w:val="20"/>
          <w:color w:val="auto"/>
        </w:rPr>
      </w:pPr>
    </w:p>
    <w:p>
      <w:pPr>
        <w:jc w:val="both"/>
        <w:ind w:firstLine="468"/>
        <w:spacing w:after="0" w:line="271" w:lineRule="auto"/>
        <w:rPr>
          <w:sz w:val="20"/>
          <w:szCs w:val="20"/>
          <w:color w:val="auto"/>
        </w:rPr>
      </w:pPr>
      <w:r>
        <w:rPr>
          <w:rFonts w:ascii="Times New Roman" w:cs="Times New Roman" w:eastAsia="Times New Roman" w:hAnsi="Times New Roman"/>
          <w:sz w:val="17"/>
          <w:szCs w:val="17"/>
          <w:color w:val="auto"/>
        </w:rPr>
        <w:t>Additionally, in the fiscal year 2024, we operated 25 stores located within other retailers’ stores and 138 stores through our "third-party wholesale" model and franchisees operated 83 stores. These stores have less corporate influence and as such are subject to the operational risks of these companies, including, but not limited to, ineffective store operations, labor disputes, and negative publicity, all of which could negatively impact our sales and operating performance.</w:t>
      </w:r>
    </w:p>
    <w:p>
      <w:pPr>
        <w:spacing w:after="0" w:line="37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7"/>
          <w:szCs w:val="17"/>
          <w:b w:val="1"/>
          <w:bCs w:val="1"/>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spacing w:after="0" w:line="144"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The operation of our stores is dependent on our ability to distribute merchandise to locations throughout the U.S., Canada, and Europe in a timely manner. We own a 350,000-square-foot distribution center in Groveport, Ohio, and rely on this warehouse to receive, store, and distribute merchandise for the majority of our North American locations and to our third-party retail partners. To operate this distribution center, our ability to meet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and Europe. For example, as noted above, in Europe, we contract with a third-party distribution center in Selby, England under an agreement that ends in January 2026. Any significant interruption in the operation of the distribution centers due to natural disasters or severe weather, events such as fire, accidents, power outages, system failures, public health issues such as pandemics or other health risks, or other unforeseen causes could damage a significant portion of our inventory. These factors may also impair our ability to adequately stock our stores and fulfill e-commerce orders and could decrease our sales and increase our costs associated with our supply chain.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 RISKS</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spacing w:after="0" w:line="144"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7"/>
          <w:szCs w:val="17"/>
          <w:color w:val="auto"/>
        </w:rPr>
        <w:t>We do not own or operate any factories that produce our plush products, clothing, shoes or accessories. In fiscal 2024 we purchased 69% of our merchandise from five vendors, compared to 73% in fiscal 2023. These vendors in turn contract for the production of merchandise with multiple manufacturing facilities. Prior to 2020, over 90% of merchandise received annually was produced in China. However, our efforts to diversify our supply chain reduced China sourcing to 58% of merchandise received as production shifted primarily to Vietnam, which provided 38% of our merchandise in 2024.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or long-term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a pandemic, weather related events, natural disasters, trade restrictions, tariffs, changes in local laws, work stoppages or slowdowns, shipping capacity constraints, supply or shipping interruptions, geopolitical issues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7"/>
          <w:szCs w:val="17"/>
          <w:b w:val="1"/>
          <w:bCs w:val="1"/>
          <w:color w:val="auto"/>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63" w:lineRule="exact"/>
        <w:rPr>
          <w:sz w:val="20"/>
          <w:szCs w:val="20"/>
          <w:color w:val="auto"/>
        </w:rPr>
      </w:pPr>
    </w:p>
    <w:p>
      <w:pPr>
        <w:ind w:firstLine="468"/>
        <w:spacing w:after="0" w:line="260" w:lineRule="auto"/>
        <w:rPr>
          <w:sz w:val="20"/>
          <w:szCs w:val="20"/>
          <w:color w:val="auto"/>
        </w:rPr>
      </w:pPr>
      <w:r>
        <w:rPr>
          <w:rFonts w:ascii="Times New Roman" w:cs="Times New Roman" w:eastAsia="Times New Roman" w:hAnsi="Times New Roman"/>
          <w:sz w:val="17"/>
          <w:szCs w:val="17"/>
          <w:color w:val="auto"/>
        </w:rPr>
        <w:t>We purchase the most of our merchandise directly from manufacturers in foreign countries, primarily in China and Vietnam. In addition to the risks associated with tariffs discussed in "Impact of the significant tariffs on countries from which we import are expected to have an impact on our business, mainly our cost of goods and profit margin " above, any event causing a disruption of imports, including the imposition of, increase in amount of or uncertainty regarding import restrictions, taxes or fees, labor strikes or lockouts or pandemics, could adversely affect our business. For example, our vendors in China and Vietnam were temporarily closed for periods of time in 2021 and 2022 as a result of the COVID pandemic, ceasing production of inventory and supplies. The flow of merchandise from our vendors could also be adversely affected by financial or political instability in any of the countries where the materials or goods we purchase are manufactured, if the instability affects the production or export of merchandise from those countries. We are subject to trade restrictions in the form of tariffs or quotas, or both, applicable to the products we sell and to raw material imported to manufacture those products. Such tariffs or quotas are subject to change.</w:t>
      </w:r>
    </w:p>
    <w:p>
      <w:pPr>
        <w:spacing w:after="0" w:line="387" w:lineRule="exact"/>
        <w:rPr>
          <w:sz w:val="20"/>
          <w:szCs w:val="20"/>
          <w:color w:val="auto"/>
        </w:rPr>
      </w:pPr>
    </w:p>
    <w:p>
      <w:pPr>
        <w:ind w:right="40" w:firstLine="468"/>
        <w:spacing w:after="0" w:line="260" w:lineRule="auto"/>
        <w:rPr>
          <w:sz w:val="20"/>
          <w:szCs w:val="20"/>
          <w:color w:val="auto"/>
        </w:rPr>
      </w:pPr>
      <w:r>
        <w:rPr>
          <w:rFonts w:ascii="Times New Roman" w:cs="Times New Roman" w:eastAsia="Times New Roman" w:hAnsi="Times New Roman"/>
          <w:sz w:val="17"/>
          <w:szCs w:val="17"/>
          <w:color w:val="auto"/>
        </w:rPr>
        <w:t>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and Vietnamese dong, could increase the cost of products we purchase from our vendors. The pricing of our products in our stores may also be affected by changes in foreign currency rates and require us to make adjustments that would impact our revenue and profit in various markets. We purchase all inventory in U.S. dollars, and our foreign subsidiaries buy their inventory from us in their functional currency, which exposes us to currency risk when their functional currencies fluctuate relative to the U.S. Dollar. Our business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not be able to operate our international corporately-managed locations profitably.</w:t>
      </w:r>
    </w:p>
    <w:p>
      <w:pPr>
        <w:spacing w:after="0" w:line="223" w:lineRule="exact"/>
        <w:rPr>
          <w:sz w:val="20"/>
          <w:szCs w:val="20"/>
          <w:color w:val="auto"/>
        </w:rPr>
      </w:pPr>
    </w:p>
    <w:p>
      <w:pPr>
        <w:jc w:val="both"/>
        <w:ind w:right="100" w:firstLine="468"/>
        <w:spacing w:after="0" w:line="263" w:lineRule="auto"/>
        <w:rPr>
          <w:sz w:val="20"/>
          <w:szCs w:val="20"/>
          <w:color w:val="auto"/>
        </w:rPr>
      </w:pPr>
      <w:r>
        <w:rPr>
          <w:rFonts w:ascii="Times New Roman" w:cs="Times New Roman" w:eastAsia="Times New Roman" w:hAnsi="Times New Roman"/>
          <w:sz w:val="17"/>
          <w:szCs w:val="17"/>
          <w:color w:val="auto"/>
        </w:rPr>
        <w:t>In addition to our U.S. locations, we currently operate stores in the U.K., Canada, and the Republic of Ireland. Our future success in international markets may be impacted by differences in consumer demand, regulatory and cultural differences, economic conditions, public health issues such as pandemics, changes in foreign government policies and regulations, changes in trading status, compliance with U.S. laws affecting operations outside the U.S., such as the Foreign Corrupt Practices Act, as well as other risks that we may not anticipate. Brand awareness and affinity in international markets may be lower than in the U.S. and we may face higher labor and rent costs, as well as different holiday schedules. Although we have realized benefits from our operations in the U.K. and Ireland, we may be unable to continue to do so on a consistent basis.</w:t>
      </w:r>
    </w:p>
    <w:p>
      <w:pPr>
        <w:spacing w:after="0" w:line="172" w:lineRule="exact"/>
        <w:rPr>
          <w:sz w:val="20"/>
          <w:szCs w:val="20"/>
          <w:color w:val="auto"/>
        </w:rPr>
      </w:pPr>
    </w:p>
    <w:p>
      <w:pPr>
        <w:jc w:val="both"/>
        <w:ind w:right="100" w:firstLine="468"/>
        <w:spacing w:after="0" w:line="263" w:lineRule="auto"/>
        <w:rPr>
          <w:sz w:val="20"/>
          <w:szCs w:val="20"/>
          <w:color w:val="auto"/>
        </w:rPr>
      </w:pPr>
      <w:r>
        <w:rPr>
          <w:rFonts w:ascii="Times New Roman" w:cs="Times New Roman" w:eastAsia="Times New Roman" w:hAnsi="Times New Roman"/>
          <w:sz w:val="17"/>
          <w:szCs w:val="17"/>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consumers in local currencies, which exposes us to foreign exchange risk, as described in “</w:t>
      </w:r>
      <w:r>
        <w:rPr>
          <w:rFonts w:ascii="Times New Roman" w:cs="Times New Roman" w:eastAsia="Times New Roman" w:hAnsi="Times New Roman"/>
          <w:sz w:val="17"/>
          <w:szCs w:val="17"/>
          <w:i w:val="1"/>
          <w:iCs w:val="1"/>
          <w:color w:val="auto"/>
        </w:rPr>
        <w:t>Our merchandise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Times New Roman" w:cs="Times New Roman" w:eastAsia="Times New Roman" w:hAnsi="Times New Roman"/>
          <w:sz w:val="17"/>
          <w:szCs w:val="17"/>
          <w:color w:val="auto"/>
        </w:rPr>
        <w:t>” below.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we could experience restrictions on the transfer of funds to and from foreign countries, including potentially negative tax consequences.</w:t>
      </w:r>
    </w:p>
    <w:p>
      <w:pPr>
        <w:spacing w:after="0" w:line="170" w:lineRule="exact"/>
        <w:rPr>
          <w:sz w:val="20"/>
          <w:szCs w:val="20"/>
          <w:color w:val="auto"/>
        </w:rPr>
      </w:pPr>
    </w:p>
    <w:p>
      <w:pPr>
        <w:jc w:val="both"/>
        <w:ind w:right="100"/>
        <w:spacing w:after="0" w:line="296" w:lineRule="auto"/>
        <w:rPr>
          <w:sz w:val="20"/>
          <w:szCs w:val="20"/>
          <w:color w:val="auto"/>
        </w:rPr>
      </w:pPr>
      <w:r>
        <w:rPr>
          <w:rFonts w:ascii="Times New Roman" w:cs="Times New Roman" w:eastAsia="Times New Roman" w:hAnsi="Times New Roman"/>
          <w:sz w:val="17"/>
          <w:szCs w:val="17"/>
          <w:b w:val="1"/>
          <w:bCs w:val="1"/>
          <w:color w:val="auto"/>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p>
      <w:pPr>
        <w:spacing w:after="0" w:line="144" w:lineRule="exact"/>
        <w:rPr>
          <w:sz w:val="20"/>
          <w:szCs w:val="20"/>
          <w:color w:val="auto"/>
        </w:rPr>
      </w:pPr>
    </w:p>
    <w:p>
      <w:pPr>
        <w:jc w:val="both"/>
        <w:ind w:right="100" w:firstLine="468"/>
        <w:spacing w:after="0" w:line="260" w:lineRule="auto"/>
        <w:rPr>
          <w:sz w:val="20"/>
          <w:szCs w:val="20"/>
          <w:color w:val="auto"/>
        </w:rPr>
      </w:pPr>
      <w:r>
        <w:rPr>
          <w:rFonts w:ascii="Times New Roman" w:cs="Times New Roman" w:eastAsia="Times New Roman" w:hAnsi="Times New Roman"/>
          <w:sz w:val="17"/>
          <w:szCs w:val="17"/>
          <w:color w:val="auto"/>
        </w:rPr>
        <w:t>As of February 1, 2025, there were 83 Build-A-Bear Workshop international franchised stores and 138 international, third-party-operated locations. We cannot ensure that our international partners will be successful in identifying and securing desirable locations or in operating their stores. International markets frequently have different demographic characteristics, competitive conditions, consumer tastes and discretionary spending patterns than our corporately-managed markets, which may impact the performance of these stores. Additionally, our international partners may experience financing, merchandising and distribution expenses and challenges that are different from those we encounter in our corporately-managed markets. The operations and results of our international partners could be negatively impacted by the economic, public health (such as a pandemic), or political factors in the countries in which they operate or foreign currency fluctuations. These challenges, as well as others, could have a material adverse effect on their business and, in turn, negatively impact our own business, financial condition, and results of operations.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both"/>
        <w:ind w:left="40" w:right="20" w:firstLine="425"/>
        <w:spacing w:after="0" w:line="260" w:lineRule="auto"/>
        <w:rPr>
          <w:sz w:val="20"/>
          <w:szCs w:val="20"/>
          <w:color w:val="auto"/>
        </w:rPr>
      </w:pPr>
      <w:r>
        <w:rPr>
          <w:rFonts w:ascii="Times New Roman" w:cs="Times New Roman" w:eastAsia="Times New Roman" w:hAnsi="Times New Roman"/>
          <w:sz w:val="17"/>
          <w:szCs w:val="17"/>
          <w:color w:val="auto"/>
        </w:rPr>
        <w:t>The success of our franchising business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Furthermore, the interests of franchisees might sometimes conflict with our interests. For example, whereas franchisees are concerned with their individual business objectives, we are responsible for ensuring the success of the Build-A-Bear brand and all of our stores. In addition, we have recently terminated our franchise agreement covering India resulting in the closure of all stores.</w:t>
      </w:r>
    </w:p>
    <w:p>
      <w:pPr>
        <w:spacing w:after="0" w:line="179" w:lineRule="exact"/>
        <w:rPr>
          <w:sz w:val="20"/>
          <w:szCs w:val="20"/>
          <w:color w:val="auto"/>
        </w:rPr>
      </w:pPr>
    </w:p>
    <w:p>
      <w:pPr>
        <w:jc w:val="both"/>
        <w:ind w:left="40" w:right="20" w:firstLine="425"/>
        <w:spacing w:after="0" w:line="265" w:lineRule="auto"/>
        <w:rPr>
          <w:sz w:val="20"/>
          <w:szCs w:val="20"/>
          <w:color w:val="auto"/>
        </w:rPr>
      </w:pPr>
      <w:r>
        <w:rPr>
          <w:rFonts w:ascii="Times New Roman" w:cs="Times New Roman" w:eastAsia="Times New Roman" w:hAnsi="Times New Roman"/>
          <w:sz w:val="17"/>
          <w:szCs w:val="17"/>
          <w:color w:val="auto"/>
        </w:rPr>
        <w:t>A key growth initiative for our business is the global expansion of our unique experience locations through international, third-party-operated locations. At the end of fiscal 2024, we had more than 30 international locations, and additional locations are expected to be opened in 2025 and beyond. The success of this strategy is dependent on our partners operating locations in a manner consistent with our standards and requirements, hiring and training qualified personnel, and operating the stores profitably so as to continue the relationship. We do not have direct control over our business partners and may not have visibility into their practices.</w:t>
      </w:r>
    </w:p>
    <w:p>
      <w:pPr>
        <w:spacing w:after="0" w:line="170" w:lineRule="exact"/>
        <w:rPr>
          <w:sz w:val="20"/>
          <w:szCs w:val="20"/>
          <w:color w:val="auto"/>
        </w:rPr>
      </w:pPr>
    </w:p>
    <w:p>
      <w:pPr>
        <w:jc w:val="both"/>
        <w:ind w:left="40" w:right="20" w:firstLine="425"/>
        <w:spacing w:after="0" w:line="274" w:lineRule="auto"/>
        <w:rPr>
          <w:sz w:val="20"/>
          <w:szCs w:val="20"/>
          <w:color w:val="auto"/>
        </w:rPr>
      </w:pPr>
      <w:r>
        <w:rPr>
          <w:rFonts w:ascii="Times New Roman" w:cs="Times New Roman" w:eastAsia="Times New Roman" w:hAnsi="Times New Roman"/>
          <w:sz w:val="17"/>
          <w:szCs w:val="17"/>
          <w:color w:val="auto"/>
        </w:rPr>
        <w:t>The laws of the various foreign countries in which our partners operate as well as compliance with U.S. laws affecting operations outside the U.S., such as the Foreign Corrupt Practices Act, govern our relationships with our partners. These laws, and any new laws that may be enacted, may detrimentally affect the rights and obligations between us and our franchisees and could expose us to additional liability.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TECHNOLOGY AND INTELLECTUAL PROPERTY RISKS</w:t>
      </w:r>
    </w:p>
    <w:p>
      <w:pPr>
        <w:spacing w:after="0" w:line="221" w:lineRule="exact"/>
        <w:rPr>
          <w:sz w:val="20"/>
          <w:szCs w:val="20"/>
          <w:color w:val="auto"/>
        </w:rPr>
      </w:pPr>
    </w:p>
    <w:p>
      <w:pPr>
        <w:jc w:val="both"/>
        <w:ind w:left="40" w:right="20"/>
        <w:spacing w:after="0" w:line="275" w:lineRule="auto"/>
        <w:rPr>
          <w:sz w:val="20"/>
          <w:szCs w:val="20"/>
          <w:color w:val="auto"/>
        </w:rPr>
      </w:pPr>
      <w:r>
        <w:rPr>
          <w:rFonts w:ascii="Times New Roman" w:cs="Times New Roman" w:eastAsia="Times New Roman" w:hAnsi="Times New Roman"/>
          <w:sz w:val="17"/>
          <w:szCs w:val="17"/>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63" w:lineRule="exact"/>
        <w:rPr>
          <w:sz w:val="20"/>
          <w:szCs w:val="20"/>
          <w:color w:val="auto"/>
        </w:rPr>
      </w:pPr>
    </w:p>
    <w:p>
      <w:pPr>
        <w:jc w:val="both"/>
        <w:ind w:left="40" w:right="20" w:firstLine="468"/>
        <w:spacing w:after="0" w:line="264" w:lineRule="auto"/>
        <w:rPr>
          <w:sz w:val="20"/>
          <w:szCs w:val="20"/>
          <w:color w:val="auto"/>
        </w:rPr>
      </w:pPr>
      <w:r>
        <w:rPr>
          <w:rFonts w:ascii="Times New Roman" w:cs="Times New Roman" w:eastAsia="Times New Roman" w:hAnsi="Times New Roman"/>
          <w:sz w:val="17"/>
          <w:szCs w:val="17"/>
          <w:color w:val="auto"/>
        </w:rPr>
        <w:t>Information technology is a critically important part of our business operations. We depend on information systems to process transactions, manage inventory, operate our websites, manage consumer databases,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spacing w:after="0" w:line="382" w:lineRule="exact"/>
        <w:rPr>
          <w:sz w:val="20"/>
          <w:szCs w:val="20"/>
          <w:color w:val="auto"/>
        </w:rPr>
      </w:pPr>
    </w:p>
    <w:p>
      <w:pPr>
        <w:jc w:val="both"/>
        <w:ind w:left="40" w:right="20" w:firstLine="468"/>
        <w:spacing w:after="0" w:line="260" w:lineRule="auto"/>
        <w:rPr>
          <w:sz w:val="20"/>
          <w:szCs w:val="20"/>
          <w:color w:val="auto"/>
        </w:rPr>
      </w:pPr>
      <w:r>
        <w:rPr>
          <w:rFonts w:ascii="Times New Roman" w:cs="Times New Roman" w:eastAsia="Times New Roman" w:hAnsi="Times New Roman"/>
          <w:sz w:val="17"/>
          <w:szCs w:val="17"/>
          <w:color w:val="auto"/>
        </w:rPr>
        <w:t>Our business involves the storage and transmission of consumers’ personal information, such as personal preferences and credit card information. We invest in industry-standard security technology to protect our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79" w:lineRule="exact"/>
        <w:rPr>
          <w:sz w:val="20"/>
          <w:szCs w:val="20"/>
          <w:color w:val="auto"/>
        </w:rPr>
      </w:pPr>
    </w:p>
    <w:p>
      <w:pPr>
        <w:ind w:left="40" w:firstLine="468"/>
        <w:spacing w:after="0" w:line="260" w:lineRule="auto"/>
        <w:rPr>
          <w:sz w:val="20"/>
          <w:szCs w:val="20"/>
          <w:color w:val="auto"/>
        </w:rPr>
      </w:pPr>
      <w:r>
        <w:rPr>
          <w:rFonts w:ascii="Times New Roman" w:cs="Times New Roman" w:eastAsia="Times New Roman" w:hAnsi="Times New Roman"/>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consumers and sales, and could have negative consequences to us, our employees, and those with whom we do business. In addition, our</w:t>
      </w:r>
    </w:p>
    <w:p>
      <w:pPr>
        <w:ind w:left="40"/>
        <w:spacing w:after="0" w:line="260" w:lineRule="auto"/>
        <w:rPr>
          <w:sz w:val="20"/>
          <w:szCs w:val="20"/>
          <w:color w:val="auto"/>
        </w:rPr>
      </w:pPr>
      <w:r>
        <w:rPr>
          <w:rFonts w:ascii="Times New Roman" w:cs="Times New Roman" w:eastAsia="Times New Roman" w:hAnsi="Times New Roman"/>
          <w:sz w:val="17"/>
          <w:szCs w:val="17"/>
          <w:color w:val="auto"/>
        </w:rPr>
        <w:t>workforce's combination of remote work, hybrid, and flexible work schedules opening us up for cyber-security threats and potential breaches as a result of increased employee usage of networks other than company-managed.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280" w:top="121"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both"/>
        <w:ind w:right="120" w:firstLine="468"/>
        <w:spacing w:after="0" w:line="257" w:lineRule="auto"/>
        <w:rPr>
          <w:sz w:val="20"/>
          <w:szCs w:val="20"/>
          <w:color w:val="auto"/>
        </w:rPr>
      </w:pPr>
      <w:r>
        <w:rPr>
          <w:rFonts w:ascii="Times New Roman" w:cs="Times New Roman" w:eastAsia="Times New Roman" w:hAnsi="Times New Roman"/>
          <w:sz w:val="17"/>
          <w:szCs w:val="17"/>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from whom we collect information which may include information regarding their children, and we intend for our websites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the parents of children and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 General Data Protection Regulation - 2016/679 (“EU GDPR”) and related guidance together with the UK General Data Protection Regulation ("UK GDPR," collectively with the EU GDPR, the "GDPR"), and the California Consumer Privacy Act 2018, as amended by the California Privacy Rights Act 2020 (collectively "CCPA"), greatly increase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expected to enact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184"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A determination that there have been violations of laws relating to our practices under communications-based laws could also expose us to significant damage awards, fines and other penalties that could, individually or in the aggregate, materially harm our business. In particular, because of our marketing and other promotional texts, emails and other communications we send to our users, communications laws that provide a specified monetary damage award or fine for each violation (such as those described below) could result in particularly large awards or fines. For example, the Federal Communications Commission amended certain of its regulations under the Telephone Consumer Protection Act, or TCPA, in 2012 and 2013 in a manner that has increased our exposure to liability for certain types of telephonic communication with customers, including but not limited to text messages to mobile phones. Under the TCPA, plaintiffs seek actual monetary loss or statutory damages of $500 per violation, whichever is greater, and courts could treble the damage award for willful or knowing violations. Given the varied number of communications we send to our users, a determination that there have been violations of the TCPA, or other communications-based statutes, has exposed us to significant damage awards that could, individually or in the aggregate, materially harm our business. In 2021, a putative class action lawsuit was filed against us asserting claims under the TCPA which was ultimately dismissed after we reached a settlement with the plaintiff and an insurance carrier.</w:t>
      </w:r>
    </w:p>
    <w:p>
      <w:pPr>
        <w:spacing w:after="0" w:line="386"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7"/>
          <w:szCs w:val="17"/>
          <w:b w:val="1"/>
          <w:bCs w:val="1"/>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63" w:lineRule="exact"/>
        <w:rPr>
          <w:sz w:val="20"/>
          <w:szCs w:val="20"/>
          <w:color w:val="auto"/>
        </w:rPr>
      </w:pPr>
    </w:p>
    <w:p>
      <w:pPr>
        <w:jc w:val="both"/>
        <w:ind w:right="120" w:firstLine="468"/>
        <w:spacing w:after="0" w:line="266" w:lineRule="auto"/>
        <w:rPr>
          <w:sz w:val="20"/>
          <w:szCs w:val="20"/>
          <w:color w:val="auto"/>
        </w:rPr>
      </w:pPr>
      <w:r>
        <w:rPr>
          <w:rFonts w:ascii="Times New Roman" w:cs="Times New Roman" w:eastAsia="Times New Roman" w:hAnsi="Times New Roman"/>
          <w:sz w:val="17"/>
          <w:szCs w:val="17"/>
          <w:color w:val="auto"/>
        </w:rPr>
        <w:t>Other parties have asserted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such claims, even claims without merit, have been time-consuming, and could result in costly settlements, litigation or restrictions on our business and damage our reputation.</w:t>
      </w:r>
    </w:p>
    <w:p>
      <w:pPr>
        <w:spacing w:after="0" w:line="382" w:lineRule="exact"/>
        <w:rPr>
          <w:sz w:val="20"/>
          <w:szCs w:val="20"/>
          <w:color w:val="auto"/>
        </w:rPr>
      </w:pPr>
    </w:p>
    <w:p>
      <w:pPr>
        <w:jc w:val="both"/>
        <w:ind w:right="120" w:firstLine="468"/>
        <w:spacing w:after="0" w:line="263" w:lineRule="auto"/>
        <w:rPr>
          <w:sz w:val="20"/>
          <w:szCs w:val="20"/>
          <w:color w:val="auto"/>
        </w:rPr>
      </w:pPr>
      <w:r>
        <w:rPr>
          <w:rFonts w:ascii="Times New Roman" w:cs="Times New Roman" w:eastAsia="Times New Roman" w:hAnsi="Times New Roman"/>
          <w:sz w:val="17"/>
          <w:szCs w:val="17"/>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was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7"/>
          <w:szCs w:val="17"/>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44"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Although we require our manufacturers to meet governmental safety standards, including food safety regulations for certain locations, and our product specifications as well as submitting our products for testing, we cannot fully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68"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such indemnification may not fully protect us financially and, whether or not it does, our brand reputation may be negatively impacted.</w:t>
      </w:r>
    </w:p>
    <w:p>
      <w:pPr>
        <w:spacing w:after="0" w:line="1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We may suffer negative publicity or be sued if the manufacturers of our merchandise violate labor laws or engage in practices that consumers believe are unethical.</w:t>
      </w:r>
    </w:p>
    <w:p>
      <w:pPr>
        <w:spacing w:after="0" w:line="144"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6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44"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61"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b w:val="1"/>
          <w:bCs w:val="1"/>
          <w:color w:val="auto"/>
        </w:rPr>
        <w:t>We may suffer negative publicity and damage to our reputation if we do not continue to evolve environmental, social, and governance initiatives in a timely manner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The appeal of our brand may also depend on the success of our environmental, social and governance ("ESG") initiatives, which require company-wide coordination and alignment. The rise of ESG criteria and reporting has sparked a debate over its potential to either unite or divide stakeholders by prioritizing and disclosing ethical considerations over traditional financial metrics. We are working to manage risks and costs to us, our licensees and our supply chain that are exposed to the effects of climate change as well as diminishing fossil fuel and water resources. These risks include any increased public focus, including by governmental and non-governmental organizations, on climate change and other environmental sustainability matters, including packaging and waste, emissions, and land use. We may receive increased pressure to expand our disclosures in these areas, make commitments, set targets or establish additional goals and take actions to meet them, which could expose us to market, operational and execution costs or risks. If we expand our ESG disclosures, the metrics we disclose whether they be based on the standards we set for ourselves or those set by others, may influence our reputation and the value of our brand. Our failure to accurately track or to achieve progress on any goals or objectives that we set on a timely basis, or at all, could adversely affect our business, financial performance, and growth.</w:t>
      </w:r>
    </w:p>
    <w:p>
      <w:pPr>
        <w:spacing w:after="0" w:line="180"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By electing to publicly set and share these metrics and expand upon our disclosures, we would also face increased scrutiny related to ESG activities. For example, “anti-ESG” sentiment has gained momentum across the U.S., with a growing number of states, federal agencies, the executive branch and Congress having enacted, proposed or indicated an intent to pursue “anti-ESG” policies, legislation or issued related legal opinions and engaged in related investigations and litigation. We could also be subjected to negative responses by governmental actors (such as anti-ESG legislation or retaliatory legislative treatment) or customers (such as boycotts or negative publicity campaigns) that could adversely affect our reputation, results of operations and financial condition.</w:t>
      </w:r>
    </w:p>
    <w:p>
      <w:pPr>
        <w:spacing w:after="0" w:line="170"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As a result, we could experience damage to our reputation and the value of our brands if we fail to act responsibly in the areas in which we report or if such reporting exposes us to risks due to "anti-ESG" sentiments. Any such harm to our reputation or any failure or perceived failure by us to adequately address ESG-related activities in light of evolving circumstances including setting of metrics or enhancing disclosures, could adversely affect our business, financial performance, and growth.</w:t>
      </w: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OWNING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Fluctuations in our quarterly results of operations could cause the price of our common stock to substantially decline.</w:t>
      </w:r>
    </w:p>
    <w:p>
      <w:pPr>
        <w:spacing w:after="0" w:line="223" w:lineRule="exact"/>
        <w:rPr>
          <w:sz w:val="20"/>
          <w:szCs w:val="20"/>
          <w:color w:val="auto"/>
        </w:rPr>
      </w:pPr>
    </w:p>
    <w:p>
      <w:pPr>
        <w:ind w:firstLine="468"/>
        <w:spacing w:after="0" w:line="293" w:lineRule="auto"/>
        <w:rPr>
          <w:sz w:val="20"/>
          <w:szCs w:val="20"/>
          <w:color w:val="auto"/>
        </w:rPr>
      </w:pPr>
      <w:r>
        <w:rPr>
          <w:rFonts w:ascii="Times New Roman" w:cs="Times New Roman" w:eastAsia="Times New Roman" w:hAnsi="Times New Roman"/>
          <w:sz w:val="17"/>
          <w:szCs w:val="17"/>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47" w:lineRule="exact"/>
        <w:rPr>
          <w:sz w:val="20"/>
          <w:szCs w:val="20"/>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tariffs and other foreign policy matters that may impact pricing;</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exchange rates;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profitability of our stores;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in total revenues;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and consumer spending patterns;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frequency of our marketing initiatives;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shopping patterns;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store closures, relocations and openings and related expenses;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inventory management;</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introduction and expansion of merchandise offerings including those associated with major motion pictures;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competitors or mall anchors and co-tenants;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and natural disasters;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issues such as pandemics, and associated impacts on store openings and store operations</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frequency of national media appearances and other public relations events; and</w:t>
      </w:r>
    </w:p>
    <w:p>
      <w:pPr>
        <w:spacing w:after="0" w:line="220" w:lineRule="exact"/>
        <w:rPr>
          <w:rFonts w:ascii="Times New Roman" w:cs="Times New Roman" w:eastAsia="Times New Roman" w:hAnsi="Times New Roman"/>
          <w:sz w:val="17"/>
          <w:szCs w:val="17"/>
          <w:color w:val="auto"/>
        </w:rPr>
      </w:pPr>
    </w:p>
    <w:p>
      <w:pPr>
        <w:ind w:left="940" w:hanging="364"/>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 53rd week in our fiscal year, which occurs approximately every six years, (e.g., occurred in fiscal 2023).</w:t>
      </w:r>
    </w:p>
    <w:p>
      <w:pPr>
        <w:spacing w:after="0" w:line="221"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If our future quarterly results fluctuate significantly or fail to meet the expectations of the investment community, then the market price of our common stock could decline substantially.</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Fluctuations in our operating results could reduce our cash flow, or trigger restrictions under our credit agreement, cause use to be unable to repurchase shares at all, at the times or in the amounts we desire, cause the results of our share repurchase program may not be as beneficial as we would like, or cause us to discontinue our quarterly dividend program.</w:t>
      </w:r>
    </w:p>
    <w:p>
      <w:pPr>
        <w:spacing w:after="0" w:line="16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7"/>
          <w:szCs w:val="17"/>
          <w:color w:val="auto"/>
        </w:rPr>
        <w:t>From time to time, we have repurchased shares under plans authorized by our Board of Directors, most recently a $100 million program adopted in September 2024. Such programs generally do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any share repurchase program may not be as beneficial as expected. Additionally, cash flow decreases could cause us to discontinue the recently announced Board of Director-approved quarterly dividend program. Our credit agreement restricts our ability to repurchase shares and issue dividends when certain liquidity conditions exist.</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relatively low market capitalization can cause the market price of our common stock to become volatile.</w:t>
      </w:r>
    </w:p>
    <w:p>
      <w:pPr>
        <w:spacing w:after="0" w:line="223" w:lineRule="exact"/>
        <w:rPr>
          <w:sz w:val="20"/>
          <w:szCs w:val="20"/>
          <w:color w:val="auto"/>
        </w:rPr>
      </w:pPr>
    </w:p>
    <w:p>
      <w:pPr>
        <w:jc w:val="both"/>
        <w:ind w:right="240" w:firstLine="468"/>
        <w:spacing w:after="0" w:line="260" w:lineRule="auto"/>
        <w:rPr>
          <w:sz w:val="20"/>
          <w:szCs w:val="20"/>
          <w:color w:val="auto"/>
        </w:rPr>
      </w:pPr>
      <w:r>
        <w:rPr>
          <w:rFonts w:ascii="Times New Roman" w:cs="Times New Roman" w:eastAsia="Times New Roman" w:hAnsi="Times New Roman"/>
          <w:sz w:val="17"/>
          <w:szCs w:val="17"/>
          <w:color w:val="auto"/>
        </w:rPr>
        <w:t>During fiscal 2024, the trading price of our common stock fluctuated between $21.60 and $48.23 per share.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dividends, or other strategic initiatives) by us or other similar companies.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we believe that such volatility has attracted the interest of activist shareholders in the past and may continue to do so.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382"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basic corporate documents and Delaware law contain provisions that might enable our management to resist a takeover. These provisions:</w:t>
      </w:r>
    </w:p>
    <w:p>
      <w:pPr>
        <w:spacing w:after="0" w:line="221" w:lineRule="exact"/>
        <w:rPr>
          <w:sz w:val="20"/>
          <w:szCs w:val="20"/>
          <w:color w:val="auto"/>
        </w:rPr>
      </w:pPr>
    </w:p>
    <w:p>
      <w:pPr>
        <w:ind w:left="480" w:hanging="359"/>
        <w:spacing w:after="0"/>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various types of business combinations with significant stockholders;</w:t>
      </w:r>
    </w:p>
    <w:p>
      <w:pPr>
        <w:spacing w:after="0" w:line="220" w:lineRule="exact"/>
        <w:rPr>
          <w:rFonts w:ascii="Times New Roman" w:cs="Times New Roman" w:eastAsia="Times New Roman" w:hAnsi="Times New Roman"/>
          <w:sz w:val="17"/>
          <w:szCs w:val="17"/>
          <w:color w:val="auto"/>
        </w:rPr>
      </w:pPr>
    </w:p>
    <w:p>
      <w:pPr>
        <w:ind w:left="480" w:hanging="359"/>
        <w:spacing w:after="0"/>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a classified board of directors;</w:t>
      </w:r>
    </w:p>
    <w:p>
      <w:pPr>
        <w:spacing w:after="0" w:line="220" w:lineRule="exact"/>
        <w:rPr>
          <w:rFonts w:ascii="Times New Roman" w:cs="Times New Roman" w:eastAsia="Times New Roman" w:hAnsi="Times New Roman"/>
          <w:sz w:val="17"/>
          <w:szCs w:val="17"/>
          <w:color w:val="auto"/>
        </w:rPr>
      </w:pPr>
    </w:p>
    <w:p>
      <w:pPr>
        <w:ind w:left="480" w:hanging="359"/>
        <w:spacing w:after="0"/>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right of stockholders to remove directors or change the size of the board of directors;</w:t>
      </w:r>
    </w:p>
    <w:p>
      <w:pPr>
        <w:spacing w:after="0" w:line="220" w:lineRule="exact"/>
        <w:rPr>
          <w:rFonts w:ascii="Times New Roman" w:cs="Times New Roman" w:eastAsia="Times New Roman" w:hAnsi="Times New Roman"/>
          <w:sz w:val="17"/>
          <w:szCs w:val="17"/>
          <w:color w:val="auto"/>
        </w:rPr>
      </w:pPr>
    </w:p>
    <w:p>
      <w:pPr>
        <w:ind w:left="480" w:hanging="359"/>
        <w:spacing w:after="0"/>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right of stockholders to fill vacancies on the board of directors;</w:t>
      </w:r>
    </w:p>
    <w:p>
      <w:pPr>
        <w:spacing w:after="0" w:line="220" w:lineRule="exact"/>
        <w:rPr>
          <w:rFonts w:ascii="Times New Roman" w:cs="Times New Roman" w:eastAsia="Times New Roman" w:hAnsi="Times New Roman"/>
          <w:sz w:val="17"/>
          <w:szCs w:val="17"/>
          <w:color w:val="auto"/>
        </w:rPr>
      </w:pPr>
    </w:p>
    <w:p>
      <w:pPr>
        <w:ind w:left="480" w:hanging="359"/>
        <w:spacing w:after="0"/>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right of stockholders to act by written consent and to call a special meeting of stockholders or propose other actions;</w:t>
      </w:r>
    </w:p>
    <w:p>
      <w:pPr>
        <w:spacing w:after="0" w:line="220" w:lineRule="exact"/>
        <w:rPr>
          <w:rFonts w:ascii="Times New Roman" w:cs="Times New Roman" w:eastAsia="Times New Roman" w:hAnsi="Times New Roman"/>
          <w:sz w:val="17"/>
          <w:szCs w:val="17"/>
          <w:color w:val="auto"/>
        </w:rPr>
      </w:pPr>
    </w:p>
    <w:p>
      <w:pPr>
        <w:ind w:left="480" w:hanging="359"/>
        <w:spacing w:after="0" w:line="293" w:lineRule="auto"/>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higher percentage of stockholders than would otherwise be required to amend, alter, change or repeal our bylaws and certain provisions of our certificate of incorporation; and</w:t>
      </w:r>
    </w:p>
    <w:p>
      <w:pPr>
        <w:spacing w:after="0" w:line="147" w:lineRule="exact"/>
        <w:rPr>
          <w:rFonts w:ascii="Times New Roman" w:cs="Times New Roman" w:eastAsia="Times New Roman" w:hAnsi="Times New Roman"/>
          <w:sz w:val="17"/>
          <w:szCs w:val="17"/>
          <w:color w:val="auto"/>
        </w:rPr>
      </w:pPr>
    </w:p>
    <w:p>
      <w:pPr>
        <w:ind w:left="480" w:hanging="359"/>
        <w:spacing w:after="0" w:line="293" w:lineRule="auto"/>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sz w:val="20"/>
          <w:szCs w:val="20"/>
          <w:color w:val="auto"/>
        </w:rPr>
      </w:pPr>
    </w:p>
    <w:p>
      <w:pPr>
        <w:spacing w:after="0" w:line="363" w:lineRule="exact"/>
        <w:rPr>
          <w:sz w:val="20"/>
          <w:szCs w:val="20"/>
          <w:color w:val="auto"/>
        </w:rPr>
      </w:pPr>
    </w:p>
    <w:p>
      <w:pPr>
        <w:ind w:left="480" w:hanging="359"/>
        <w:spacing w:after="0" w:line="293" w:lineRule="auto"/>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discourage, delay or prevent a change in the control of our company or a change in our management, even if such change may be in the best interests of our stockholders;</w:t>
      </w:r>
    </w:p>
    <w:p>
      <w:pPr>
        <w:spacing w:after="0" w:line="147" w:lineRule="exact"/>
        <w:rPr>
          <w:rFonts w:ascii="Times New Roman" w:cs="Times New Roman" w:eastAsia="Times New Roman" w:hAnsi="Times New Roman"/>
          <w:sz w:val="17"/>
          <w:szCs w:val="17"/>
          <w:color w:val="auto"/>
        </w:rPr>
      </w:pPr>
    </w:p>
    <w:p>
      <w:pPr>
        <w:ind w:left="480" w:hanging="359"/>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the voting power of holders of common stock; and</w:t>
      </w:r>
    </w:p>
    <w:p>
      <w:pPr>
        <w:spacing w:after="0" w:line="220" w:lineRule="exact"/>
        <w:rPr>
          <w:rFonts w:ascii="Times New Roman" w:cs="Times New Roman" w:eastAsia="Times New Roman" w:hAnsi="Times New Roman"/>
          <w:sz w:val="17"/>
          <w:szCs w:val="17"/>
          <w:color w:val="auto"/>
        </w:rPr>
      </w:pPr>
    </w:p>
    <w:p>
      <w:pPr>
        <w:ind w:left="480" w:hanging="359"/>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price that investors might be willing to pay in the future for shares of our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21" w:lineRule="exact"/>
        <w:rPr>
          <w:sz w:val="20"/>
          <w:szCs w:val="20"/>
          <w:color w:val="auto"/>
        </w:rPr>
      </w:pPr>
    </w:p>
    <w:p>
      <w:pPr>
        <w:jc w:val="both"/>
        <w:ind w:right="140"/>
        <w:spacing w:after="0" w:line="296" w:lineRule="auto"/>
        <w:rPr>
          <w:sz w:val="20"/>
          <w:szCs w:val="20"/>
          <w:color w:val="auto"/>
        </w:rPr>
      </w:pPr>
      <w:r>
        <w:rPr>
          <w:rFonts w:ascii="Times New Roman" w:cs="Times New Roman" w:eastAsia="Times New Roman" w:hAnsi="Times New Roman"/>
          <w:sz w:val="17"/>
          <w:szCs w:val="17"/>
          <w:b w:val="1"/>
          <w:bCs w:val="1"/>
          <w:color w:val="auto"/>
        </w:rPr>
        <w:t>We may not be able to operate successfully if we lose key personnel, are unable to hire qualified additional personnel, or experience turnover of our management team.</w:t>
      </w:r>
    </w:p>
    <w:p>
      <w:pPr>
        <w:spacing w:after="0" w:line="144" w:lineRule="exact"/>
        <w:rPr>
          <w:sz w:val="20"/>
          <w:szCs w:val="20"/>
          <w:color w:val="auto"/>
        </w:rPr>
      </w:pPr>
    </w:p>
    <w:p>
      <w:pPr>
        <w:jc w:val="both"/>
        <w:ind w:right="120" w:firstLine="468"/>
        <w:spacing w:after="0" w:line="274" w:lineRule="auto"/>
        <w:rPr>
          <w:sz w:val="20"/>
          <w:szCs w:val="20"/>
          <w:color w:val="auto"/>
        </w:rPr>
      </w:pPr>
      <w:r>
        <w:rPr>
          <w:rFonts w:ascii="Times New Roman" w:cs="Times New Roman" w:eastAsia="Times New Roman" w:hAnsi="Times New Roman"/>
          <w:sz w:val="17"/>
          <w:szCs w:val="17"/>
          <w:color w:val="auto"/>
        </w:rPr>
        <w:t>The success of our business depends upon the quality of associates throughout our organization and our ability to attract and retain qualified key employees. The loss of certain key employees, change in management for strategic purposes, our inability to attract and retain other qualified key employees or a labor shortage that reduces the pool of qualified candidates could have a material adverse effect on our business, financial condition and results of operations.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jc w:val="both"/>
        <w:ind w:left="20" w:right="120"/>
        <w:spacing w:after="0" w:line="296" w:lineRule="auto"/>
        <w:rPr>
          <w:sz w:val="20"/>
          <w:szCs w:val="20"/>
          <w:color w:val="auto"/>
        </w:rPr>
      </w:pPr>
      <w:r>
        <w:rPr>
          <w:rFonts w:ascii="Times New Roman" w:cs="Times New Roman" w:eastAsia="Times New Roman" w:hAnsi="Times New Roman"/>
          <w:sz w:val="17"/>
          <w:szCs w:val="17"/>
          <w:b w:val="1"/>
          <w:bCs w:val="1"/>
          <w:color w:val="auto"/>
        </w:rPr>
        <w:t>We may be unsuccessful in acquiring businesses or engaging in other strategic transactions, which may negatively affect our financial condition and profitability.</w:t>
      </w:r>
    </w:p>
    <w:p>
      <w:pPr>
        <w:spacing w:after="0" w:line="144" w:lineRule="exact"/>
        <w:rPr>
          <w:sz w:val="20"/>
          <w:szCs w:val="20"/>
          <w:color w:val="auto"/>
        </w:rPr>
      </w:pPr>
    </w:p>
    <w:p>
      <w:pPr>
        <w:jc w:val="both"/>
        <w:ind w:left="20" w:right="120" w:firstLine="468"/>
        <w:spacing w:after="0" w:line="268" w:lineRule="auto"/>
        <w:rPr>
          <w:sz w:val="20"/>
          <w:szCs w:val="20"/>
          <w:color w:val="auto"/>
        </w:rPr>
      </w:pPr>
      <w:r>
        <w:rPr>
          <w:rFonts w:ascii="Times New Roman" w:cs="Times New Roman" w:eastAsia="Times New Roman" w:hAnsi="Times New Roman"/>
          <w:sz w:val="17"/>
          <w:szCs w:val="17"/>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374"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223" w:lineRule="exact"/>
        <w:rPr>
          <w:sz w:val="20"/>
          <w:szCs w:val="20"/>
          <w:color w:val="auto"/>
        </w:rPr>
      </w:pPr>
    </w:p>
    <w:p>
      <w:pPr>
        <w:jc w:val="both"/>
        <w:ind w:firstLine="468"/>
        <w:spacing w:after="0" w:line="286" w:lineRule="auto"/>
        <w:rPr>
          <w:sz w:val="20"/>
          <w:szCs w:val="20"/>
          <w:color w:val="auto"/>
        </w:rPr>
      </w:pPr>
      <w:r>
        <w:rPr>
          <w:rFonts w:ascii="Times New Roman" w:cs="Times New Roman" w:eastAsia="Times New Roman" w:hAnsi="Times New Roman"/>
          <w:sz w:val="17"/>
          <w:szCs w:val="17"/>
          <w:color w:val="auto"/>
        </w:rPr>
        <w:t>We aim to foster and preserve the confidence of customers, employees, shareholders, and other stakeholders regarding our technology and data practices. Our commitments to digital trust, aligned with our core values of service, excellence, integrity, and individual respect, form the basis of our cybersecurity approach.</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223"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We acknowledge the critical nature of evaluating, pinpointing, and addressing the significant risks posed by cybersecurity threats. Our organization has established a comprehensive set of processes, technologies, and mechanisms to support the identification, evaluation, and management of these risks. Central to our cybersecurity strategy is the mitigation of threats, ensuring the robustness and reliability of our system infrastructures. We utilize the guidelines provided by the National Institute of Standards and Technology (NIST) Cybersecurity Framework to shape our cybersecurity initiatives and comply with the Payment Card Industry Data Security Standards where necessary.</w:t>
      </w:r>
    </w:p>
    <w:p>
      <w:pPr>
        <w:spacing w:after="0" w:line="170" w:lineRule="exact"/>
        <w:rPr>
          <w:sz w:val="20"/>
          <w:szCs w:val="20"/>
          <w:color w:val="auto"/>
        </w:rPr>
      </w:pPr>
    </w:p>
    <w:p>
      <w:pPr>
        <w:ind w:right="560" w:firstLine="468"/>
        <w:spacing w:after="0" w:line="293" w:lineRule="auto"/>
        <w:rPr>
          <w:sz w:val="20"/>
          <w:szCs w:val="20"/>
          <w:color w:val="auto"/>
        </w:rPr>
      </w:pPr>
      <w:r>
        <w:rPr>
          <w:rFonts w:ascii="Times New Roman" w:cs="Times New Roman" w:eastAsia="Times New Roman" w:hAnsi="Times New Roman"/>
          <w:sz w:val="17"/>
          <w:szCs w:val="17"/>
          <w:color w:val="auto"/>
        </w:rPr>
        <w:t>Our cybersecurity risk management is intricately integrated into our broader enterprise risk management strategy. Our aim is to effectively identify, prioritize, and manage risks under robust governance, ensuring a secure and resilient organizational environment.</w:t>
      </w:r>
    </w:p>
    <w:p>
      <w:pPr>
        <w:spacing w:after="0" w:line="147" w:lineRule="exact"/>
        <w:rPr>
          <w:sz w:val="20"/>
          <w:szCs w:val="20"/>
          <w:color w:val="auto"/>
        </w:rPr>
      </w:pPr>
    </w:p>
    <w:p>
      <w:pPr>
        <w:jc w:val="both"/>
        <w:ind w:firstLine="468"/>
        <w:spacing w:after="0" w:line="271" w:lineRule="auto"/>
        <w:rPr>
          <w:sz w:val="20"/>
          <w:szCs w:val="20"/>
          <w:color w:val="auto"/>
        </w:rPr>
      </w:pPr>
      <w:r>
        <w:rPr>
          <w:rFonts w:ascii="Times New Roman" w:cs="Times New Roman" w:eastAsia="Times New Roman" w:hAnsi="Times New Roman"/>
          <w:sz w:val="17"/>
          <w:szCs w:val="17"/>
          <w:color w:val="auto"/>
        </w:rPr>
        <w:t>The daily operational responsibility for our cybersecurity initiatives falls to our dedicated cybersecurity team, headed by the Chief Technology Officer (CTO). This team collaborates with external partners to forge and execute our data security and cybersecurity plans, including risk assessments, monitoring activities, and training for our employees. We are committed to continually investing in the enhancement of our capabilities to identify, protect against, and detect security threats.</w:t>
      </w:r>
    </w:p>
    <w:p>
      <w:pPr>
        <w:spacing w:after="0" w:line="379"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We employ a suite of tools and services that support the continuous surveillance and reduction of cyber risks. Our internal teams undertake regular audits and penetration testing throughout the year. External third-party experts are enlisted annually to assess our cybersecurity maturity and conduct risk evaluations, besides offering specialized knowledge on various cybersecurity matters. Our security operations center operates 24/7 to identify, lessen, and react to cyber threats promptly. Defined protocols are in place to manage and mitigate any detected cybersecurity incidents swiftly, with regular reviews of our policies and procedures to ensure compliance with evolving regulatory standards and the dynamic threat landscape.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The Incident Response Team (IRT) at our company is a specialized, multidisciplinary group empowered to act swiftly and effectively in managing and communicating cybersecurity incidents. The IRT operates under a comprehensive incident response plan, detailing the procedures for preparing, detecting, responding to, and recovering from cyber incidents. This includes triage, severity assessment, escalation, containment, investigation, and remediation processes, in addition to meeting legal requirements and minimizing damage to the brand and reputation. Regular tabletop exercises are conducted to simulate cyber incidents, enhancing our response strategies, plans, and technology.</w:t>
      </w:r>
    </w:p>
    <w:p>
      <w:pPr>
        <w:spacing w:after="0" w:line="170"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Our company ensures that all new hires and existing employees undergo data security and privacy training annually, with additional specialized training for certain roles. Periodic campaigns and simulated phishing tests are also conducted to maintain awareness and vigilance against potential risks.</w:t>
      </w:r>
    </w:p>
    <w:p>
      <w:pPr>
        <w:spacing w:after="0" w:line="147"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Vendor security is maintained using programs that evaluate the risk associated with service providers and business partners, focusing on the nature of data accessed or retained. This risk-based approach guides our due diligence and security assessments for selected vendors, ensuring that our contracts reflect the necessary security commitments.</w:t>
      </w:r>
    </w:p>
    <w:p>
      <w:pPr>
        <w:spacing w:after="0" w:line="154" w:lineRule="exact"/>
        <w:rPr>
          <w:sz w:val="20"/>
          <w:szCs w:val="20"/>
          <w:color w:val="auto"/>
        </w:rPr>
      </w:pPr>
    </w:p>
    <w:p>
      <w:pPr>
        <w:ind w:left="20" w:right="20"/>
        <w:spacing w:after="0" w:line="238" w:lineRule="auto"/>
        <w:rPr>
          <w:sz w:val="20"/>
          <w:szCs w:val="20"/>
          <w:color w:val="auto"/>
        </w:rPr>
      </w:pPr>
      <w:r>
        <w:rPr>
          <w:rFonts w:ascii="Times New Roman" w:cs="Times New Roman" w:eastAsia="Times New Roman" w:hAnsi="Times New Roman"/>
          <w:sz w:val="21"/>
          <w:szCs w:val="21"/>
          <w:color w:val="auto"/>
        </w:rPr>
        <w:t>Through the date of filing this Annual Report, cybersecurity threats, including as a result of any previous cybersecurity incidents, have not materially affect our Company, including our business strategy, results of operations, or financial condition. We have not encountered any significant incidents in the past fiscal year. However, we are aware of the ongoing threats that could, if materialized, have a significant impact on our business operations, strategies, or financial condition. Despite our rigorous cybersecurity efforts, we recognize that no system is infallible, and thus we cannot guarantee complete efficacy in preempting or mitigating all potential cyber threats. We continuously evaluate and disclose how identified cybersecurity risks, including those from past incidents, could materially influence our operational, strategic, or financial landscapes.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23"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Our commitment to establishing a secure digital realm is underpinned by the structured governance and management of our data security and privacy policies and strategies. Our Board of Directors, which has primary responsibility for overseeing risk management, has delegated risk management oversight responsibility for information systems, information security, data privacy and cybersecurity to the Audit Committee, a member of which has extensive technology experience, including in the area of cybersecurity. The Audit Committee engages in regular, at least quarterly, discussions on these topics, informed by reports from our IT Security Team led by the CTO. Specific topics may include updates to the Company’s approach to cybersecurity risk management; recent developments; key initiatives; the threat landscape; trends; and the results of certain assessments and testing. Periodically, the Audit Committee also receives presentations on cybersecurity matters from third-party cybersecurity experts. The Board of Directors receives reports from the Audit Committee chair on these and other risk-related matters as deemed necessary.</w:t>
      </w:r>
    </w:p>
    <w:p>
      <w:pPr>
        <w:spacing w:after="0" w:line="179"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Our cybersecurity initiatives are led by our CTO and our Director of Security, who holds a Bachelor of Science, Management Information Systems and a Master of Science, Computer and Information Systems Security and Information Assurance. In addition, our CTO and our Director of Security have Computer Hacking Forensics Investigator and Certified Ethical Hacker certifications. Both, under the CTO’s leadership, have extensive experience in managing information security, crafting cybersecurity strategies, and spearheading initiatives to counter evolving cyber threats.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The Security and Technology Risk Leadership Committee, led by our CTO, oversees our cybersecurity initiatives, and comprises technology leaders and members of various departments across the company. Similarly, our Privacy, Data Governance, and Artificial Intelligence Committee, under the guidance of our Chief Privacy Officer, oversees our privacy and data governance strategies.</w:t>
      </w:r>
    </w:p>
    <w:p>
      <w:pPr>
        <w:spacing w:after="0" w:line="39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Stores</w:t>
      </w:r>
    </w:p>
    <w:p>
      <w:pPr>
        <w:spacing w:after="0" w:line="223" w:lineRule="exact"/>
        <w:rPr>
          <w:sz w:val="20"/>
          <w:szCs w:val="20"/>
          <w:color w:val="auto"/>
        </w:rPr>
      </w:pPr>
    </w:p>
    <w:p>
      <w:pPr>
        <w:jc w:val="both"/>
        <w:ind w:left="20" w:firstLine="468"/>
        <w:spacing w:after="0" w:line="293" w:lineRule="auto"/>
        <w:rPr>
          <w:sz w:val="20"/>
          <w:szCs w:val="20"/>
          <w:color w:val="auto"/>
        </w:rPr>
      </w:pPr>
      <w:r>
        <w:rPr>
          <w:rFonts w:ascii="Times New Roman" w:cs="Times New Roman" w:eastAsia="Times New Roman" w:hAnsi="Times New Roman"/>
          <w:sz w:val="17"/>
          <w:szCs w:val="17"/>
          <w:color w:val="auto"/>
        </w:rPr>
        <w:t>We lease all our store locations. As of February 1, 2025, we operated 368 retail stores located primarily in major malls throughout the U.S., Canada, the U.K., and Ireland in our DTC segment.</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Non-Store Properties</w:t>
      </w:r>
    </w:p>
    <w:p>
      <w:pPr>
        <w:spacing w:after="0" w:line="223" w:lineRule="exact"/>
        <w:rPr>
          <w:sz w:val="20"/>
          <w:szCs w:val="20"/>
          <w:color w:val="auto"/>
        </w:rPr>
      </w:pPr>
    </w:p>
    <w:p>
      <w:pPr>
        <w:jc w:val="both"/>
        <w:ind w:left="20" w:firstLine="468"/>
        <w:spacing w:after="0" w:line="259" w:lineRule="auto"/>
        <w:rPr>
          <w:sz w:val="20"/>
          <w:szCs w:val="20"/>
          <w:color w:val="auto"/>
        </w:rPr>
      </w:pPr>
      <w:r>
        <w:rPr>
          <w:rFonts w:ascii="Times New Roman" w:cs="Times New Roman" w:eastAsia="Times New Roman" w:hAnsi="Times New Roman"/>
          <w:sz w:val="17"/>
          <w:szCs w:val="17"/>
          <w:color w:val="auto"/>
        </w:rPr>
        <w:t>We own a warehouse and distribution center in Groveport, Ohio, which is utilized primarily by our DTC segment. The facility is approximately 350,000 square feet and includes our North American e-commerce fulfillment center. We lease 51,600 square feet in a building that we use as our corporate headquarters in downtown St. Louis, Missouri with a lease of eleven years commencing in June 2020. This lease was modified in March 2024 to increase the square footage of our corporate headquarters to approximately 58,000 square feet without changing the term length. We also lease an approximately 1,870 square foot storage space in St. Louis, Missouri with the lease commencing in July 2023 and continuing through July 2028. In the U.K., we lease approximately 6,500 square feet for our regional headquarters in Slough, England under a lease that commenced in March 2016 with a term of 10 years. We also contract with a third-party warehouse in southern California to service our West Coast stores. The contract has a one-year term and is renewable. In Europe, we contract with a third-party distribution center in Selby, England under an agreement that ends in January 2026. This agreement contains clauses that allow for termination if certain performance criteria are not met. In Asia, we contract for office space and a third-party distribution center in Shanghai, China, with the office space contract ending in August 2025 and the distribution center contract ending in April 2025.</w:t>
      </w:r>
    </w:p>
    <w:p>
      <w:pPr>
        <w:spacing w:after="0" w:line="178"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3" w:lineRule="exact"/>
        <w:rPr>
          <w:sz w:val="20"/>
          <w:szCs w:val="20"/>
          <w:color w:val="auto"/>
        </w:rPr>
      </w:pPr>
    </w:p>
    <w:p>
      <w:pPr>
        <w:jc w:val="both"/>
        <w:ind w:left="20" w:firstLine="468"/>
        <w:spacing w:after="0" w:line="268" w:lineRule="auto"/>
        <w:rPr>
          <w:sz w:val="20"/>
          <w:szCs w:val="20"/>
          <w:color w:val="auto"/>
        </w:rPr>
      </w:pPr>
      <w:r>
        <w:rPr>
          <w:rFonts w:ascii="Times New Roman" w:cs="Times New Roman" w:eastAsia="Times New Roman" w:hAnsi="Times New Roman"/>
          <w:sz w:val="17"/>
          <w:szCs w:val="17"/>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Information with respect to certain legal proceedings is set forth in Note 10 "Commitments and Contingencies" to the Consolidated Financial Statements (included in Part IV of this form 10-K) and is incorporated herein by reference.</w:t>
      </w:r>
    </w:p>
    <w:p>
      <w:pPr>
        <w:spacing w:after="0" w:line="166"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Not applicable.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0" w:lineRule="exact"/>
        <w:rPr>
          <w:sz w:val="20"/>
          <w:szCs w:val="20"/>
          <w:color w:val="auto"/>
        </w:rPr>
      </w:pPr>
    </w:p>
    <w:p>
      <w:pPr>
        <w:ind w:left="980" w:right="480" w:hanging="949"/>
        <w:spacing w:after="0" w:line="296" w:lineRule="auto"/>
        <w:tabs>
          <w:tab w:leader="none" w:pos="9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3" w:lineRule="exact"/>
        <w:rPr>
          <w:sz w:val="20"/>
          <w:szCs w:val="20"/>
          <w:color w:val="auto"/>
        </w:rPr>
      </w:pPr>
    </w:p>
    <w:p>
      <w:pPr>
        <w:ind w:left="20" w:firstLine="468"/>
        <w:spacing w:after="0" w:line="293" w:lineRule="auto"/>
        <w:rPr>
          <w:sz w:val="20"/>
          <w:szCs w:val="20"/>
          <w:color w:val="auto"/>
        </w:rPr>
      </w:pPr>
      <w:r>
        <w:rPr>
          <w:rFonts w:ascii="Times New Roman" w:cs="Times New Roman" w:eastAsia="Times New Roman" w:hAnsi="Times New Roman"/>
          <w:sz w:val="17"/>
          <w:szCs w:val="17"/>
          <w:color w:val="auto"/>
        </w:rPr>
        <w:t>Our common stock is listed on the New York Stock Exchange (NYSE) under the symbol “BBW.” Our common stock commenced trading on the NYSE on October 28, 2004.</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April 14, 2025, the number of holders of record of the Company’s common stock totaled approximately 1,783.</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3" w:lineRule="exact"/>
        <w:rPr>
          <w:sz w:val="20"/>
          <w:szCs w:val="20"/>
          <w:color w:val="auto"/>
        </w:rPr>
      </w:pPr>
    </w:p>
    <w:p>
      <w:pPr>
        <w:ind w:right="20" w:firstLine="468"/>
        <w:spacing w:after="0" w:line="293" w:lineRule="auto"/>
        <w:rPr>
          <w:sz w:val="20"/>
          <w:szCs w:val="20"/>
          <w:color w:val="auto"/>
        </w:rPr>
      </w:pPr>
      <w:r>
        <w:rPr>
          <w:rFonts w:ascii="Times New Roman" w:cs="Times New Roman" w:eastAsia="Times New Roman" w:hAnsi="Times New Roman"/>
          <w:sz w:val="17"/>
          <w:szCs w:val="17"/>
          <w:color w:val="auto"/>
        </w:rPr>
        <w:t>In fiscal 2023, our Board of Directors declared a special cash dividend of $1.50 per share that was paid on April 6, 2023, to all stockholders of record as of March 23, 2023.</w:t>
      </w:r>
    </w:p>
    <w:p>
      <w:pPr>
        <w:spacing w:after="0" w:line="147" w:lineRule="exact"/>
        <w:rPr>
          <w:sz w:val="20"/>
          <w:szCs w:val="20"/>
          <w:color w:val="auto"/>
        </w:rPr>
      </w:pPr>
    </w:p>
    <w:p>
      <w:pPr>
        <w:ind w:right="320" w:firstLine="468"/>
        <w:spacing w:after="0" w:line="274" w:lineRule="auto"/>
        <w:rPr>
          <w:sz w:val="20"/>
          <w:szCs w:val="20"/>
          <w:color w:val="auto"/>
        </w:rPr>
      </w:pPr>
      <w:r>
        <w:rPr>
          <w:rFonts w:ascii="Times New Roman" w:cs="Times New Roman" w:eastAsia="Times New Roman" w:hAnsi="Times New Roman"/>
          <w:sz w:val="17"/>
          <w:szCs w:val="17"/>
          <w:color w:val="auto"/>
        </w:rPr>
        <w:t>In fiscal 2024, our Board of Directors approved a new quarterly dividend program to evolve its strategic use of capital and declared an initial quarterly dividend of $0.20 per share which was paid on April 11, 2024. The Company also paid quarterly dividends of $0.20 per share to recorded shareholders on July 11, 2024, October 10, 2024, and January 9, 2025.</w:t>
      </w:r>
    </w:p>
    <w:p>
      <w:pPr>
        <w:spacing w:after="0" w:line="163" w:lineRule="exact"/>
        <w:rPr>
          <w:sz w:val="20"/>
          <w:szCs w:val="20"/>
          <w:color w:val="auto"/>
        </w:rPr>
      </w:pPr>
    </w:p>
    <w:p>
      <w:pPr>
        <w:ind w:right="140" w:firstLine="468"/>
        <w:spacing w:after="0" w:line="293" w:lineRule="auto"/>
        <w:rPr>
          <w:sz w:val="20"/>
          <w:szCs w:val="20"/>
          <w:color w:val="auto"/>
        </w:rPr>
      </w:pPr>
      <w:r>
        <w:rPr>
          <w:rFonts w:ascii="Times New Roman" w:cs="Times New Roman" w:eastAsia="Times New Roman" w:hAnsi="Times New Roman"/>
          <w:sz w:val="17"/>
          <w:szCs w:val="17"/>
          <w:color w:val="auto"/>
        </w:rPr>
        <w:t>Additionally, on March 12, 2025, the Board of Directors declared a quarterly dividend of $0.22 per share on the issued and outstanding common stock of the Company, which was paid on April 10, 2025, to all stockholders of record as of March 27,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Refer to Part III, Item 12, for information related to our equity compensation plan.</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00" w:lineRule="exact"/>
        <w:rPr>
          <w:sz w:val="20"/>
          <w:szCs w:val="20"/>
          <w:color w:val="auto"/>
        </w:rPr>
      </w:pP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 Maximum</w:t>
            </w:r>
          </w:p>
        </w:tc>
      </w:tr>
      <w:tr>
        <w:trPr>
          <w:trHeight w:val="208"/>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 (or</w:t>
            </w:r>
          </w:p>
        </w:tc>
      </w:tr>
      <w:tr>
        <w:trPr>
          <w:trHeight w:val="208"/>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 Total Number</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08"/>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of Shares (or</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Dollar Value) of</w:t>
            </w:r>
          </w:p>
        </w:tc>
      </w:tr>
      <w:tr>
        <w:trPr>
          <w:trHeight w:val="208"/>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Units) Purchased</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(or Units)</w:t>
            </w:r>
          </w:p>
        </w:tc>
      </w:tr>
      <w:tr>
        <w:trPr>
          <w:trHeight w:val="208"/>
        </w:trPr>
        <w:tc>
          <w:tcPr>
            <w:tcW w:w="29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 Total Number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Part of</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that May Yet Be</w:t>
            </w:r>
          </w:p>
        </w:tc>
      </w:tr>
      <w:tr>
        <w:trPr>
          <w:trHeight w:val="208"/>
        </w:trPr>
        <w:tc>
          <w:tcPr>
            <w:tcW w:w="29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of Shares (or</w:t>
            </w: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 Average Price</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Publicly</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8"/>
        </w:trPr>
        <w:tc>
          <w:tcPr>
            <w:tcW w:w="29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Units) Purchased</w:t>
            </w:r>
          </w:p>
        </w:tc>
        <w:tc>
          <w:tcPr>
            <w:tcW w:w="1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Paid Per Share</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Announced Plans</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the Plans or</w:t>
            </w: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Unit) (2)</w:t>
            </w:r>
          </w:p>
        </w:tc>
        <w:tc>
          <w:tcPr>
            <w:tcW w:w="1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Programs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Programs (3)</w:t>
            </w:r>
          </w:p>
        </w:tc>
        <w:tc>
          <w:tcPr>
            <w:tcW w:w="80" w:type="dxa"/>
            <w:vAlign w:val="bottom"/>
          </w:tcPr>
          <w:p>
            <w:pPr>
              <w:spacing w:after="0"/>
              <w:rPr>
                <w:sz w:val="19"/>
                <w:szCs w:val="19"/>
                <w:color w:val="auto"/>
              </w:rPr>
            </w:pPr>
          </w:p>
        </w:tc>
      </w:tr>
      <w:tr>
        <w:trPr>
          <w:trHeight w:val="201"/>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Nov 3, 2024 - Nov 30,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37.82</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5,288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96,998,597</w:t>
            </w:r>
          </w:p>
        </w:tc>
      </w:tr>
      <w:tr>
        <w:trPr>
          <w:trHeight w:val="208"/>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Dec 1, 2024 - Jan 4, 2025</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61,304</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44.88</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61,304</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94,247,390</w:t>
            </w:r>
          </w:p>
        </w:tc>
      </w:tr>
      <w:tr>
        <w:trPr>
          <w:trHeight w:val="20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Jan 5, 2025 - Feb 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41.59</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121,468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89,195,065</w:t>
            </w:r>
          </w:p>
        </w:tc>
      </w:tr>
      <w:tr>
        <w:trPr>
          <w:trHeight w:val="20"/>
        </w:trPr>
        <w:tc>
          <w:tcPr>
            <w:tcW w:w="29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2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188,060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42.56</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188,060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89,195,065</w:t>
            </w:r>
          </w:p>
        </w:tc>
      </w:tr>
      <w:tr>
        <w:trPr>
          <w:trHeight w:val="20"/>
        </w:trPr>
        <w:tc>
          <w:tcPr>
            <w:tcW w:w="2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8" w:lineRule="exact"/>
        <w:rPr>
          <w:sz w:val="20"/>
          <w:szCs w:val="20"/>
          <w:color w:val="auto"/>
        </w:rPr>
      </w:pPr>
    </w:p>
    <w:p>
      <w:pPr>
        <w:ind w:left="1560" w:right="1180" w:hanging="321"/>
        <w:spacing w:after="0" w:line="261" w:lineRule="auto"/>
        <w:tabs>
          <w:tab w:leader="none" w:pos="15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p>
      <w:pPr>
        <w:ind w:left="1560" w:hanging="321"/>
        <w:spacing w:after="0"/>
        <w:tabs>
          <w:tab w:leader="none" w:pos="15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Price Paid Per Share includes commissions.</w:t>
      </w:r>
    </w:p>
    <w:p>
      <w:pPr>
        <w:spacing w:after="0" w:line="12" w:lineRule="exact"/>
        <w:rPr>
          <w:rFonts w:ascii="Times New Roman" w:cs="Times New Roman" w:eastAsia="Times New Roman" w:hAnsi="Times New Roman"/>
          <w:sz w:val="17"/>
          <w:szCs w:val="17"/>
          <w:color w:val="auto"/>
        </w:rPr>
      </w:pPr>
    </w:p>
    <w:p>
      <w:pPr>
        <w:ind w:left="1560" w:right="1200" w:hanging="321"/>
        <w:spacing w:after="0" w:line="258" w:lineRule="auto"/>
        <w:tabs>
          <w:tab w:leader="none" w:pos="15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31, 2022, the Board of Directors adopted the August 2022 Stock Repurchase program that authorized the repurchase of up to $50 million of our common stock. On September 11, 2024, we announced that our Board of Directors terminated an existing stock repurchase program and authorized a new share repurchase program of up to $100 million. This program authorizes the Company to repurchase shares through September 30, 2028, and does not require the Company to repurchase any specific number of shares, and may be modified, suspended or terminated at any time without prior notice. Shares repurchased under the program will be subsequently retired.</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3" w:lineRule="exact"/>
        <w:rPr>
          <w:sz w:val="20"/>
          <w:szCs w:val="20"/>
          <w:color w:val="auto"/>
        </w:rPr>
      </w:pPr>
    </w:p>
    <w:p>
      <w:pPr>
        <w:ind w:firstLine="468"/>
        <w:spacing w:after="0" w:line="265" w:lineRule="auto"/>
        <w:rPr>
          <w:sz w:val="20"/>
          <w:szCs w:val="20"/>
          <w:color w:val="auto"/>
        </w:rPr>
      </w:pPr>
      <w:r>
        <w:rPr>
          <w:rFonts w:ascii="Times New Roman" w:cs="Times New Roman" w:eastAsia="Times New Roman" w:hAnsi="Times New Roman"/>
          <w:sz w:val="17"/>
          <w:szCs w:val="17"/>
          <w:color w:val="auto"/>
        </w:rPr>
        <w:t>In order to show a Comparative Stock Performance, Build-A-Bear has shown a five-year comparative investment of $100 into Build-A-Bear, the Russell 2000 Index, and the Russell 2000 Consumer Discretionary Index. The Company has determined that based on their current size, the Russell 2000 information would be more comparable than the S&amp;P 500. It should be noted that as Build-A-Bear has a floating fiscal year end occurring on the last Saturday in January or first Saturday in February, the information utilized as the year end information will be on the close the day prior the listed date. Any dividends that are paid by the Company will be assumed to be reinvested at the next day opening price.</w:t>
      </w:r>
    </w:p>
    <w:p>
      <w:pPr>
        <w:sectPr>
          <w:pgSz w:w="11900" w:h="16838" w:orient="portrait"/>
          <w:cols w:equalWidth="0" w:num="1">
            <w:col w:w="11240"/>
          </w:cols>
          <w:pgMar w:left="300" w:top="121"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98360" cy="3766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98360" cy="376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Cumulative Total Return</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January 30,</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January 29,</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January 28,</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February 3,</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 w:type="dxa"/>
            <w:vAlign w:val="bottom"/>
          </w:tcPr>
          <w:p>
            <w:pPr>
              <w:spacing w:after="0"/>
              <w:rPr>
                <w:sz w:val="18"/>
                <w:szCs w:val="18"/>
                <w:color w:val="auto"/>
              </w:rPr>
            </w:pPr>
          </w:p>
        </w:tc>
      </w:tr>
      <w:tr>
        <w:trPr>
          <w:trHeight w:val="208"/>
        </w:trPr>
        <w:tc>
          <w:tcPr>
            <w:tcW w:w="3760" w:type="dxa"/>
            <w:vAlign w:val="bottom"/>
          </w:tcPr>
          <w:p>
            <w:pPr>
              <w:spacing w:after="0"/>
              <w:rPr>
                <w:sz w:val="18"/>
                <w:szCs w:val="18"/>
                <w:color w:val="auto"/>
              </w:rPr>
            </w:pPr>
          </w:p>
        </w:tc>
        <w:tc>
          <w:tcPr>
            <w:tcW w:w="13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r>
      <w:tr>
        <w:trPr>
          <w:trHeight w:val="20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 - A - Bear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$ 100.00</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$ 132.62</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$ 433.72</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$ 604.66</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$ 604.66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$ 1,187.23</w:t>
            </w:r>
          </w:p>
        </w:tc>
        <w:tc>
          <w:tcPr>
            <w:tcW w:w="20" w:type="dxa"/>
            <w:vAlign w:val="bottom"/>
          </w:tcPr>
          <w:p>
            <w:pPr>
              <w:spacing w:after="0"/>
              <w:rPr>
                <w:sz w:val="17"/>
                <w:szCs w:val="17"/>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Russell 2000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$ 100.00</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$ 128.47</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$ 121.96</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$ 118.43</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$ 121.60</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$ 141.74</w:t>
            </w:r>
          </w:p>
        </w:tc>
        <w:tc>
          <w:tcPr>
            <w:tcW w:w="20" w:type="dxa"/>
            <w:vAlign w:val="bottom"/>
          </w:tcPr>
          <w:p>
            <w:pPr>
              <w:spacing w:after="0"/>
              <w:rPr>
                <w:sz w:val="18"/>
                <w:szCs w:val="18"/>
                <w:color w:val="auto"/>
              </w:rPr>
            </w:pPr>
          </w:p>
        </w:tc>
      </w:tr>
      <w:tr>
        <w:trPr>
          <w:trHeight w:val="20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Russell 2000 Consumer Discretionary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$ 100.00</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$ 145.39</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$ 142.62</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$ 129.28</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$ 135.65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$ 154.26</w:t>
            </w:r>
          </w:p>
        </w:tc>
        <w:tc>
          <w:tcPr>
            <w:tcW w:w="20" w:type="dxa"/>
            <w:vAlign w:val="bottom"/>
          </w:tcPr>
          <w:p>
            <w:pPr>
              <w:spacing w:after="0"/>
              <w:rPr>
                <w:sz w:val="18"/>
                <w:szCs w:val="18"/>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were no sales of unregistered securities during the past three years.</w:t>
      </w:r>
    </w:p>
    <w:p>
      <w:pPr>
        <w:spacing w:after="0" w:line="200" w:lineRule="exact"/>
        <w:rPr>
          <w:sz w:val="20"/>
          <w:szCs w:val="20"/>
          <w:color w:val="auto"/>
        </w:rPr>
      </w:pPr>
    </w:p>
    <w:p>
      <w:pPr>
        <w:spacing w:after="0" w:line="227" w:lineRule="exact"/>
        <w:rPr>
          <w:sz w:val="20"/>
          <w:szCs w:val="20"/>
          <w:color w:val="auto"/>
        </w:rPr>
      </w:pPr>
    </w:p>
    <w:p>
      <w:pPr>
        <w:jc w:val="center"/>
        <w:ind w:right="9240"/>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1"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23"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Build-A-Bear Workshop, Inc., a Delaware corporation, was formed in 1997 as a mall-based, experiential specialty retailer where children and their families could create their own stuffed animals by participating in the stuffing, fluffing, dressing, accessorizing, and naming of their own teddy bears and other plush toys. We believe the hands-on and interactive nature of our experience locations, our personal service model and engaging digital shopping experiences result in guests forming an emotional connection with our brand. Over the last 27 years, with more than 250 million furry friends sold to guests around the world, Build-A-Bear has become a brand with high consumer awareness, positive affinity, and strong retail influence. We are leveraging this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and multi-generational appeal have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385" w:lineRule="exact"/>
        <w:rPr>
          <w:sz w:val="20"/>
          <w:szCs w:val="20"/>
          <w:color w:val="auto"/>
        </w:rPr>
      </w:pPr>
    </w:p>
    <w:p>
      <w:pPr>
        <w:jc w:val="both"/>
        <w:ind w:firstLine="468"/>
        <w:spacing w:after="0" w:line="263" w:lineRule="auto"/>
        <w:rPr>
          <w:sz w:val="20"/>
          <w:szCs w:val="20"/>
          <w:color w:val="auto"/>
        </w:rPr>
      </w:pPr>
      <w:r>
        <w:rPr>
          <w:rFonts w:ascii="Times New Roman" w:cs="Times New Roman" w:eastAsia="Times New Roman" w:hAnsi="Times New Roman"/>
          <w:sz w:val="17"/>
          <w:szCs w:val="17"/>
          <w:color w:val="auto"/>
        </w:rPr>
        <w:t>We primarily operate through a vertical retail channel with corporately-managed stores that feature a unique combination of experience and product in which guests can “make their own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and the “HeartBox” gift site.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w:t>
      </w:r>
    </w:p>
    <w:p>
      <w:pPr>
        <w:spacing w:after="0" w:line="172"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We also sell product and provide our unique “Bear Builder” experience through the two additional channels of partner-operated and franchise-operated stores. Additionally, we offer products in non-plush consumer categories via outbound licensing agreements with leading manufacturers.</w:t>
      </w:r>
    </w:p>
    <w:p>
      <w:pPr>
        <w:spacing w:after="0" w:line="147"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spacing w:after="0" w:line="170"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As of February 1, 2025, we had 368 corporate-managed stores globally, 138 locations operating through our "third-party retail" model in which we sell our products on a wholesale basis to other companies that then in turn execute our retail experience, and 83 franchised stores operating internationally under the Build-A-Bear Workshop brand. In addition to our stores, we sold product on our company-owned e-commerce sites.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left="40" w:firstLine="425"/>
        <w:spacing w:after="0" w:line="293" w:lineRule="auto"/>
        <w:rPr>
          <w:sz w:val="20"/>
          <w:szCs w:val="20"/>
          <w:color w:val="auto"/>
        </w:rPr>
      </w:pPr>
      <w:r>
        <w:rPr>
          <w:rFonts w:ascii="Times New Roman" w:cs="Times New Roman" w:eastAsia="Times New Roman" w:hAnsi="Times New Roman"/>
          <w:sz w:val="17"/>
          <w:szCs w:val="17"/>
          <w:color w:val="auto"/>
        </w:rPr>
        <w:t>We operate in three segments that share the same infrastructure, including management, systems, merchandising and marketing, and generate revenues as follows:</w:t>
      </w:r>
    </w:p>
    <w:p>
      <w:pPr>
        <w:spacing w:after="0" w:line="147" w:lineRule="exact"/>
        <w:rPr>
          <w:sz w:val="20"/>
          <w:szCs w:val="20"/>
          <w:color w:val="auto"/>
        </w:rPr>
      </w:pPr>
    </w:p>
    <w:p>
      <w:pPr>
        <w:ind w:left="460" w:hanging="312"/>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to Consumer (“DTC”) – Corporately-managed retail stores located in the U.S., Canada, the U.K., Ireland, and two e-commerce sites;</w:t>
      </w:r>
    </w:p>
    <w:p>
      <w:pPr>
        <w:spacing w:after="0" w:line="31" w:lineRule="exact"/>
        <w:rPr>
          <w:rFonts w:ascii="Times New Roman" w:cs="Times New Roman" w:eastAsia="Times New Roman" w:hAnsi="Times New Roman"/>
          <w:sz w:val="17"/>
          <w:szCs w:val="17"/>
          <w:color w:val="auto"/>
        </w:rPr>
      </w:pPr>
    </w:p>
    <w:p>
      <w:pPr>
        <w:ind w:left="460" w:hanging="312"/>
        <w:spacing w:after="0" w:line="255" w:lineRule="auto"/>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 Transactions with other businesses, mainly comprised of wholesale product sales and licensing our intellectual property, including entertainment properties, for third-party use; and</w:t>
      </w:r>
    </w:p>
    <w:p>
      <w:pPr>
        <w:ind w:left="460" w:hanging="312"/>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franchising – Royalties as well as product and fixture sales from other international operations under franchise agreements.</w:t>
      </w:r>
    </w:p>
    <w:p>
      <w:pPr>
        <w:spacing w:after="0" w:line="202" w:lineRule="exact"/>
        <w:rPr>
          <w:sz w:val="20"/>
          <w:szCs w:val="20"/>
          <w:color w:val="auto"/>
        </w:rPr>
      </w:pPr>
    </w:p>
    <w:p>
      <w:pPr>
        <w:jc w:val="both"/>
        <w:ind w:left="40" w:firstLine="425"/>
        <w:spacing w:after="0" w:line="293" w:lineRule="auto"/>
        <w:rPr>
          <w:sz w:val="20"/>
          <w:szCs w:val="20"/>
          <w:color w:val="auto"/>
        </w:rPr>
      </w:pPr>
      <w:r>
        <w:rPr>
          <w:rFonts w:ascii="Times New Roman" w:cs="Times New Roman" w:eastAsia="Times New Roman" w:hAnsi="Times New Roman"/>
          <w:sz w:val="17"/>
          <w:szCs w:val="17"/>
          <w:color w:val="auto"/>
        </w:rPr>
        <w:t>Selected financial data attributable to each segment for fiscal 2024, 2023 and 2022 are presented in Note 15 — Segment Information to our consolidated financial statements included elsewhere in this Annual Report on Form 10-K.</w:t>
      </w:r>
    </w:p>
    <w:p>
      <w:pPr>
        <w:spacing w:after="0" w:line="147" w:lineRule="exact"/>
        <w:rPr>
          <w:sz w:val="20"/>
          <w:szCs w:val="20"/>
          <w:color w:val="auto"/>
        </w:rPr>
      </w:pPr>
    </w:p>
    <w:p>
      <w:pPr>
        <w:jc w:val="both"/>
        <w:ind w:left="40" w:firstLine="468"/>
        <w:spacing w:after="0" w:line="293" w:lineRule="auto"/>
        <w:rPr>
          <w:sz w:val="20"/>
          <w:szCs w:val="20"/>
          <w:color w:val="auto"/>
        </w:rPr>
      </w:pPr>
      <w:r>
        <w:rPr>
          <w:rFonts w:ascii="Times New Roman" w:cs="Times New Roman" w:eastAsia="Times New Roman" w:hAnsi="Times New Roman"/>
          <w:sz w:val="17"/>
          <w:szCs w:val="17"/>
          <w:color w:val="auto"/>
        </w:rPr>
        <w:t>Our year-over-year results discussed below are impacted by fiscal 2024 and fiscal 2022 being 52-week periods compared to fiscal 2023 which had an additional week because it was a 53-week period.</w:t>
      </w:r>
    </w:p>
    <w:p>
      <w:pPr>
        <w:spacing w:after="0" w:line="147" w:lineRule="exact"/>
        <w:rPr>
          <w:sz w:val="20"/>
          <w:szCs w:val="20"/>
          <w:color w:val="auto"/>
        </w:rPr>
      </w:pPr>
    </w:p>
    <w:p>
      <w:pPr>
        <w:jc w:val="both"/>
        <w:ind w:left="40" w:firstLine="468"/>
        <w:spacing w:after="0" w:line="274" w:lineRule="auto"/>
        <w:rPr>
          <w:sz w:val="20"/>
          <w:szCs w:val="20"/>
          <w:color w:val="auto"/>
        </w:rPr>
      </w:pPr>
      <w:r>
        <w:rPr>
          <w:rFonts w:ascii="Times New Roman" w:cs="Times New Roman" w:eastAsia="Times New Roman" w:hAnsi="Times New Roman"/>
          <w:sz w:val="17"/>
          <w:szCs w:val="17"/>
          <w:color w:val="auto"/>
        </w:rPr>
        <w:t>Our consolidated net income was $51.8 million in fiscal 2024 compared to net income of $52.8 million in fiscal 2023 and $48.0 million in fiscal 2022. We believe that we have a concept that has broad demographic appeal which, for North American stores open for the entire year averaged net retail sales per store of $1.2 million in fiscal 2024, 2023 and 2022.</w:t>
      </w:r>
    </w:p>
    <w:p>
      <w:pPr>
        <w:spacing w:after="0" w:line="163" w:lineRule="exact"/>
        <w:rPr>
          <w:sz w:val="20"/>
          <w:szCs w:val="20"/>
          <w:color w:val="auto"/>
        </w:rPr>
      </w:pPr>
    </w:p>
    <w:p>
      <w:pPr>
        <w:jc w:val="both"/>
        <w:ind w:left="40" w:firstLine="425"/>
        <w:spacing w:after="0" w:line="260" w:lineRule="auto"/>
        <w:rPr>
          <w:sz w:val="20"/>
          <w:szCs w:val="20"/>
          <w:color w:val="auto"/>
        </w:rPr>
      </w:pPr>
      <w:r>
        <w:rPr>
          <w:rFonts w:ascii="Times New Roman" w:cs="Times New Roman" w:eastAsia="Times New Roman" w:hAnsi="Times New Roman"/>
          <w:sz w:val="17"/>
          <w:szCs w:val="17"/>
          <w:color w:val="auto"/>
        </w:rPr>
        <w:t>We ended fiscal 2024 with no borrowings under our credit agreement and with $27.8 million in cash, cash equivalents and restricted cash after investing $19.3 million in capital projects throughout the year. In fiscal 2024 the company utilized $31.0 million in cash to repurchase 1,021,004 shares. During the year, the Company repurchased shares under two separate stock repurchase programs. The company repurchased 758,301 shares utilizing $20.2 million in cash under the Company's $50.0 million stock repurchase program that was authorized by its Board of Directors on August 31, 2022 (the "August 2022 Stock Repurchase Program"). On September 11, 2024, the Company announced that its Board of Directors terminated the August 2022 Stock Repurchase Program and authorized a new share repurchase program of up to $100 million (the “September 2024 Stock Repurchase Program”). The company repurchased 262,703 shares utilizing $10.8 million in cash under the September 2024 Stock Repurchase Program. From the end of fiscal 2024 through April 14, 2025, the Company utilized $4.2 million to repurchase 108,503 shares under the stock buyback program, leaving $85.0 million available under the September 2024 Stock Repurchase Program.</w:t>
      </w:r>
    </w:p>
    <w:p>
      <w:pPr>
        <w:spacing w:after="0" w:line="387" w:lineRule="exact"/>
        <w:rPr>
          <w:sz w:val="20"/>
          <w:szCs w:val="20"/>
          <w:color w:val="auto"/>
        </w:rPr>
      </w:pPr>
    </w:p>
    <w:p>
      <w:pPr>
        <w:jc w:val="both"/>
        <w:ind w:left="40" w:firstLine="425"/>
        <w:spacing w:after="0" w:line="271" w:lineRule="auto"/>
        <w:rPr>
          <w:sz w:val="20"/>
          <w:szCs w:val="20"/>
          <w:color w:val="auto"/>
        </w:rPr>
      </w:pPr>
      <w:r>
        <w:rPr>
          <w:rFonts w:ascii="Times New Roman" w:cs="Times New Roman" w:eastAsia="Times New Roman" w:hAnsi="Times New Roman"/>
          <w:sz w:val="17"/>
          <w:szCs w:val="17"/>
          <w:color w:val="auto"/>
        </w:rPr>
        <w:t>On March 13, 2024, we announced that our Board of Directors approved a new quarterly dividend program to evolve its strategic use of capital. During fiscal 2024, the company declared and paid quarterly dividends totaling $11.0 million. Additionally, the Board of Directors declared a quarterly cash dividend of $0.22 per share on the issued and outstanding common stock of the company, which was paid on April 10, 2025, to all stockholders of record as of March 27, 2025.</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Events and Trends Regarding Tariffs and International Trade</w:t>
      </w:r>
    </w:p>
    <w:p>
      <w:pPr>
        <w:spacing w:after="0" w:line="223" w:lineRule="exact"/>
        <w:rPr>
          <w:sz w:val="20"/>
          <w:szCs w:val="20"/>
          <w:color w:val="auto"/>
        </w:rPr>
      </w:pPr>
    </w:p>
    <w:p>
      <w:pPr>
        <w:jc w:val="both"/>
        <w:ind w:left="40" w:firstLine="425"/>
        <w:spacing w:after="0" w:line="261" w:lineRule="auto"/>
        <w:rPr>
          <w:sz w:val="20"/>
          <w:szCs w:val="20"/>
          <w:color w:val="auto"/>
        </w:rPr>
      </w:pPr>
      <w:r>
        <w:rPr>
          <w:rFonts w:ascii="Times New Roman" w:cs="Times New Roman" w:eastAsia="Times New Roman" w:hAnsi="Times New Roman"/>
          <w:sz w:val="17"/>
          <w:szCs w:val="17"/>
          <w:color w:val="auto"/>
        </w:rPr>
        <w:t>Since we import the vast majority of our products from vendors outside the U.S., we face uncertainty and risks related to tariffs and other trade policies that could negatively impact our Company. Tariffs and other non-tariff trade practices can adversely affect our business in multiple ways including increased costs of our products. While we have taken steps since 2020 to diversify our supply chain and reduce China sourcing by shifting primarily to Vietnam, we remain subject to substantial potential exposure to tariffs. Specifically, the latest tariffs implemented by the U.S. would have significant impact on our cost structure and product margins. Additionally, the uncertainty about trade policy, tariff rates, and other changes in practices affecting international trade, including whether such tariffs or other measures will be withdrawn, or modified in the future, makes it difficult for us to operate optimally. Depending on the level and longevity of the tariff disruption, we will continue to adjust our pricing while monitoring the impact of inflation and consumer confidence, on both a micro and macro basis.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Following is a description and discussion of the major components of our statement of operations: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21" w:lineRule="exact"/>
        <w:rPr>
          <w:sz w:val="20"/>
          <w:szCs w:val="20"/>
          <w:color w:val="auto"/>
        </w:rPr>
      </w:pPr>
    </w:p>
    <w:p>
      <w:pPr>
        <w:jc w:val="both"/>
        <w:ind w:left="40"/>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Net retail sales, commercial revenue and international franchising: </w:t>
      </w:r>
      <w:r>
        <w:rPr>
          <w:rFonts w:ascii="Times New Roman" w:cs="Times New Roman" w:eastAsia="Times New Roman" w:hAnsi="Times New Roman"/>
          <w:sz w:val="17"/>
          <w:szCs w:val="17"/>
          <w:color w:val="auto"/>
        </w:rPr>
        <w:t>See Note 3 — "Revenue" to the consolidated financial statements for additional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w:t>
      </w:r>
    </w:p>
    <w:p>
      <w:pPr>
        <w:spacing w:after="0" w:line="144" w:lineRule="exact"/>
        <w:rPr>
          <w:sz w:val="20"/>
          <w:szCs w:val="20"/>
          <w:color w:val="auto"/>
        </w:rPr>
      </w:pPr>
    </w:p>
    <w:p>
      <w:pPr>
        <w:jc w:val="both"/>
        <w:ind w:left="40" w:firstLine="425"/>
        <w:spacing w:after="0" w:line="266" w:lineRule="auto"/>
        <w:rPr>
          <w:sz w:val="20"/>
          <w:szCs w:val="20"/>
          <w:color w:val="auto"/>
        </w:rPr>
      </w:pPr>
      <w:r>
        <w:rPr>
          <w:rFonts w:ascii="Times New Roman" w:cs="Times New Roman" w:eastAsia="Times New Roman" w:hAnsi="Times New Roman"/>
          <w:sz w:val="17"/>
          <w:szCs w:val="17"/>
          <w:color w:val="auto"/>
        </w:rPr>
        <w:t>We use net retail sales per square foot as a performance measure for our business. The following table details net retail sales per square foot for stores open throughout the fiscal year for the periods presented: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3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Fiscal year ended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February 1,</w:t>
            </w:r>
          </w:p>
        </w:tc>
        <w:tc>
          <w:tcPr>
            <w:tcW w:w="120" w:type="dxa"/>
            <w:vAlign w:val="bottom"/>
          </w:tcPr>
          <w:p>
            <w:pPr>
              <w:spacing w:after="0"/>
              <w:rPr>
                <w:sz w:val="17"/>
                <w:szCs w:val="17"/>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February 3,</w:t>
            </w:r>
          </w:p>
        </w:tc>
        <w:tc>
          <w:tcPr>
            <w:tcW w:w="22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January 28,</w:t>
            </w:r>
          </w:p>
        </w:tc>
        <w:tc>
          <w:tcPr>
            <w:tcW w:w="80" w:type="dxa"/>
            <w:vAlign w:val="bottom"/>
          </w:tcPr>
          <w:p>
            <w:pPr>
              <w:spacing w:after="0"/>
              <w:rPr>
                <w:sz w:val="17"/>
                <w:szCs w:val="17"/>
                <w:color w:val="auto"/>
              </w:rPr>
            </w:pPr>
          </w:p>
        </w:tc>
      </w:tr>
      <w:tr>
        <w:trPr>
          <w:trHeight w:val="227"/>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retail sales per square foot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9"/>
                <w:szCs w:val="19"/>
                <w:color w:val="auto"/>
              </w:rPr>
            </w:pPr>
          </w:p>
        </w:tc>
      </w:tr>
      <w:tr>
        <w:trPr>
          <w:trHeight w:val="20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 (1)</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shd w:val="clear" w:color="auto" w:fill="CCEEFF"/>
          </w:tcPr>
          <w:p>
            <w:pPr>
              <w:spacing w:after="0"/>
              <w:rPr>
                <w:sz w:val="17"/>
                <w:szCs w:val="17"/>
                <w:color w:val="auto"/>
              </w:rPr>
            </w:pPr>
          </w:p>
        </w:tc>
      </w:tr>
      <w:tr>
        <w:trPr>
          <w:trHeight w:val="227"/>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 (2)</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629</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679</w:t>
            </w:r>
          </w:p>
        </w:tc>
      </w:tr>
    </w:tbl>
    <w:p>
      <w:pPr>
        <w:spacing w:after="0" w:line="171" w:lineRule="exact"/>
        <w:rPr>
          <w:sz w:val="20"/>
          <w:szCs w:val="20"/>
          <w:color w:val="auto"/>
        </w:rPr>
      </w:pPr>
    </w:p>
    <w:p>
      <w:pPr>
        <w:ind w:left="1580" w:right="1120" w:hanging="412"/>
        <w:spacing w:after="0" w:line="266" w:lineRule="auto"/>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retail sales per square foot in North America represents net retail sales from stores open throughout the entire period in North America, excluding e-commerce sales, divided by the total leased square footage of such stores.</w:t>
      </w:r>
    </w:p>
    <w:p>
      <w:pPr>
        <w:spacing w:after="0" w:line="1" w:lineRule="exact"/>
        <w:rPr>
          <w:rFonts w:ascii="Times New Roman" w:cs="Times New Roman" w:eastAsia="Times New Roman" w:hAnsi="Times New Roman"/>
          <w:sz w:val="17"/>
          <w:szCs w:val="17"/>
          <w:color w:val="auto"/>
        </w:rPr>
      </w:pPr>
    </w:p>
    <w:p>
      <w:pPr>
        <w:ind w:left="1580" w:right="1120" w:hanging="412"/>
        <w:spacing w:after="0" w:line="271" w:lineRule="auto"/>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retail sales per square foot in the U.K. represents net retail sales from stores open throughout the entire period in the U.K., excluding e-commerce sales, divided by the total selling square footage of such stores.</w:t>
      </w:r>
    </w:p>
    <w:p>
      <w:pPr>
        <w:sectPr>
          <w:pgSz w:w="11900" w:h="16838" w:orient="portrait"/>
          <w:cols w:equalWidth="0" w:num="1">
            <w:col w:w="11280"/>
          </w:cols>
          <w:pgMar w:left="280" w:top="121" w:right="339" w:bottom="1440" w:gutter="0" w:footer="0" w:header="0"/>
        </w:sectPr>
      </w:pP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p>
      <w:pPr>
        <w:spacing w:after="0" w:line="22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Cost of merchandise sold: </w:t>
      </w:r>
      <w:r>
        <w:rPr>
          <w:rFonts w:ascii="Times New Roman" w:cs="Times New Roman" w:eastAsia="Times New Roman" w:hAnsi="Times New Roman"/>
          <w:sz w:val="17"/>
          <w:szCs w:val="17"/>
          <w:color w:val="auto"/>
        </w:rPr>
        <w:t>Cost of merchandise sold is driven primarily by our retail segment. Cost of merchandise sold – retail includes the cost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merchandise, including royalties paid to licensors of third party branded merchandise, store occupancy cost, including store depreciation and store asset impairment charges (if not disclosed separately due to materiality) (See Note 6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profit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 (“SGA”): </w:t>
      </w:r>
      <w:r>
        <w:rPr>
          <w:rFonts w:ascii="Times New Roman" w:cs="Times New Roman" w:eastAsia="Times New Roman" w:hAnsi="Times New Roman"/>
          <w:sz w:val="17"/>
          <w:szCs w:val="17"/>
          <w:color w:val="auto"/>
        </w:rPr>
        <w:t>These expenses include store payroll and benefits, advertising, credit card fees, store supplies and normal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and the amortization of other assets. Certain store expenses such as credit card fees historically have increased or decreased proportionately with net retail sales. In addition, bad debt expenses and recoveries and accounts receivable related charges are recorded in SGA.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Corporately-Managed Locations:</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number of Build-A-Bear Workshop stores in the U.S. and Canada (collectively, North America) and the U.K. and Ireland (collectively, Europe) for the last three fiscal years is summarized as follows:</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18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1820" w:type="dxa"/>
            <w:vAlign w:val="bottom"/>
          </w:tcPr>
          <w:p>
            <w:pPr>
              <w:spacing w:after="0"/>
              <w:rPr>
                <w:sz w:val="17"/>
                <w:szCs w:val="17"/>
                <w:color w:val="auto"/>
              </w:rPr>
            </w:pPr>
          </w:p>
        </w:tc>
        <w:tc>
          <w:tcPr>
            <w:tcW w:w="1740" w:type="dxa"/>
            <w:vAlign w:val="bottom"/>
            <w:tcBorders>
              <w:bottom w:val="single" w:sz="8" w:color="auto"/>
            </w:tcBorders>
            <w:gridSpan w:val="5"/>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7"/>
              </w:rPr>
              <w:t>February 1, 2025</w:t>
            </w:r>
          </w:p>
        </w:tc>
        <w:tc>
          <w:tcPr>
            <w:tcW w:w="5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auto"/>
            </w:tcBorders>
            <w:gridSpan w:val="5"/>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w w:val="97"/>
              </w:rPr>
              <w:t>February 3, 2024</w:t>
            </w:r>
          </w:p>
        </w:tc>
        <w:tc>
          <w:tcPr>
            <w:tcW w:w="5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auto"/>
            </w:tcBorders>
            <w:gridSpan w:val="5"/>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7"/>
              </w:rPr>
              <w:t>January 28, 2023</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82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North</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North</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North</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18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America</w:t>
            </w: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1"/>
        </w:trPr>
        <w:tc>
          <w:tcPr>
            <w:tcW w:w="1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Borders>
              <w:top w:val="single" w:sz="8" w:color="CCEEFF"/>
            </w:tcBorders>
            <w:shd w:val="clear" w:color="auto" w:fill="CCEEFF"/>
          </w:tcPr>
          <w:p>
            <w:pPr>
              <w:spacing w:after="0"/>
              <w:rPr>
                <w:sz w:val="16"/>
                <w:szCs w:val="16"/>
                <w:color w:val="auto"/>
              </w:rPr>
            </w:pPr>
          </w:p>
        </w:tc>
      </w:tr>
      <w:tr>
        <w:trPr>
          <w:trHeight w:val="195"/>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Opened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r>
      <w:tr>
        <w:trPr>
          <w:trHeight w:val="19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Converted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Closed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4"/>
        </w:trPr>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During fiscal 2024, our retail business model continued to evolve to address changing shopping patterns by diversifying our locations, formats and geographies. We are updating our store portfolio with our Discovery format, which represented 52% of our store base as of February 1, 2025. During fiscal 2024, we executed eight planned net new store openings in North America, with seven being opened under the Discovery format. Temporary locations generally have lease terms of two to eighteen months. These specific sites are designed to capitalize on short-term opportunities. In the future, we expect to close certain stores in accordance with natural lease events as an ongoing part of our real estate management and day-to-day operational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Retail Locations: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number of third-party retail locations opened and closed for the periods presented below is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1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1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January 28, 2023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11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w w:val="82"/>
              </w:rPr>
              <w:t>70</w:t>
            </w:r>
          </w:p>
        </w:tc>
        <w:tc>
          <w:tcPr>
            <w:tcW w:w="1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8"/>
        </w:trPr>
        <w:tc>
          <w:tcPr>
            <w:tcW w:w="1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Opened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22</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1120" w:type="dxa"/>
            <w:vAlign w:val="bottom"/>
          </w:tcPr>
          <w:p>
            <w:pPr>
              <w:spacing w:after="0"/>
              <w:rPr>
                <w:sz w:val="18"/>
                <w:szCs w:val="18"/>
                <w:color w:val="auto"/>
              </w:rPr>
            </w:pPr>
          </w:p>
        </w:tc>
      </w:tr>
      <w:tr>
        <w:trPr>
          <w:trHeight w:val="221"/>
        </w:trPr>
        <w:tc>
          <w:tcPr>
            <w:tcW w:w="11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Closed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1120" w:type="dxa"/>
            <w:vAlign w:val="bottom"/>
          </w:tcPr>
          <w:p>
            <w:pPr>
              <w:spacing w:after="0"/>
              <w:rPr>
                <w:sz w:val="19"/>
                <w:szCs w:val="19"/>
                <w:color w:val="auto"/>
              </w:rPr>
            </w:pPr>
          </w:p>
        </w:tc>
      </w:tr>
      <w:tr>
        <w:trPr>
          <w:trHeight w:val="214"/>
        </w:trPr>
        <w:tc>
          <w:tcPr>
            <w:tcW w:w="1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7"/>
                <w:szCs w:val="17"/>
                <w:color w:val="auto"/>
                <w:w w:val="82"/>
              </w:rPr>
              <w:t>92</w:t>
            </w:r>
          </w:p>
        </w:tc>
        <w:tc>
          <w:tcPr>
            <w:tcW w:w="1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5"/>
        </w:trPr>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2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Through our third-party retail model, there were 138 stores in operation at the end of fiscal year 2024 with relationships that included Carnival Cruise Line, Great Wolf Lodge Resorts, Landry's, and Girl Scouts of the USA. The third-party retail model is capital light for us, with the partner company building out and operating the workshops including providing the real estate location and covering the cost of labor and inventory, which is purchased on a wholesale basis. These locations are heavily-weighted to the hospitality industry, which allow us to further advance our focus on experience location expansion in non-traditional and tourist areas, as well as shop-in-shop arrangements within other retailers’ stores.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Franchise Locations:</w:t>
      </w:r>
    </w:p>
    <w:p>
      <w:pPr>
        <w:spacing w:after="0" w:line="225"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Our first franchisee location was opened in November 2003. All franchised stores generally have similar signage, store layout and merchandise assortments as our corporately-managed stores. As of February 1, 2025, we had five master franchise agreements, which typically grant franchise rights for a particular country or group of countries, covering an aggregate of eight countries.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number of international, franchised stores opened and closed for the periods presented below is summarized as follows:</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1"/>
        </w:trPr>
        <w:tc>
          <w:tcPr>
            <w:tcW w:w="7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6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80" w:type="dxa"/>
            <w:vAlign w:val="bottom"/>
          </w:tcPr>
          <w:p>
            <w:pPr>
              <w:spacing w:after="0"/>
              <w:rPr>
                <w:sz w:val="15"/>
                <w:szCs w:val="15"/>
                <w:color w:val="auto"/>
              </w:rPr>
            </w:pPr>
          </w:p>
        </w:tc>
        <w:tc>
          <w:tcPr>
            <w:tcW w:w="136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1160" w:type="dxa"/>
            <w:vAlign w:val="bottom"/>
          </w:tcPr>
          <w:p>
            <w:pPr>
              <w:jc w:val="right"/>
              <w:ind w:right="53"/>
              <w:spacing w:after="0" w:line="181" w:lineRule="exact"/>
              <w:rPr>
                <w:sz w:val="20"/>
                <w:szCs w:val="20"/>
                <w:color w:val="auto"/>
              </w:rPr>
            </w:pPr>
            <w:r>
              <w:rPr>
                <w:rFonts w:ascii="Times New Roman" w:cs="Times New Roman" w:eastAsia="Times New Roman" w:hAnsi="Times New Roman"/>
                <w:sz w:val="17"/>
                <w:szCs w:val="17"/>
                <w:b w:val="1"/>
                <w:bCs w:val="1"/>
                <w:color w:val="auto"/>
              </w:rPr>
              <w:t>January 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9"/>
        </w:trPr>
        <w:tc>
          <w:tcPr>
            <w:tcW w:w="7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06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1"/>
        </w:trPr>
        <w:tc>
          <w:tcPr>
            <w:tcW w:w="70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of period</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8"/>
        </w:trPr>
        <w:tc>
          <w:tcPr>
            <w:tcW w:w="7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Opened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144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tcPr>
          <w:p>
            <w:pPr>
              <w:spacing w:after="0"/>
              <w:rPr>
                <w:sz w:val="18"/>
                <w:szCs w:val="18"/>
                <w:color w:val="auto"/>
              </w:rPr>
            </w:pPr>
          </w:p>
        </w:tc>
      </w:tr>
      <w:tr>
        <w:trPr>
          <w:trHeight w:val="221"/>
        </w:trPr>
        <w:tc>
          <w:tcPr>
            <w:tcW w:w="70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Closed</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14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w:t>
            </w:r>
          </w:p>
        </w:tc>
      </w:tr>
      <w:tr>
        <w:trPr>
          <w:trHeight w:val="214"/>
        </w:trPr>
        <w:tc>
          <w:tcPr>
            <w:tcW w:w="7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End of period</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76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5"/>
        </w:trPr>
        <w:tc>
          <w:tcPr>
            <w:tcW w:w="8460" w:type="dxa"/>
            <w:vAlign w:val="bottom"/>
            <w:gridSpan w:val="8"/>
          </w:tcPr>
          <w:p>
            <w:pPr>
              <w:jc w:val="right"/>
              <w:ind w:right="1360"/>
              <w:spacing w:after="0"/>
              <w:rPr>
                <w:sz w:val="20"/>
                <w:szCs w:val="20"/>
                <w:color w:val="auto"/>
              </w:rPr>
            </w:pPr>
            <w:r>
              <w:rPr>
                <w:rFonts w:ascii="Times New Roman" w:cs="Times New Roman" w:eastAsia="Times New Roman" w:hAnsi="Times New Roman"/>
                <w:sz w:val="17"/>
                <w:szCs w:val="17"/>
                <w:color w:val="auto"/>
              </w:rPr>
              <w:t>As of February 1, 2025, the distribution of franchised locations among these countries was as follows:</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7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7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Africa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w:t>
            </w:r>
          </w:p>
        </w:tc>
        <w:tc>
          <w:tcPr>
            <w:tcW w:w="60" w:type="dxa"/>
            <w:vAlign w:val="bottom"/>
            <w:shd w:val="clear" w:color="auto" w:fill="CCEEFF"/>
          </w:tcPr>
          <w:p>
            <w:pPr>
              <w:spacing w:after="0"/>
              <w:rPr>
                <w:sz w:val="18"/>
                <w:szCs w:val="18"/>
                <w:color w:val="auto"/>
              </w:rPr>
            </w:pPr>
          </w:p>
        </w:tc>
      </w:tr>
      <w:tr>
        <w:trPr>
          <w:trHeight w:val="208"/>
        </w:trPr>
        <w:tc>
          <w:tcPr>
            <w:tcW w:w="700" w:type="dxa"/>
            <w:vAlign w:val="bottom"/>
          </w:tcPr>
          <w:p>
            <w:pPr>
              <w:spacing w:after="0"/>
              <w:rPr>
                <w:sz w:val="18"/>
                <w:szCs w:val="18"/>
                <w:color w:val="auto"/>
              </w:rPr>
            </w:pPr>
          </w:p>
        </w:tc>
        <w:tc>
          <w:tcPr>
            <w:tcW w:w="5060" w:type="dxa"/>
            <w:vAlign w:val="bottom"/>
          </w:tcPr>
          <w:p>
            <w:pPr>
              <w:spacing w:after="0" w:line="209" w:lineRule="exact"/>
              <w:rPr>
                <w:sz w:val="20"/>
                <w:szCs w:val="20"/>
                <w:color w:val="auto"/>
              </w:rPr>
            </w:pPr>
            <w:r>
              <w:rPr>
                <w:rFonts w:ascii="Times New Roman" w:cs="Times New Roman" w:eastAsia="Times New Roman" w:hAnsi="Times New Roman"/>
                <w:sz w:val="15"/>
                <w:szCs w:val="15"/>
                <w:color w:val="auto"/>
              </w:rPr>
              <w:t xml:space="preserve">Australia </w:t>
            </w:r>
            <w:r>
              <w:rPr>
                <w:rFonts w:ascii="Times New Roman" w:cs="Times New Roman" w:eastAsia="Times New Roman" w:hAnsi="Times New Roman"/>
                <w:sz w:val="24"/>
                <w:szCs w:val="24"/>
                <w:color w:val="auto"/>
                <w:vertAlign w:val="superscript"/>
              </w:rPr>
              <w:t>(1)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w:t>
            </w:r>
          </w:p>
        </w:tc>
        <w:tc>
          <w:tcPr>
            <w:tcW w:w="60" w:type="dxa"/>
            <w:vAlign w:val="bottom"/>
          </w:tcPr>
          <w:p>
            <w:pPr>
              <w:spacing w:after="0"/>
              <w:rPr>
                <w:sz w:val="18"/>
                <w:szCs w:val="18"/>
                <w:color w:val="auto"/>
              </w:rPr>
            </w:pPr>
          </w:p>
        </w:tc>
      </w:tr>
      <w:tr>
        <w:trPr>
          <w:trHeight w:val="208"/>
        </w:trPr>
        <w:tc>
          <w:tcPr>
            <w:tcW w:w="700" w:type="dxa"/>
            <w:vAlign w:val="bottom"/>
          </w:tcPr>
          <w:p>
            <w:pPr>
              <w:spacing w:after="0"/>
              <w:rPr>
                <w:sz w:val="18"/>
                <w:szCs w:val="18"/>
                <w:color w:val="auto"/>
              </w:rPr>
            </w:pPr>
          </w:p>
        </w:tc>
        <w:tc>
          <w:tcPr>
            <w:tcW w:w="50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China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w:t>
            </w:r>
          </w:p>
        </w:tc>
        <w:tc>
          <w:tcPr>
            <w:tcW w:w="60" w:type="dxa"/>
            <w:vAlign w:val="bottom"/>
            <w:shd w:val="clear" w:color="auto" w:fill="CCEEFF"/>
          </w:tcPr>
          <w:p>
            <w:pPr>
              <w:spacing w:after="0"/>
              <w:rPr>
                <w:sz w:val="18"/>
                <w:szCs w:val="18"/>
                <w:color w:val="auto"/>
              </w:rPr>
            </w:pPr>
          </w:p>
        </w:tc>
      </w:tr>
      <w:tr>
        <w:trPr>
          <w:trHeight w:val="208"/>
        </w:trPr>
        <w:tc>
          <w:tcPr>
            <w:tcW w:w="700" w:type="dxa"/>
            <w:vAlign w:val="bottom"/>
          </w:tcPr>
          <w:p>
            <w:pPr>
              <w:spacing w:after="0"/>
              <w:rPr>
                <w:sz w:val="18"/>
                <w:szCs w:val="18"/>
                <w:color w:val="auto"/>
              </w:rPr>
            </w:pPr>
          </w:p>
        </w:tc>
        <w:tc>
          <w:tcPr>
            <w:tcW w:w="5060" w:type="dxa"/>
            <w:vAlign w:val="bottom"/>
          </w:tcPr>
          <w:p>
            <w:pPr>
              <w:spacing w:after="0" w:line="209" w:lineRule="exact"/>
              <w:rPr>
                <w:sz w:val="20"/>
                <w:szCs w:val="20"/>
                <w:color w:val="auto"/>
              </w:rPr>
            </w:pPr>
            <w:r>
              <w:rPr>
                <w:rFonts w:ascii="Times New Roman" w:cs="Times New Roman" w:eastAsia="Times New Roman" w:hAnsi="Times New Roman"/>
                <w:sz w:val="15"/>
                <w:szCs w:val="15"/>
                <w:color w:val="auto"/>
              </w:rPr>
              <w:t xml:space="preserve">Gulf States </w:t>
            </w:r>
            <w:r>
              <w:rPr>
                <w:rFonts w:ascii="Times New Roman" w:cs="Times New Roman" w:eastAsia="Times New Roman" w:hAnsi="Times New Roman"/>
                <w:sz w:val="24"/>
                <w:szCs w:val="24"/>
                <w:color w:val="auto"/>
                <w:vertAlign w:val="superscript"/>
              </w:rPr>
              <w:t>(3)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w:t>
            </w:r>
          </w:p>
        </w:tc>
        <w:tc>
          <w:tcPr>
            <w:tcW w:w="60" w:type="dxa"/>
            <w:vAlign w:val="bottom"/>
          </w:tcPr>
          <w:p>
            <w:pPr>
              <w:spacing w:after="0"/>
              <w:rPr>
                <w:sz w:val="18"/>
                <w:szCs w:val="18"/>
                <w:color w:val="auto"/>
              </w:rPr>
            </w:pPr>
          </w:p>
        </w:tc>
      </w:tr>
      <w:tr>
        <w:trPr>
          <w:trHeight w:val="208"/>
        </w:trPr>
        <w:tc>
          <w:tcPr>
            <w:tcW w:w="70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Chile</w:t>
            </w: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1"/>
        </w:trPr>
        <w:tc>
          <w:tcPr>
            <w:tcW w:w="7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83</w:t>
            </w:r>
          </w:p>
        </w:tc>
        <w:tc>
          <w:tcPr>
            <w:tcW w:w="6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hanging="261"/>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Australia master franchise agreement includes New Zealand where one store is currently open.</w:t>
      </w:r>
    </w:p>
    <w:p>
      <w:pPr>
        <w:spacing w:after="0" w:line="31" w:lineRule="exact"/>
        <w:rPr>
          <w:rFonts w:ascii="Times New Roman" w:cs="Times New Roman" w:eastAsia="Times New Roman" w:hAnsi="Times New Roman"/>
          <w:sz w:val="17"/>
          <w:szCs w:val="17"/>
          <w:color w:val="auto"/>
        </w:rPr>
      </w:pPr>
    </w:p>
    <w:p>
      <w:pPr>
        <w:ind w:left="460" w:hanging="261"/>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master franchise agreement includes Hong Kong where two stores are currently open.</w:t>
      </w:r>
    </w:p>
    <w:p>
      <w:pPr>
        <w:spacing w:after="0" w:line="12" w:lineRule="exact"/>
        <w:rPr>
          <w:rFonts w:ascii="Times New Roman" w:cs="Times New Roman" w:eastAsia="Times New Roman" w:hAnsi="Times New Roman"/>
          <w:sz w:val="17"/>
          <w:szCs w:val="17"/>
          <w:color w:val="auto"/>
        </w:rPr>
      </w:pPr>
    </w:p>
    <w:p>
      <w:pPr>
        <w:ind w:left="460" w:right="40" w:hanging="261"/>
        <w:spacing w:after="0" w:line="271" w:lineRule="auto"/>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Gulf States master franchise agreement includes Kuwait, Qatar and the United Arab Emirates which all have stores as well as Bahrain and Oman where no stores are currently open.</w:t>
      </w:r>
    </w:p>
    <w:p>
      <w:pPr>
        <w:spacing w:after="0" w:line="165" w:lineRule="exact"/>
        <w:rPr>
          <w:sz w:val="20"/>
          <w:szCs w:val="20"/>
          <w:color w:val="auto"/>
        </w:rPr>
      </w:pPr>
    </w:p>
    <w:p>
      <w:pPr>
        <w:jc w:val="both"/>
        <w:ind w:firstLine="425"/>
        <w:spacing w:after="0" w:line="271" w:lineRule="auto"/>
        <w:rPr>
          <w:sz w:val="20"/>
          <w:szCs w:val="20"/>
          <w:color w:val="auto"/>
        </w:rPr>
      </w:pPr>
      <w:r>
        <w:rPr>
          <w:rFonts w:ascii="Times New Roman" w:cs="Times New Roman" w:eastAsia="Times New Roman" w:hAnsi="Times New Roman"/>
          <w:sz w:val="17"/>
          <w:szCs w:val="17"/>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2024 Overview</w:t>
      </w:r>
    </w:p>
    <w:p>
      <w:pPr>
        <w:spacing w:after="0" w:line="223"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Our performance continues to reflect the success of our strategy which has allowed us to put the building blocks in place to develop a powerful platform to support our initiatives to deliver consistent profitable growth. We believe our elevated omnichannel business model, which includes a highly profitable e-commerce and experiential retail store base, complimented by diversified revenue streams and disciplined expense and balance sheet management, puts us in a solid position for continued future success. We delivered a full year pre-tax profit of $67.1 million, which was the highest in our company’s 27-year history. In response to a variety of external pressures including changes in consumer shopping habits resulting in the rapid rise of the digital economy and shifting mall traffic patterns, we remained focused on accelerating and expanding our key initiatives by investing in and executing plans to improve operations and profitability. We believe that the majority of our positive performance was driven by the disciplined execution of our strategic initiatives, including leveraging our financial management to invest in growth initiatives, to contribute to an increase in total revenue of $10.3 million in fiscal 2024. We ended the year with cash and cash equivalents of $27.8 million with no outstanding borrowings on our credit facility. During fiscal 2024, the Company returned $42.0 million to shareholders through $31.0 million in share repurchases and $11.0 million in dividends.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firstLine="425"/>
        <w:spacing w:after="0" w:line="293" w:lineRule="auto"/>
        <w:rPr>
          <w:sz w:val="20"/>
          <w:szCs w:val="20"/>
          <w:color w:val="auto"/>
        </w:rPr>
      </w:pPr>
      <w:r>
        <w:rPr>
          <w:rFonts w:ascii="Times New Roman" w:cs="Times New Roman" w:eastAsia="Times New Roman" w:hAnsi="Times New Roman"/>
          <w:sz w:val="17"/>
          <w:szCs w:val="17"/>
          <w:color w:val="auto"/>
        </w:rPr>
        <w:t>The following table sets forth, for the periods indicated, selected statement of operations data expressed as a percentage of total revenues, except where otherwise indicated. Percentages may not total due to immaterial rounding:</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1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40" w:type="dxa"/>
            <w:vAlign w:val="bottom"/>
          </w:tcPr>
          <w:p>
            <w:pPr>
              <w:spacing w:after="0"/>
              <w:rPr>
                <w:sz w:val="15"/>
                <w:szCs w:val="15"/>
                <w:color w:val="auto"/>
              </w:rPr>
            </w:pPr>
          </w:p>
        </w:tc>
        <w:tc>
          <w:tcPr>
            <w:tcW w:w="174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174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January 28,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5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retail sales</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92.8%</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93.9%</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95.3%</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revenue</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8"/>
        </w:trPr>
        <w:tc>
          <w:tcPr>
            <w:tcW w:w="3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International franchising</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0.9</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0.9</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Total revenues</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1"/>
        </w:trPr>
        <w:tc>
          <w:tcPr>
            <w:tcW w:w="384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Cost of merchandise sold - retail (1)</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45.0</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merchandise sold - commercial (1)</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42.8</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47.6</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190"/>
        </w:trPr>
        <w:tc>
          <w:tcPr>
            <w:tcW w:w="384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Cost of merchandise sold - international</w:t>
            </w:r>
          </w:p>
        </w:tc>
        <w:tc>
          <w:tcPr>
            <w:tcW w:w="1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69.2</w:t>
            </w:r>
          </w:p>
        </w:tc>
        <w:tc>
          <w:tcPr>
            <w:tcW w:w="1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62.1</w:t>
            </w: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14"/>
        </w:trPr>
        <w:tc>
          <w:tcPr>
            <w:tcW w:w="3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franchising (1)</w:t>
            </w:r>
          </w:p>
        </w:tc>
        <w:tc>
          <w:tcPr>
            <w:tcW w:w="174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Total cost of merchandise sold</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45.6</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gross profit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54.9</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41.5</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40.9</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08"/>
        </w:trPr>
        <w:tc>
          <w:tcPr>
            <w:tcW w:w="3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13.5</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08"/>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Net income</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10.4</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10.9</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187"/>
        </w:trPr>
        <w:tc>
          <w:tcPr>
            <w:tcW w:w="3840" w:type="dxa"/>
            <w:vAlign w:val="bottom"/>
            <w:tcBorders>
              <w:top w:val="single" w:sz="8" w:color="CCEEFF"/>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Retail gross margin (2)</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55.0%</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54.7%</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20" w:hanging="416"/>
        <w:spacing w:after="0" w:line="266"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spacing w:after="0" w:line="1" w:lineRule="exact"/>
        <w:rPr>
          <w:rFonts w:ascii="Times New Roman" w:cs="Times New Roman" w:eastAsia="Times New Roman" w:hAnsi="Times New Roman"/>
          <w:sz w:val="17"/>
          <w:szCs w:val="17"/>
          <w:color w:val="auto"/>
        </w:rPr>
      </w:pPr>
    </w:p>
    <w:p>
      <w:pPr>
        <w:ind w:left="420" w:right="40" w:hanging="416"/>
        <w:spacing w:after="0" w:line="271"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gross margin represents net retail sales less cost of merchandise sold – retail; retail gross margin percentage represents retail gross margin divided by net retail sales.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Year Ended February 1, 2025 Compared to Fiscal Year Ended February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2024 had 52 weeks compared to fiscal 2023 which was impacted by an additional week as it was a 53-week period.</w:t>
      </w:r>
    </w:p>
    <w:p>
      <w:pPr>
        <w:spacing w:after="0" w:line="219"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Total revenues. </w:t>
      </w:r>
      <w:r>
        <w:rPr>
          <w:rFonts w:ascii="Times New Roman" w:cs="Times New Roman" w:eastAsia="Times New Roman" w:hAnsi="Times New Roman"/>
          <w:sz w:val="17"/>
          <w:szCs w:val="17"/>
          <w:color w:val="auto"/>
        </w:rPr>
        <w:t>Net retail sales were $460.3 million for fiscal 2024, compared to $456.2 million for fiscal 2023, an increase of $4.2 million or 0.9%,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prior year. The components of this increase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1120" w:type="dxa"/>
            <w:vAlign w:val="bottom"/>
          </w:tcPr>
          <w:p>
            <w:pPr>
              <w:spacing w:after="0"/>
              <w:rPr>
                <w:sz w:val="18"/>
                <w:szCs w:val="18"/>
                <w:color w:val="auto"/>
              </w:rPr>
            </w:pPr>
          </w:p>
        </w:tc>
      </w:tr>
      <w:tr>
        <w:trPr>
          <w:trHeight w:val="229"/>
        </w:trPr>
        <w:tc>
          <w:tcPr>
            <w:tcW w:w="1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120" w:type="dxa"/>
            <w:vAlign w:val="bottom"/>
          </w:tcPr>
          <w:p>
            <w:pPr>
              <w:spacing w:after="0"/>
              <w:rPr>
                <w:sz w:val="19"/>
                <w:szCs w:val="19"/>
                <w:color w:val="auto"/>
              </w:rPr>
            </w:pPr>
          </w:p>
        </w:tc>
      </w:tr>
      <w:tr>
        <w:trPr>
          <w:trHeight w:val="201"/>
        </w:trPr>
        <w:tc>
          <w:tcPr>
            <w:tcW w:w="1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(dollars in millions)</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8"/>
        </w:trPr>
        <w:tc>
          <w:tcPr>
            <w:tcW w:w="11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Impact from:</w:t>
            </w:r>
          </w:p>
        </w:tc>
        <w:tc>
          <w:tcPr>
            <w:tcW w:w="4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Existing stores</w:t>
            </w:r>
          </w:p>
        </w:tc>
        <w:tc>
          <w:tcPr>
            <w:tcW w:w="58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12.2</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53rd week</w:t>
            </w:r>
          </w:p>
        </w:tc>
        <w:tc>
          <w:tcPr>
            <w:tcW w:w="5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New stores</w:t>
            </w:r>
          </w:p>
        </w:tc>
        <w:tc>
          <w:tcPr>
            <w:tcW w:w="58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8.5</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E-commerce</w:t>
            </w:r>
          </w:p>
        </w:tc>
        <w:tc>
          <w:tcPr>
            <w:tcW w:w="5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Store closures</w:t>
            </w: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Gift card discounts</w:t>
            </w:r>
          </w:p>
        </w:tc>
        <w:tc>
          <w:tcPr>
            <w:tcW w:w="5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58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0.8</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Gift card breakage</w:t>
            </w:r>
          </w:p>
        </w:tc>
        <w:tc>
          <w:tcPr>
            <w:tcW w:w="5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0.2</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42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11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5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w:t>
            </w:r>
          </w:p>
        </w:tc>
        <w:tc>
          <w:tcPr>
            <w:tcW w:w="1120" w:type="dxa"/>
            <w:vAlign w:val="bottom"/>
          </w:tcPr>
          <w:p>
            <w:pPr>
              <w:spacing w:after="0"/>
              <w:rPr>
                <w:sz w:val="20"/>
                <w:szCs w:val="20"/>
                <w:color w:val="auto"/>
              </w:rPr>
            </w:pPr>
          </w:p>
        </w:tc>
      </w:tr>
      <w:tr>
        <w:trPr>
          <w:trHeight w:val="395"/>
        </w:trPr>
        <w:tc>
          <w:tcPr>
            <w:tcW w:w="1120" w:type="dxa"/>
            <w:vAlign w:val="bottom"/>
          </w:tcPr>
          <w:p>
            <w:pPr>
              <w:spacing w:after="0"/>
              <w:rPr>
                <w:sz w:val="24"/>
                <w:szCs w:val="24"/>
                <w:color w:val="auto"/>
              </w:rPr>
            </w:pPr>
          </w:p>
        </w:tc>
        <w:tc>
          <w:tcPr>
            <w:tcW w:w="3200" w:type="dxa"/>
            <w:vAlign w:val="bottom"/>
            <w:tcBorders>
              <w:top w:val="single" w:sz="8" w:color="CCEEFF"/>
            </w:tcBorders>
          </w:tcPr>
          <w:p>
            <w:pPr>
              <w:spacing w:after="0"/>
              <w:rPr>
                <w:sz w:val="24"/>
                <w:szCs w:val="24"/>
                <w:color w:val="auto"/>
              </w:rPr>
            </w:pPr>
          </w:p>
        </w:tc>
        <w:tc>
          <w:tcPr>
            <w:tcW w:w="4280" w:type="dxa"/>
            <w:vAlign w:val="bottom"/>
            <w:tcBorders>
              <w:top w:val="single" w:sz="8" w:color="CCEEFF"/>
            </w:tcBorders>
          </w:tcPr>
          <w:p>
            <w:pPr>
              <w:jc w:val="right"/>
              <w:ind w:right="2793"/>
              <w:spacing w:after="0"/>
              <w:rPr>
                <w:sz w:val="20"/>
                <w:szCs w:val="20"/>
                <w:color w:val="auto"/>
              </w:rPr>
            </w:pPr>
            <w:r>
              <w:rPr>
                <w:rFonts w:ascii="Times New Roman" w:cs="Times New Roman" w:eastAsia="Times New Roman" w:hAnsi="Times New Roman"/>
                <w:sz w:val="17"/>
                <w:szCs w:val="17"/>
                <w:color w:val="auto"/>
              </w:rPr>
              <w:t>29</w:t>
            </w: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left="20" w:right="120" w:firstLine="399"/>
        <w:spacing w:after="0" w:line="274" w:lineRule="auto"/>
        <w:rPr>
          <w:sz w:val="20"/>
          <w:szCs w:val="20"/>
          <w:color w:val="auto"/>
        </w:rPr>
      </w:pPr>
      <w:r>
        <w:rPr>
          <w:rFonts w:ascii="Times New Roman" w:cs="Times New Roman" w:eastAsia="Times New Roman" w:hAnsi="Times New Roman"/>
          <w:sz w:val="17"/>
          <w:szCs w:val="17"/>
          <w:color w:val="auto"/>
        </w:rPr>
        <w:t>The retail revenue increase was primarily the result of an increase in sales from corporately-operated retail locations through growth in the number of transactions, as our traffic outpaced national retail traffic data, and the opening of a net nine new corporately-managed locations in the fiscal year. The increased sales were partially offset by impact of the 53rd week in 2023 and a decrease in web demand for the year.</w:t>
      </w:r>
    </w:p>
    <w:p>
      <w:pPr>
        <w:spacing w:after="0" w:line="163" w:lineRule="exact"/>
        <w:rPr>
          <w:sz w:val="20"/>
          <w:szCs w:val="20"/>
          <w:color w:val="auto"/>
        </w:rPr>
      </w:pPr>
    </w:p>
    <w:p>
      <w:pPr>
        <w:jc w:val="both"/>
        <w:ind w:left="20" w:firstLine="425"/>
        <w:spacing w:after="0" w:line="293" w:lineRule="auto"/>
        <w:rPr>
          <w:sz w:val="20"/>
          <w:szCs w:val="20"/>
          <w:color w:val="auto"/>
        </w:rPr>
      </w:pPr>
      <w:r>
        <w:rPr>
          <w:rFonts w:ascii="Times New Roman" w:cs="Times New Roman" w:eastAsia="Times New Roman" w:hAnsi="Times New Roman"/>
          <w:sz w:val="17"/>
          <w:szCs w:val="17"/>
          <w:color w:val="auto"/>
        </w:rPr>
        <w:t>Commercial revenue was $31.4 million for fiscal 2024 compared to $25.4 million for fiscal 2023, an increase of $6.0 million or 23.5%, primarily due to increased sales volume from our commercial accounts through our third-party retail model.</w:t>
      </w:r>
    </w:p>
    <w:p>
      <w:pPr>
        <w:spacing w:after="0" w:line="147" w:lineRule="exact"/>
        <w:rPr>
          <w:sz w:val="20"/>
          <w:szCs w:val="20"/>
          <w:color w:val="auto"/>
        </w:rPr>
      </w:pPr>
    </w:p>
    <w:p>
      <w:pPr>
        <w:jc w:val="both"/>
        <w:ind w:left="20" w:firstLine="425"/>
        <w:spacing w:after="0" w:line="293" w:lineRule="auto"/>
        <w:rPr>
          <w:sz w:val="20"/>
          <w:szCs w:val="20"/>
          <w:color w:val="auto"/>
        </w:rPr>
      </w:pPr>
      <w:r>
        <w:rPr>
          <w:rFonts w:ascii="Times New Roman" w:cs="Times New Roman" w:eastAsia="Times New Roman" w:hAnsi="Times New Roman"/>
          <w:sz w:val="17"/>
          <w:szCs w:val="17"/>
          <w:color w:val="auto"/>
        </w:rPr>
        <w:t>Revenue from international franchising was $4.7 million for fiscal 2024 compared to $4.5 million for fiscal 2023. This $0.2 million or 3.4% increase was primarily due to having more stores in operation in 2024 compared to the same period in 2023.</w:t>
      </w:r>
    </w:p>
    <w:p>
      <w:pPr>
        <w:spacing w:after="0" w:line="145" w:lineRule="exact"/>
        <w:rPr>
          <w:sz w:val="20"/>
          <w:szCs w:val="20"/>
          <w:color w:val="auto"/>
        </w:rPr>
      </w:pPr>
    </w:p>
    <w:p>
      <w:pPr>
        <w:jc w:val="both"/>
        <w:ind w:left="20" w:firstLine="425"/>
        <w:spacing w:after="0" w:line="275" w:lineRule="auto"/>
        <w:rPr>
          <w:sz w:val="20"/>
          <w:szCs w:val="20"/>
          <w:color w:val="auto"/>
        </w:rPr>
      </w:pPr>
      <w:r>
        <w:rPr>
          <w:rFonts w:ascii="Times New Roman" w:cs="Times New Roman" w:eastAsia="Times New Roman" w:hAnsi="Times New Roman"/>
          <w:sz w:val="17"/>
          <w:szCs w:val="17"/>
          <w:i w:val="1"/>
          <w:iCs w:val="1"/>
          <w:color w:val="auto"/>
        </w:rPr>
        <w:t>Retail gross margin</w:t>
      </w:r>
      <w:r>
        <w:rPr>
          <w:rFonts w:ascii="Times New Roman" w:cs="Times New Roman" w:eastAsia="Times New Roman" w:hAnsi="Times New Roman"/>
          <w:sz w:val="17"/>
          <w:szCs w:val="17"/>
          <w:color w:val="auto"/>
        </w:rPr>
        <w:t>. Retail gross margin was $253.1 million in fiscal 2024 compared to $249.3 million in fiscal 2023, an increase of $3.8 million or 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percentage of net retail sales, retail gross margin increased to 55.0% for fiscal 2024 from 54.7% for fiscal 2023, or 30 basis points as a percentage of net retail sales. The increase in gross margin was the result of lower merchandise and freight costs partially offset by higher occupancy expenses.</w:t>
      </w:r>
    </w:p>
    <w:p>
      <w:pPr>
        <w:spacing w:after="0" w:line="161" w:lineRule="exact"/>
        <w:rPr>
          <w:sz w:val="20"/>
          <w:szCs w:val="20"/>
          <w:color w:val="auto"/>
        </w:rPr>
      </w:pPr>
    </w:p>
    <w:p>
      <w:pPr>
        <w:jc w:val="both"/>
        <w:ind w:left="20" w:firstLine="468"/>
        <w:spacing w:after="0" w:line="275" w:lineRule="auto"/>
        <w:rPr>
          <w:sz w:val="20"/>
          <w:szCs w:val="20"/>
          <w:color w:val="auto"/>
        </w:rPr>
      </w:pPr>
      <w:r>
        <w:rPr>
          <w:rFonts w:ascii="Times New Roman" w:cs="Times New Roman" w:eastAsia="Times New Roman" w:hAnsi="Times New Roman"/>
          <w:sz w:val="17"/>
          <w:szCs w:val="17"/>
          <w:i w:val="1"/>
          <w:iCs w:val="1"/>
          <w:color w:val="auto"/>
        </w:rPr>
        <w:t>Selling, general and administrative</w:t>
      </w:r>
      <w:r>
        <w:rPr>
          <w:rFonts w:ascii="Times New Roman" w:cs="Times New Roman" w:eastAsia="Times New Roman" w:hAnsi="Times New Roman"/>
          <w:sz w:val="17"/>
          <w:szCs w:val="17"/>
          <w:color w:val="auto"/>
        </w:rPr>
        <w:t>. Selling, general and administrative expenses were $206.2 million or 41.5% of consolidated revenue for fiscal 2024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$199.0 million or 40.9% of consolidated revenue for fiscal 2023. The increase in overall expense was driven by higher store-level wages due to minimum wage increases and higher outside services. These higher expenses were partially offset by decreased advertising expense.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Interest expense (income)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net. </w:t>
      </w:r>
      <w:r>
        <w:rPr>
          <w:rFonts w:ascii="Times New Roman" w:cs="Times New Roman" w:eastAsia="Times New Roman" w:hAnsi="Times New Roman"/>
          <w:sz w:val="17"/>
          <w:szCs w:val="17"/>
          <w:color w:val="auto"/>
        </w:rPr>
        <w:t>For fiscal 2024, we had $0.9 million of interest income compared to $0.9 million of interest income in fiscal 2023.</w:t>
      </w:r>
    </w:p>
    <w:p>
      <w:pPr>
        <w:spacing w:after="0" w:line="221" w:lineRule="exact"/>
        <w:rPr>
          <w:sz w:val="20"/>
          <w:szCs w:val="20"/>
          <w:color w:val="auto"/>
        </w:rPr>
      </w:pPr>
    </w:p>
    <w:p>
      <w:pPr>
        <w:jc w:val="both"/>
        <w:ind w:left="20" w:firstLine="425"/>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The provision for income taxes was $15.4 million in fiscal 2024 compared to $13.5 million in fiscal 2023. The 2024 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of 22.9% differed from the statutory rate of 21% primarily due to state income tax expense partially offset by the benefit of the foreign-derived intangible income (FDII) deduction. The 2023 effective rate of 20.4% differed from the statutory rate of 21% primarily due to the reversal of the valuation allowance in the U.K. partially offset by state income tax expense.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Fiscal Year Ended February 3, 2024 Compared to Fiscal Year Ended January 28, 2023</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Fiscal 2023 was impacted by an additional week as it was a 53-week period, which is compared to 52 weeks in fiscal 2022.</w:t>
      </w:r>
    </w:p>
    <w:p>
      <w:pPr>
        <w:spacing w:after="0" w:line="219" w:lineRule="exact"/>
        <w:rPr>
          <w:sz w:val="20"/>
          <w:szCs w:val="20"/>
          <w:color w:val="auto"/>
        </w:rPr>
      </w:pPr>
    </w:p>
    <w:p>
      <w:pPr>
        <w:ind w:left="60" w:right="720" w:hanging="42"/>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Total revenues. </w:t>
      </w:r>
      <w:r>
        <w:rPr>
          <w:rFonts w:ascii="Times New Roman" w:cs="Times New Roman" w:eastAsia="Times New Roman" w:hAnsi="Times New Roman"/>
          <w:sz w:val="17"/>
          <w:szCs w:val="17"/>
          <w:color w:val="auto"/>
        </w:rPr>
        <w:t>Net retail sales were $ 456.2 million for fiscal 2023, compared to $ 446.2 million for fiscal 2022 , an increase of $10.0 million or 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prior year. The components of this increase are as follows: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738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Fiscal year ended</w:t>
            </w:r>
          </w:p>
        </w:tc>
      </w:tr>
      <w:tr>
        <w:trPr>
          <w:trHeight w:val="229"/>
        </w:trPr>
        <w:tc>
          <w:tcPr>
            <w:tcW w:w="738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February 3, 2024</w:t>
            </w:r>
          </w:p>
        </w:tc>
      </w:tr>
      <w:tr>
        <w:trPr>
          <w:trHeight w:val="201"/>
        </w:trPr>
        <w:tc>
          <w:tcPr>
            <w:tcW w:w="738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(dollars in millions)</w:t>
            </w:r>
          </w:p>
        </w:tc>
        <w:tc>
          <w:tcPr>
            <w:tcW w:w="80" w:type="dxa"/>
            <w:vAlign w:val="bottom"/>
          </w:tcPr>
          <w:p>
            <w:pPr>
              <w:spacing w:after="0"/>
              <w:rPr>
                <w:sz w:val="17"/>
                <w:szCs w:val="17"/>
                <w:color w:val="auto"/>
              </w:rPr>
            </w:pP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Impact from:</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New stores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53rd week</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6.9</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Store closures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E-commerce</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Gift card discounts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Gift card breakage</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0.7</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stores</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(0.7)</w:t>
            </w:r>
          </w:p>
        </w:tc>
      </w:tr>
      <w:tr>
        <w:trPr>
          <w:trHeight w:val="214"/>
        </w:trPr>
        <w:tc>
          <w:tcPr>
            <w:tcW w:w="738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right="80" w:firstLine="468"/>
        <w:spacing w:after="0" w:line="293" w:lineRule="auto"/>
        <w:rPr>
          <w:sz w:val="20"/>
          <w:szCs w:val="20"/>
          <w:color w:val="auto"/>
        </w:rPr>
      </w:pPr>
      <w:r>
        <w:rPr>
          <w:rFonts w:ascii="Times New Roman" w:cs="Times New Roman" w:eastAsia="Times New Roman" w:hAnsi="Times New Roman"/>
          <w:sz w:val="17"/>
          <w:szCs w:val="17"/>
          <w:color w:val="auto"/>
        </w:rPr>
        <w:t>The retail revenue increase was primarily the result of the 53rd week in the fiscal year, new store openings, and an increase in gift card breakage recorded, partially offset by a decrease in digital sales.</w:t>
      </w:r>
    </w:p>
    <w:p>
      <w:pPr>
        <w:spacing w:after="0" w:line="147" w:lineRule="exact"/>
        <w:rPr>
          <w:sz w:val="20"/>
          <w:szCs w:val="20"/>
          <w:color w:val="auto"/>
        </w:rPr>
      </w:pPr>
    </w:p>
    <w:p>
      <w:pPr>
        <w:ind w:right="280" w:firstLine="468"/>
        <w:spacing w:after="0" w:line="293" w:lineRule="auto"/>
        <w:rPr>
          <w:sz w:val="20"/>
          <w:szCs w:val="20"/>
          <w:color w:val="auto"/>
        </w:rPr>
      </w:pPr>
      <w:r>
        <w:rPr>
          <w:rFonts w:ascii="Times New Roman" w:cs="Times New Roman" w:eastAsia="Times New Roman" w:hAnsi="Times New Roman"/>
          <w:sz w:val="17"/>
          <w:szCs w:val="17"/>
          <w:color w:val="auto"/>
        </w:rPr>
        <w:t>Commercial revenue was $25.4 million for fiscal 2023 compared to $18.5 million for fiscal 2022, an increase of $6.9 million or 37.2% primarily due to increased sales volume from our commercial accounts through our third-party retail model.</w:t>
      </w:r>
    </w:p>
    <w:p>
      <w:pPr>
        <w:spacing w:after="0" w:line="147" w:lineRule="exact"/>
        <w:rPr>
          <w:sz w:val="20"/>
          <w:szCs w:val="20"/>
          <w:color w:val="auto"/>
        </w:rPr>
      </w:pPr>
    </w:p>
    <w:p>
      <w:pPr>
        <w:ind w:right="60" w:firstLine="468"/>
        <w:spacing w:after="0" w:line="293" w:lineRule="auto"/>
        <w:rPr>
          <w:sz w:val="20"/>
          <w:szCs w:val="20"/>
          <w:color w:val="auto"/>
        </w:rPr>
      </w:pPr>
      <w:r>
        <w:rPr>
          <w:rFonts w:ascii="Times New Roman" w:cs="Times New Roman" w:eastAsia="Times New Roman" w:hAnsi="Times New Roman"/>
          <w:sz w:val="17"/>
          <w:szCs w:val="17"/>
          <w:color w:val="auto"/>
        </w:rPr>
        <w:t>Revenue from international franchising was $4.5 million for fiscal 2023 compared to $3.2 million for fiscal 2022. This $1.3 million or 40.6% increase was primarily due to having more stores in operation in 2023 compared to the same period in 2022.</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 xml:space="preserve">Retail gross margin. </w:t>
      </w:r>
      <w:r>
        <w:rPr>
          <w:rFonts w:ascii="Times New Roman" w:cs="Times New Roman" w:eastAsia="Times New Roman" w:hAnsi="Times New Roman"/>
          <w:sz w:val="17"/>
          <w:szCs w:val="17"/>
          <w:color w:val="auto"/>
        </w:rPr>
        <w:t>Retail gross margin was $249.3 million in fiscal 2023 compared to $234.7 million in fiscal 2022, an increase of $14.6 million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 As a percentage of net retail sales, retail gross margin increased to 54.6% for fiscal 2023 from 52.6% for fiscal 2022, or 200 basis points as a percentage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retail sales. The increase in gross margin was the result of lower freight expenses in 2023 compared to 2022.</w:t>
      </w:r>
    </w:p>
    <w:p>
      <w:pPr>
        <w:spacing w:after="0" w:line="200" w:lineRule="exact"/>
        <w:rPr>
          <w:sz w:val="20"/>
          <w:szCs w:val="20"/>
          <w:color w:val="auto"/>
        </w:rPr>
      </w:pPr>
    </w:p>
    <w:p>
      <w:pPr>
        <w:ind w:right="100" w:firstLine="46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w:t>
      </w:r>
      <w:r>
        <w:rPr>
          <w:rFonts w:ascii="Times New Roman" w:cs="Times New Roman" w:eastAsia="Times New Roman" w:hAnsi="Times New Roman"/>
          <w:sz w:val="17"/>
          <w:szCs w:val="17"/>
          <w:color w:val="auto"/>
        </w:rPr>
        <w:t>Selling, general and administrative expenses were $199.0 million or 40.9% of consolidated revenue for fiscal 2023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$183.9 million or 39.3% of consolidated revenue for fiscal 2022. The increase in overall expense was driven by higher store-level wages due to inflation and the addition of talent and other investments to support growth, including an advertising expense increase of $4.7 million or 23.9% compared to fiscal 2022.</w:t>
      </w:r>
    </w:p>
    <w:p>
      <w:pPr>
        <w:spacing w:after="0" w:line="164" w:lineRule="exact"/>
        <w:rPr>
          <w:sz w:val="20"/>
          <w:szCs w:val="20"/>
          <w:color w:val="auto"/>
        </w:rPr>
      </w:pPr>
    </w:p>
    <w:p>
      <w:pPr>
        <w:ind w:right="400" w:firstLine="468"/>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Interest expense (income), net. </w:t>
      </w:r>
      <w:r>
        <w:rPr>
          <w:rFonts w:ascii="Times New Roman" w:cs="Times New Roman" w:eastAsia="Times New Roman" w:hAnsi="Times New Roman"/>
          <w:sz w:val="17"/>
          <w:szCs w:val="17"/>
          <w:color w:val="auto"/>
        </w:rPr>
        <w:t>For fiscal 2023, we had $0.9 million of interest income compared to an immaterial amount of interest expense in fiscal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resulting from higher interest rates.</w:t>
      </w:r>
    </w:p>
    <w:p>
      <w:pPr>
        <w:spacing w:after="0" w:line="142" w:lineRule="exact"/>
        <w:rPr>
          <w:sz w:val="20"/>
          <w:szCs w:val="20"/>
          <w:color w:val="auto"/>
        </w:rPr>
      </w:pPr>
    </w:p>
    <w:p>
      <w:pPr>
        <w:ind w:right="140" w:firstLine="46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The provision for income taxes was $13.5 million in fiscal 2023 compared to $13.9 million in fiscal 2022. The 2023 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of 20.4% differed from the statutory rate of 21% primarily due to the reversal of the valuation allowance in the U.K. partially offset by state income tax expense. The 2022 effective rate of 22.5% differed from the statutory rate of 21% primarily due to state income tax expense.</w:t>
      </w:r>
    </w:p>
    <w:p>
      <w:pPr>
        <w:sectPr>
          <w:pgSz w:w="11900" w:h="16838" w:orient="portrait"/>
          <w:cols w:equalWidth="0" w:num="1">
            <w:col w:w="11260"/>
          </w:cols>
          <w:pgMar w:left="300" w:top="121" w:right="339" w:bottom="450" w:gutter="0" w:footer="0" w:header="0"/>
        </w:sectPr>
      </w:pP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450" w:gutter="0" w:footer="0" w:header="0"/>
          <w:type w:val="continuous"/>
        </w:sectPr>
      </w:pPr>
    </w:p>
    <w:bookmarkStart w:id="32" w:name="page33"/>
    <w:bookmarkEnd w:id="32"/>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 - Earnings before Interest, Taxes, Depreciation, and Amortization</w:t>
      </w:r>
    </w:p>
    <w:p>
      <w:pPr>
        <w:spacing w:after="0" w:line="225" w:lineRule="exact"/>
        <w:rPr>
          <w:sz w:val="20"/>
          <w:szCs w:val="20"/>
          <w:color w:val="auto"/>
        </w:rPr>
      </w:pPr>
    </w:p>
    <w:p>
      <w:pPr>
        <w:jc w:val="both"/>
        <w:ind w:left="20" w:firstLine="468"/>
        <w:spacing w:after="0" w:line="263"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3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January 28, 2023</w:t>
            </w:r>
          </w:p>
        </w:tc>
        <w:tc>
          <w:tcPr>
            <w:tcW w:w="80" w:type="dxa"/>
            <w:vAlign w:val="bottom"/>
          </w:tcPr>
          <w:p>
            <w:pPr>
              <w:spacing w:after="0"/>
              <w:rPr>
                <w:sz w:val="17"/>
                <w:szCs w:val="17"/>
                <w:color w:val="auto"/>
              </w:rPr>
            </w:pPr>
          </w:p>
        </w:tc>
      </w:tr>
      <w:tr>
        <w:trPr>
          <w:trHeight w:val="20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 (pre-tax)</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67,141</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66,329</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61,924</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(929)</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r>
      <w:tr>
        <w:trPr>
          <w:trHeight w:val="20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14,772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13,657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12,482</w:t>
            </w:r>
          </w:p>
        </w:tc>
      </w:tr>
      <w:tr>
        <w:trPr>
          <w:trHeight w:val="183"/>
        </w:trPr>
        <w:tc>
          <w:tcPr>
            <w:tcW w:w="3980" w:type="dxa"/>
            <w:vAlign w:val="bottom"/>
            <w:tcBorders>
              <w:top w:val="single" w:sz="8" w:color="CCEEFF"/>
            </w:tcBorders>
          </w:tcPr>
          <w:p>
            <w:pPr>
              <w:spacing w:after="0" w:line="183" w:lineRule="exact"/>
              <w:rPr>
                <w:sz w:val="20"/>
                <w:szCs w:val="20"/>
                <w:color w:val="auto"/>
              </w:rPr>
            </w:pPr>
            <w:r>
              <w:rPr>
                <w:rFonts w:ascii="Times New Roman" w:cs="Times New Roman" w:eastAsia="Times New Roman" w:hAnsi="Times New Roman"/>
                <w:sz w:val="17"/>
                <w:szCs w:val="17"/>
                <w:color w:val="auto"/>
              </w:rPr>
              <w:t>Earnings before interest, taxes, depreciation, and</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27"/>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81,052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79,057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74,425</w:t>
            </w:r>
          </w:p>
        </w:tc>
      </w:tr>
    </w:tbl>
    <w:p>
      <w:pPr>
        <w:spacing w:after="0" w:line="190" w:lineRule="exact"/>
        <w:rPr>
          <w:sz w:val="20"/>
          <w:szCs w:val="20"/>
          <w:color w:val="auto"/>
        </w:rPr>
      </w:pPr>
    </w:p>
    <w:p>
      <w:pPr>
        <w:ind w:right="160" w:firstLine="468"/>
        <w:spacing w:after="0" w:line="274" w:lineRule="auto"/>
        <w:rPr>
          <w:sz w:val="20"/>
          <w:szCs w:val="20"/>
          <w:color w:val="auto"/>
        </w:rPr>
      </w:pPr>
      <w:r>
        <w:rPr>
          <w:rFonts w:ascii="Times New Roman" w:cs="Times New Roman" w:eastAsia="Times New Roman" w:hAnsi="Times New Roman"/>
          <w:sz w:val="17"/>
          <w:szCs w:val="17"/>
          <w:color w:val="auto"/>
        </w:rPr>
        <w:t>EBITDA for fiscal 2024 was $81.1 million, compared to $79.1 million for fiscal 2023 and $74.4 million in fiscal 2022. The increase of $2.0 million in fiscal 2024 was driven by retail and commercial margins partially offset by higher SG&amp;A expenses. The increase in fiscal 2023 was driven by lower freight expense, leverage of warehouse costs, and the impact of the 53rd week in fiscal 2023.</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25" w:lineRule="exact"/>
        <w:rPr>
          <w:sz w:val="20"/>
          <w:szCs w:val="20"/>
          <w:color w:val="auto"/>
        </w:rPr>
      </w:pPr>
    </w:p>
    <w:p>
      <w:pPr>
        <w:jc w:val="both"/>
        <w:ind w:left="20" w:firstLine="468"/>
        <w:spacing w:after="0" w:line="293" w:lineRule="auto"/>
        <w:rPr>
          <w:sz w:val="20"/>
          <w:szCs w:val="20"/>
          <w:color w:val="auto"/>
        </w:rPr>
      </w:pPr>
      <w:r>
        <w:rPr>
          <w:rFonts w:ascii="Times New Roman" w:cs="Times New Roman" w:eastAsia="Times New Roman" w:hAnsi="Times New Roman"/>
          <w:sz w:val="17"/>
          <w:szCs w:val="17"/>
          <w:color w:val="auto"/>
        </w:rPr>
        <w:t>Our cash requirements are primarily for the opening, remodeling or reformatting of stores, installation and upgrades of information systems and working capital. Over the past several years, we have met these requirements through cash generated from operations.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100" w:type="dxa"/>
            <w:vAlign w:val="bottom"/>
          </w:tcPr>
          <w:p>
            <w:pPr>
              <w:spacing w:after="0"/>
              <w:rPr>
                <w:sz w:val="16"/>
                <w:szCs w:val="16"/>
                <w:color w:val="auto"/>
              </w:rPr>
            </w:pPr>
          </w:p>
        </w:tc>
        <w:tc>
          <w:tcPr>
            <w:tcW w:w="160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200" w:type="dxa"/>
            <w:vAlign w:val="bottom"/>
          </w:tcPr>
          <w:p>
            <w:pPr>
              <w:spacing w:after="0"/>
              <w:rPr>
                <w:sz w:val="16"/>
                <w:szCs w:val="16"/>
                <w:color w:val="auto"/>
              </w:rPr>
            </w:pPr>
          </w:p>
        </w:tc>
        <w:tc>
          <w:tcPr>
            <w:tcW w:w="1320" w:type="dxa"/>
            <w:vAlign w:val="bottom"/>
          </w:tcPr>
          <w:p>
            <w:pPr>
              <w:jc w:val="right"/>
              <w:ind w:right="233"/>
              <w:spacing w:after="0" w:line="194" w:lineRule="exact"/>
              <w:rPr>
                <w:sz w:val="20"/>
                <w:szCs w:val="20"/>
                <w:color w:val="auto"/>
              </w:rPr>
            </w:pPr>
            <w:r>
              <w:rPr>
                <w:rFonts w:ascii="Times New Roman" w:cs="Times New Roman" w:eastAsia="Times New Roman" w:hAnsi="Times New Roman"/>
                <w:sz w:val="17"/>
                <w:szCs w:val="17"/>
                <w:b w:val="1"/>
                <w:bCs w:val="1"/>
                <w:color w:val="auto"/>
              </w:rPr>
              <w:t>January 28,</w:t>
            </w:r>
          </w:p>
        </w:tc>
        <w:tc>
          <w:tcPr>
            <w:tcW w:w="80" w:type="dxa"/>
            <w:vAlign w:val="bottom"/>
          </w:tcPr>
          <w:p>
            <w:pPr>
              <w:spacing w:after="0"/>
              <w:rPr>
                <w:sz w:val="16"/>
                <w:szCs w:val="16"/>
                <w:color w:val="auto"/>
              </w:rPr>
            </w:pPr>
          </w:p>
        </w:tc>
      </w:tr>
      <w:tr>
        <w:trPr>
          <w:trHeight w:val="229"/>
        </w:trPr>
        <w:tc>
          <w:tcPr>
            <w:tcW w:w="3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0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47,276</w:t>
            </w:r>
          </w:p>
        </w:tc>
        <w:tc>
          <w:tcPr>
            <w:tcW w:w="80" w:type="dxa"/>
            <w:vAlign w:val="bottom"/>
            <w:shd w:val="clear" w:color="auto" w:fill="CCEEFF"/>
          </w:tcPr>
          <w:p>
            <w:pPr>
              <w:spacing w:after="0"/>
              <w:rPr>
                <w:sz w:val="17"/>
                <w:szCs w:val="17"/>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(19,317)</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(18,295)</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(13,634)</w:t>
            </w:r>
          </w:p>
        </w:tc>
      </w:tr>
      <w:tr>
        <w:trPr>
          <w:trHeight w:val="20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(44,159)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(43,901)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(25,056)</w:t>
            </w:r>
          </w:p>
        </w:tc>
      </w:tr>
      <w:tr>
        <w:trPr>
          <w:trHeight w:val="221"/>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rates on cash</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767</w:t>
            </w:r>
          </w:p>
        </w:tc>
      </w:tr>
      <w:tr>
        <w:trPr>
          <w:trHeight w:val="170"/>
        </w:trPr>
        <w:tc>
          <w:tcPr>
            <w:tcW w:w="3980" w:type="dxa"/>
            <w:vAlign w:val="bottom"/>
            <w:tcBorders>
              <w:top w:val="single" w:sz="8" w:color="CCEEFF"/>
            </w:tcBorders>
            <w:shd w:val="clear" w:color="auto" w:fill="CCEEFF"/>
          </w:tcPr>
          <w:p>
            <w:pPr>
              <w:ind w:left="160"/>
              <w:spacing w:after="0" w:line="170" w:lineRule="exact"/>
              <w:rPr>
                <w:sz w:val="20"/>
                <w:szCs w:val="20"/>
                <w:color w:val="auto"/>
              </w:rPr>
            </w:pPr>
            <w:r>
              <w:rPr>
                <w:rFonts w:ascii="Times New Roman" w:cs="Times New Roman" w:eastAsia="Times New Roman" w:hAnsi="Times New Roman"/>
                <w:sz w:val="17"/>
                <w:szCs w:val="17"/>
                <w:color w:val="auto"/>
              </w:rPr>
              <w:t>Increase (decrease) in cash, cash equivalents and</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27"/>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(16,569)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2,129</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9,353</w:t>
            </w:r>
          </w:p>
        </w:tc>
      </w:tr>
    </w:tbl>
    <w:p>
      <w:pPr>
        <w:spacing w:after="0" w:line="188" w:lineRule="exact"/>
        <w:rPr>
          <w:sz w:val="20"/>
          <w:szCs w:val="20"/>
          <w:color w:val="auto"/>
        </w:rPr>
      </w:pPr>
    </w:p>
    <w:p>
      <w:pPr>
        <w:jc w:val="both"/>
        <w:ind w:left="20" w:firstLine="425"/>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Cash flows provided by operating activities were $47.1 million, $64.3 million and $47.3 million in fiscal years 2024, 2023 and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Cash flows from operating activities decreased in fiscal 2024 as compared to fiscal 2023 primarily driven by increased cash spent on inventory purchases in the second half of fiscal 2024 in anticipation of the uncertainty in cost due to potential tariffs, higher accounts receivable resulting from higher commercial revenue and decreased payables and accrued expenses. Cash flows from operating activities increased in fiscal 2023 as compared to fiscal 2022 primarily driven by a decrease in cash spent on inventory purchases and increased sales volume, resulting in higher net income.</w:t>
      </w:r>
    </w:p>
    <w:p>
      <w:pPr>
        <w:spacing w:after="0" w:line="170" w:lineRule="exact"/>
        <w:rPr>
          <w:sz w:val="20"/>
          <w:szCs w:val="20"/>
          <w:color w:val="auto"/>
        </w:rPr>
      </w:pPr>
    </w:p>
    <w:p>
      <w:pPr>
        <w:jc w:val="both"/>
        <w:ind w:left="20" w:firstLine="425"/>
        <w:spacing w:after="0" w:line="275"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Cash flows used in investing activities were $19.3 million, $18.3 million and $13.6 million in fiscal years 2024, 2023 and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increases in cash used in investing activities when comparing fiscal 2024 to fiscal 2023 and fiscal 2023 to fiscal 2022 were primarily driven by an increased spending on capital expenditures related to information technology projects and new store openings.</w:t>
      </w:r>
    </w:p>
    <w:p>
      <w:pPr>
        <w:spacing w:after="0" w:line="161" w:lineRule="exact"/>
        <w:rPr>
          <w:sz w:val="20"/>
          <w:szCs w:val="20"/>
          <w:color w:val="auto"/>
        </w:rPr>
      </w:pPr>
    </w:p>
    <w:p>
      <w:pPr>
        <w:jc w:val="both"/>
        <w:ind w:left="20" w:firstLine="425"/>
        <w:spacing w:after="0" w:line="269" w:lineRule="auto"/>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Financing activities used cash of $44.2 million in fiscal 2024, $43.9 million in fiscal 2023 and $25.1 million in fiscal 2022. Cash 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financing activities in fiscal 2024 increased slightly when compared to fiscal 2023 due to increased stock repurchases offset by lower dividends. Cash used in financing activities in fiscal 2023 increased as compared to fiscal 2022, driven primarily by the repurchases of our common stock for $20.5 million throughout fiscal 2023 and dividends paid of $22.1 million.</w:t>
      </w:r>
    </w:p>
    <w:p>
      <w:pPr>
        <w:spacing w:after="0" w:line="164" w:lineRule="exact"/>
        <w:rPr>
          <w:sz w:val="20"/>
          <w:szCs w:val="20"/>
          <w:color w:val="auto"/>
        </w:rPr>
      </w:pPr>
    </w:p>
    <w:p>
      <w:pPr>
        <w:ind w:left="20" w:right="80"/>
        <w:spacing w:after="0" w:line="296" w:lineRule="auto"/>
        <w:rPr>
          <w:sz w:val="20"/>
          <w:szCs w:val="20"/>
          <w:color w:val="auto"/>
        </w:rPr>
      </w:pPr>
      <w:r>
        <w:rPr>
          <w:rFonts w:ascii="Times New Roman" w:cs="Times New Roman" w:eastAsia="Times New Roman" w:hAnsi="Times New Roman"/>
          <w:sz w:val="17"/>
          <w:szCs w:val="17"/>
          <w:i w:val="1"/>
          <w:iCs w:val="1"/>
          <w:color w:val="auto"/>
        </w:rPr>
        <w:t>Capital Resources</w:t>
      </w:r>
      <w:r>
        <w:rPr>
          <w:rFonts w:ascii="Times New Roman" w:cs="Times New Roman" w:eastAsia="Times New Roman" w:hAnsi="Times New Roman"/>
          <w:sz w:val="17"/>
          <w:szCs w:val="17"/>
          <w:color w:val="auto"/>
        </w:rPr>
        <w:t>. As of February 1, 2025, we had a cash balance of $27.8 million, of which 79% was domiciled within the U.S, after investing $19.3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projects throughout the year.</w:t>
      </w:r>
    </w:p>
    <w:p>
      <w:pPr>
        <w:spacing w:after="0" w:line="200" w:lineRule="exact"/>
        <w:rPr>
          <w:sz w:val="20"/>
          <w:szCs w:val="20"/>
          <w:color w:val="auto"/>
        </w:rPr>
      </w:pPr>
    </w:p>
    <w:p>
      <w:pPr>
        <w:spacing w:after="0" w:line="3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77470</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ind w:left="9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right="180" w:firstLine="468"/>
        <w:spacing w:after="0" w:line="268" w:lineRule="auto"/>
        <w:rPr>
          <w:sz w:val="20"/>
          <w:szCs w:val="20"/>
          <w:color w:val="auto"/>
        </w:rPr>
      </w:pPr>
      <w:r>
        <w:rPr>
          <w:rFonts w:ascii="Times New Roman" w:cs="Times New Roman" w:eastAsia="Times New Roman" w:hAnsi="Times New Roman"/>
          <w:sz w:val="17"/>
          <w:szCs w:val="17"/>
          <w:color w:val="auto"/>
        </w:rPr>
        <w:t>We have a revolving credit and security agreement with PNC Bank, as agent, that provides for a secured revolving loan in aggregate principal of up to $25.0 million, subject to a borrowing base formula. As of February 1, 2025, borrowings under the agreement would bear interest at (a) a base rate determined under the agreement, or (b) the borrower's option, at a rate based on SOFR, plus in either case a margin based on average undrawn availability as determined in accordance with the agreement. As of February 3, 2024, we had a borrowing base of $25.0 million. As of February 1, 2025, we had no outstanding borrowings.</w:t>
      </w:r>
    </w:p>
    <w:p>
      <w:pPr>
        <w:spacing w:after="0" w:line="168" w:lineRule="exact"/>
        <w:rPr>
          <w:sz w:val="20"/>
          <w:szCs w:val="20"/>
          <w:color w:val="auto"/>
        </w:rPr>
      </w:pPr>
    </w:p>
    <w:p>
      <w:pPr>
        <w:jc w:val="both"/>
        <w:ind w:left="20" w:firstLine="468"/>
        <w:spacing w:after="0" w:line="274" w:lineRule="auto"/>
        <w:rPr>
          <w:sz w:val="20"/>
          <w:szCs w:val="20"/>
          <w:color w:val="auto"/>
        </w:rPr>
      </w:pPr>
      <w:r>
        <w:rPr>
          <w:rFonts w:ascii="Times New Roman" w:cs="Times New Roman" w:eastAsia="Times New Roman" w:hAnsi="Times New Roman"/>
          <w:sz w:val="17"/>
          <w:szCs w:val="17"/>
          <w:color w:val="auto"/>
        </w:rPr>
        <w:t>During fiscal 2024, we utilized $31.0 million in cash to repurchase 1,021,004 shares under the both the August 2022 Stock Repurchase Program and September 2024 Stock Repurchase Program. Since the end of fiscal 2024 through April 14, 2025, the Company utilized $4.2 million to repurchase 108,503 shares under the stock buyback program, leaving $85.0 million available under the September 2024 Stock Repurchase Program.</w:t>
      </w:r>
    </w:p>
    <w:p>
      <w:pPr>
        <w:spacing w:after="0" w:line="163" w:lineRule="exact"/>
        <w:rPr>
          <w:sz w:val="20"/>
          <w:szCs w:val="20"/>
          <w:color w:val="auto"/>
        </w:rPr>
      </w:pPr>
    </w:p>
    <w:p>
      <w:pPr>
        <w:jc w:val="both"/>
        <w:ind w:left="20" w:firstLine="468"/>
        <w:spacing w:after="0" w:line="268" w:lineRule="auto"/>
        <w:rPr>
          <w:sz w:val="20"/>
          <w:szCs w:val="20"/>
          <w:color w:val="auto"/>
        </w:rPr>
      </w:pPr>
      <w:r>
        <w:rPr>
          <w:rFonts w:ascii="Times New Roman" w:cs="Times New Roman" w:eastAsia="Times New Roman" w:hAnsi="Times New Roman"/>
          <w:sz w:val="17"/>
          <w:szCs w:val="17"/>
          <w:color w:val="auto"/>
        </w:rPr>
        <w:t>On March 13, 2024, the Company announced the initiation of a quarterly dividend program and during the first, second, third and fourth quarters of fiscal 2024, the Company declared cash dividends of $0.20 per share, totaling $2.9 million, $2.7 million, $2.7 million and $2.7 million, respectively. Additionally, the Board of Directors declared a quarterly cash dividend of $0.22 per share on the issued and outstanding common stock of the Company, which was paid on April 10, 2025, to all stockholders of record as of March 27, 2025.</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February 1, 2025, we had restricted cash of $0.4 million compared to $0.4 million as of February 3, 2024 and $0.5 million as of January 28, 2023.</w:t>
      </w:r>
    </w:p>
    <w:p>
      <w:pPr>
        <w:spacing w:after="0" w:line="221" w:lineRule="exact"/>
        <w:rPr>
          <w:sz w:val="20"/>
          <w:szCs w:val="20"/>
          <w:color w:val="auto"/>
        </w:rPr>
      </w:pPr>
    </w:p>
    <w:p>
      <w:pPr>
        <w:jc w:val="both"/>
        <w:ind w:left="20" w:firstLine="468"/>
        <w:spacing w:after="0" w:line="260" w:lineRule="auto"/>
        <w:rPr>
          <w:sz w:val="20"/>
          <w:szCs w:val="20"/>
          <w:color w:val="auto"/>
        </w:rPr>
      </w:pPr>
      <w:r>
        <w:rPr>
          <w:rFonts w:ascii="Times New Roman" w:cs="Times New Roman" w:eastAsia="Times New Roman" w:hAnsi="Times New Roman"/>
          <w:sz w:val="17"/>
          <w:szCs w:val="17"/>
          <w:color w:val="auto"/>
        </w:rPr>
        <w:t>Most of our retail stores are located within shopping malls and all are operated under leases classified as operating leases. Our leases in North America tend to be shorter term leases to provide flexibility in aligning stores with market trends. During fiscal 2024, lease extensions began to have longer terms as we have secured longer deals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9" w:lineRule="exact"/>
        <w:rPr>
          <w:sz w:val="20"/>
          <w:szCs w:val="20"/>
          <w:color w:val="auto"/>
        </w:rPr>
      </w:pPr>
    </w:p>
    <w:p>
      <w:pPr>
        <w:jc w:val="both"/>
        <w:ind w:left="20" w:firstLine="468"/>
        <w:spacing w:after="0" w:line="268" w:lineRule="auto"/>
        <w:rPr>
          <w:sz w:val="20"/>
          <w:szCs w:val="20"/>
          <w:color w:val="auto"/>
        </w:rPr>
      </w:pPr>
      <w:r>
        <w:rPr>
          <w:rFonts w:ascii="Times New Roman" w:cs="Times New Roman" w:eastAsia="Times New Roman" w:hAnsi="Times New Roman"/>
          <w:sz w:val="17"/>
          <w:szCs w:val="17"/>
          <w:color w:val="auto"/>
        </w:rPr>
        <w:t>Our leases in the U.K. and Ireland typically have terms of five or ten years and generally contain a provision whereby every third or fifth year we have the opportunity to exit the lease (the ‘break clause’).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or quarterly and paid in advance.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Capital spending in fiscal 2024 totaled $19.3 million and was primarily used to support our ongoing digital initiatives and new store openings.</w:t>
      </w:r>
    </w:p>
    <w:p>
      <w:pPr>
        <w:spacing w:after="0" w:line="221" w:lineRule="exact"/>
        <w:rPr>
          <w:sz w:val="20"/>
          <w:szCs w:val="20"/>
          <w:color w:val="auto"/>
        </w:rPr>
      </w:pPr>
    </w:p>
    <w:p>
      <w:pPr>
        <w:jc w:val="both"/>
        <w:ind w:left="20" w:firstLine="468"/>
        <w:spacing w:after="0" w:line="268" w:lineRule="auto"/>
        <w:rPr>
          <w:sz w:val="20"/>
          <w:szCs w:val="20"/>
          <w:color w:val="auto"/>
        </w:rPr>
      </w:pPr>
      <w:r>
        <w:rPr>
          <w:rFonts w:ascii="Times New Roman" w:cs="Times New Roman" w:eastAsia="Times New Roman" w:hAnsi="Times New Roman"/>
          <w:sz w:val="17"/>
          <w:szCs w:val="17"/>
          <w:color w:val="auto"/>
        </w:rPr>
        <w:t>We have various contractual or other obligations, including operating lease commitments and obligations under deferred compensation plans. Additional information is provided in the notes to our consolidated financial statements. As of February 1, 2025, we had purchase obligations totaling approximately $98.3 million, of which $27.0 million are due in the next 12 months. We believe our operating cash flows are sufficient to meet our material cash requirements for at least the next 12 months.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have no off-balance sheet arrangements as of February 1, 2025.</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225"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7"/>
          <w:szCs w:val="17"/>
          <w:color w:val="auto"/>
        </w:rPr>
        <w:t>The impact of inflation on the Company's business operations was seen throughout fiscal 2022 and 2023. Inflation continued to adversely affect our business in fiscal 2024, mainly through rising store labor costs. However, we continue to take mitigating actions, such as select strategic price increases on highly sought-after products and leveraging distribution costs. We expect the inflationary pressures experienced in fiscal 2024 to continue into fiscal 2025, specifically through wage increases and tariffs on inventory purchases. We continue to monitor the impact of inflation on our business operations on an ongoing basis and may need to adjust our prices further to mitigate the impacts of changes to the rate of inflation during 2024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conflict, tension between China and Taiwan, and the Israel-Hamas conflict. We cannot provide an estimate or range of impact that such inflation may have on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if we elect to maintain higher inventory reserves to mitigate anticipated higher costs.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Policies and Estimates</w:t>
      </w:r>
    </w:p>
    <w:p>
      <w:pPr>
        <w:spacing w:after="0" w:line="225" w:lineRule="exact"/>
        <w:rPr>
          <w:sz w:val="20"/>
          <w:szCs w:val="20"/>
          <w:color w:val="auto"/>
        </w:rPr>
      </w:pPr>
    </w:p>
    <w:p>
      <w:pPr>
        <w:ind w:left="20" w:right="280" w:firstLine="468"/>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68" w:lineRule="exact"/>
        <w:rPr>
          <w:sz w:val="20"/>
          <w:szCs w:val="20"/>
          <w:color w:val="auto"/>
        </w:rPr>
      </w:pPr>
    </w:p>
    <w:p>
      <w:pPr>
        <w:jc w:val="both"/>
        <w:ind w:left="20" w:firstLine="425"/>
        <w:spacing w:after="0" w:line="274" w:lineRule="auto"/>
        <w:rPr>
          <w:sz w:val="20"/>
          <w:szCs w:val="20"/>
          <w:color w:val="auto"/>
        </w:rPr>
      </w:pPr>
      <w:r>
        <w:rPr>
          <w:rFonts w:ascii="Times New Roman" w:cs="Times New Roman" w:eastAsia="Times New Roman" w:hAnsi="Times New Roman"/>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3" w:lineRule="exact"/>
        <w:rPr>
          <w:sz w:val="20"/>
          <w:szCs w:val="20"/>
          <w:color w:val="auto"/>
        </w:rPr>
      </w:pPr>
    </w:p>
    <w:p>
      <w:pPr>
        <w:jc w:val="both"/>
        <w:ind w:left="20" w:firstLine="425"/>
        <w:spacing w:after="0" w:line="293" w:lineRule="auto"/>
        <w:rPr>
          <w:sz w:val="20"/>
          <w:szCs w:val="20"/>
          <w:color w:val="auto"/>
        </w:rPr>
      </w:pPr>
      <w:r>
        <w:rPr>
          <w:rFonts w:ascii="Times New Roman" w:cs="Times New Roman" w:eastAsia="Times New Roman" w:hAnsi="Times New Roman"/>
          <w:sz w:val="17"/>
          <w:szCs w:val="17"/>
          <w:color w:val="auto"/>
        </w:rPr>
        <w:t>Our accounting policies are more fully described in Note 2 - "Summary of Significant Accounting Policies" to our consolidated financial statements, which appear elsewhere in this Annual Report on Form 10-K. We have identified the following critical accounting estimates: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 Impairments</w:t>
      </w:r>
    </w:p>
    <w:p>
      <w:pPr>
        <w:spacing w:after="0" w:line="225" w:lineRule="exact"/>
        <w:rPr>
          <w:sz w:val="20"/>
          <w:szCs w:val="20"/>
          <w:color w:val="auto"/>
        </w:rPr>
      </w:pPr>
    </w:p>
    <w:p>
      <w:pPr>
        <w:jc w:val="both"/>
        <w:ind w:left="20" w:firstLine="468"/>
        <w:spacing w:after="0" w:line="261" w:lineRule="auto"/>
        <w:rPr>
          <w:sz w:val="20"/>
          <w:szCs w:val="20"/>
          <w:color w:val="auto"/>
        </w:rPr>
      </w:pPr>
      <w:r>
        <w:rPr>
          <w:rFonts w:ascii="Times New Roman" w:cs="Times New Roman" w:eastAsia="Times New Roman" w:hAnsi="Times New Roman"/>
          <w:sz w:val="17"/>
          <w:szCs w:val="17"/>
          <w:color w:val="auto"/>
        </w:rPr>
        <w:t xml:space="preserve">In accordance with ASC 360-10-35, we assess the potential impairment of long-lived assets, which include property, plant and equipment and operating lease right-of-use assets (subsequent to the adoption of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when events or changes in circumstances indicate that the carrying value may not be recoverable. Management's judgments regarding the existence of impairment indicators are based on market conditions and financial performance.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operating lease right-of-use assets, we determine the fair value of the lease right-of-use assets by comparing the contractual rent payments to estimated market rental rates. Fair value is calculated as the present value of estimated future cash flows for each asset group.</w:t>
      </w:r>
    </w:p>
    <w:p>
      <w:pPr>
        <w:spacing w:after="0" w:line="385" w:lineRule="exact"/>
        <w:rPr>
          <w:sz w:val="20"/>
          <w:szCs w:val="20"/>
          <w:color w:val="auto"/>
        </w:rPr>
      </w:pPr>
    </w:p>
    <w:p>
      <w:pPr>
        <w:jc w:val="both"/>
        <w:ind w:left="20" w:firstLine="425"/>
        <w:spacing w:after="0" w:line="260" w:lineRule="auto"/>
        <w:rPr>
          <w:sz w:val="20"/>
          <w:szCs w:val="20"/>
          <w:color w:val="auto"/>
        </w:rPr>
      </w:pPr>
      <w:r>
        <w:rPr>
          <w:rFonts w:ascii="Times New Roman" w:cs="Times New Roman" w:eastAsia="Times New Roman" w:hAnsi="Times New Roman"/>
          <w:sz w:val="17"/>
          <w:szCs w:val="17"/>
          <w:color w:val="auto"/>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rolling twelve-month results (i.e. full fiscal year). We consider a historical and/or projected negative cash flow trend for a store location to be an indicator that the carrying value of that asset group may not be recoverable. Impairment charges related to this assessment are typically included in Store asset impairment as a component of income (loss) before income taxes in the DTC segment. See Note 4 - "Leases" and Note 6 - "Property and Equipment, net" to our consolidated financial statements for further discussion.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both"/>
        <w:ind w:left="20" w:firstLine="468"/>
        <w:spacing w:after="0" w:line="293" w:lineRule="auto"/>
        <w:rPr>
          <w:sz w:val="20"/>
          <w:szCs w:val="20"/>
          <w:color w:val="auto"/>
        </w:rPr>
      </w:pPr>
      <w:r>
        <w:rPr>
          <w:rFonts w:ascii="Times New Roman" w:cs="Times New Roman" w:eastAsia="Times New Roman" w:hAnsi="Times New Roman"/>
          <w:sz w:val="17"/>
          <w:szCs w:val="17"/>
          <w:color w:val="auto"/>
        </w:rPr>
        <w:t>During fiscal 2024, 2023 and 2022, we recorded immaterial impairment charges on long-lived assets. As a measure of sensitivity for fiscal 2024, a hypothetical 10% decrease in the undiscounted future cash flows for the stores would have resulted in immaterial impairments for the year.</w:t>
      </w:r>
    </w:p>
    <w:p>
      <w:pPr>
        <w:spacing w:after="0" w:line="147" w:lineRule="exact"/>
        <w:rPr>
          <w:sz w:val="20"/>
          <w:szCs w:val="20"/>
          <w:color w:val="auto"/>
        </w:rPr>
      </w:pPr>
    </w:p>
    <w:p>
      <w:pPr>
        <w:jc w:val="both"/>
        <w:ind w:left="20" w:firstLine="468"/>
        <w:spacing w:after="0" w:line="274" w:lineRule="auto"/>
        <w:rPr>
          <w:sz w:val="20"/>
          <w:szCs w:val="20"/>
          <w:color w:val="auto"/>
        </w:rPr>
      </w:pPr>
      <w:r>
        <w:rPr>
          <w:rFonts w:ascii="Times New Roman" w:cs="Times New Roman" w:eastAsia="Times New Roman" w:hAnsi="Times New Roman"/>
          <w:sz w:val="17"/>
          <w:szCs w:val="17"/>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spacing w:after="0" w:line="163" w:lineRule="exact"/>
        <w:rPr>
          <w:sz w:val="20"/>
          <w:szCs w:val="20"/>
          <w:color w:val="auto"/>
        </w:rPr>
      </w:pPr>
    </w:p>
    <w:p>
      <w:pPr>
        <w:jc w:val="both"/>
        <w:ind w:left="20" w:firstLine="468"/>
        <w:spacing w:after="0" w:line="268" w:lineRule="auto"/>
        <w:rPr>
          <w:sz w:val="20"/>
          <w:szCs w:val="20"/>
          <w:color w:val="auto"/>
        </w:rPr>
      </w:pPr>
      <w:r>
        <w:rPr>
          <w:rFonts w:ascii="Times New Roman" w:cs="Times New Roman" w:eastAsia="Times New Roman" w:hAnsi="Times New Roman"/>
          <w:sz w:val="17"/>
          <w:szCs w:val="17"/>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a pandemic), and thus could be significantly different than historical results. The assumptions used in future calculations of fair value may change significantly which could result in further impairment charges in future periods.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3" w:lineRule="exact"/>
        <w:rPr>
          <w:sz w:val="20"/>
          <w:szCs w:val="20"/>
          <w:color w:val="auto"/>
        </w:rPr>
      </w:pPr>
    </w:p>
    <w:p>
      <w:pPr>
        <w:jc w:val="both"/>
        <w:ind w:left="20" w:firstLine="468"/>
        <w:spacing w:after="0" w:line="248"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 Subsequent to stores reopening following shutdowns caused by COVID,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2024 would have resulted in a change in breakage revenue of $1.1 million.</w:t>
      </w:r>
    </w:p>
    <w:p>
      <w:pPr>
        <w:spacing w:after="0" w:line="159" w:lineRule="exact"/>
        <w:rPr>
          <w:sz w:val="20"/>
          <w:szCs w:val="20"/>
          <w:color w:val="auto"/>
        </w:rPr>
      </w:pPr>
    </w:p>
    <w:p>
      <w:pPr>
        <w:jc w:val="both"/>
        <w:ind w:left="20" w:firstLine="468"/>
        <w:spacing w:after="0" w:line="253" w:lineRule="auto"/>
        <w:rPr>
          <w:sz w:val="20"/>
          <w:szCs w:val="20"/>
          <w:color w:val="auto"/>
        </w:rPr>
      </w:pPr>
      <w:r>
        <w:rPr>
          <w:rFonts w:ascii="Times New Roman" w:cs="Times New Roman" w:eastAsia="Times New Roman" w:hAnsi="Times New Roman"/>
          <w:sz w:val="17"/>
          <w:szCs w:val="17"/>
          <w:color w:val="auto"/>
        </w:rPr>
        <w:t>For certain qualifying transactions, a portion of revenue transactions are deferred for the obligation related to our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our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A hypothetical 1% change in redemption patterns our loyalty program would result in a change in deferred revenue of approximately $0.1 million.</w:t>
      </w:r>
    </w:p>
    <w:p>
      <w:pPr>
        <w:spacing w:after="0" w:line="169" w:lineRule="exact"/>
        <w:rPr>
          <w:sz w:val="20"/>
          <w:szCs w:val="20"/>
          <w:color w:val="auto"/>
        </w:rPr>
      </w:pPr>
    </w:p>
    <w:p>
      <w:pPr>
        <w:jc w:val="both"/>
        <w:ind w:left="20" w:firstLine="468"/>
        <w:spacing w:after="0" w:line="277" w:lineRule="auto"/>
        <w:rPr>
          <w:sz w:val="20"/>
          <w:szCs w:val="20"/>
          <w:color w:val="auto"/>
        </w:rPr>
      </w:pPr>
      <w:r>
        <w:rPr>
          <w:rFonts w:ascii="Times New Roman" w:cs="Times New Roman" w:eastAsia="Times New Roman" w:hAnsi="Times New Roman"/>
          <w:sz w:val="17"/>
          <w:szCs w:val="17"/>
          <w:color w:val="auto"/>
        </w:rPr>
        <w:t>In regard to the consolidated balance sheet, contract liabilities for gift cards are classified as gift cards and customer deposits, and contract liabilities related to the loyalty program are classified as deferred revenue and other.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See Note 3 - "Revenue for additional information".</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12"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We determine if an arrangement is a lease at inception. The right-of-use assets and liabilities are recognized at the commencement date based on the present value of lease payments using a discounted cash flow analysis, considering lease terms and our internal borrowing rate,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68"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The majority of our leases do not provide an implicit rate and therefore, we estimate the incremental borrowing discount rate on a periodic basis.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0" w:lineRule="exact"/>
        <w:rPr>
          <w:sz w:val="20"/>
          <w:szCs w:val="20"/>
          <w:color w:val="auto"/>
        </w:rPr>
      </w:pPr>
    </w:p>
    <w:p>
      <w:pPr>
        <w:spacing w:after="0" w:line="220" w:lineRule="exact"/>
        <w:rPr>
          <w:sz w:val="20"/>
          <w:szCs w:val="20"/>
          <w:color w:val="auto"/>
        </w:rPr>
      </w:pPr>
    </w:p>
    <w:p>
      <w:pPr>
        <w:jc w:val="both"/>
        <w:ind w:left="240" w:firstLine="468"/>
        <w:spacing w:after="0" w:line="258" w:lineRule="auto"/>
        <w:rPr>
          <w:sz w:val="20"/>
          <w:szCs w:val="20"/>
          <w:color w:val="auto"/>
        </w:rPr>
      </w:pPr>
      <w:r>
        <w:rPr>
          <w:rFonts w:ascii="Times New Roman" w:cs="Times New Roman" w:eastAsia="Times New Roman" w:hAnsi="Times New Roman"/>
          <w:sz w:val="17"/>
          <w:szCs w:val="17"/>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evaluate the sustained profitability and three years of cumulative income in each jurisdiction and consider the Company’s ability to carry back its tax losses or credits for refunds, the availability of tax planning strategies, reversals of existing taxable temporary differences and projections of future taxable income. As we had incurred a cumulative book loss in the U.K. over the three-year period ended February 2, 2019, we evaluated the realizability of our UK deferred tax assets and, accordingly, in the fourth quarter of fiscal 2018, the Company recorded a $3.7 million valuation allowance on its U.K. deferred tax assets. In the fourth quarter of fiscal 2023, the Company recorded a benefit of $5.1 million for the reversal of the valuation allowance on deferred tax assets expected to be realized in the U.K. The positive evidence considered in our assessment of the realizability of the deferred tax assets included the generation of significant positive cumulative income in the U.K. for the three-year period ending with fiscal 2023, the implementation of tax planning strategies, and projections of future taxable income. The Company maintains a valuation allowance in fiscal year 2023 and 2024 in certain other foreign jurisdictions. Changes in the valuation allowance in fiscal 2024 are primarily related to functional currency fluctuations.</w:t>
      </w:r>
    </w:p>
    <w:p>
      <w:pPr>
        <w:spacing w:after="0" w:line="180" w:lineRule="exact"/>
        <w:rPr>
          <w:sz w:val="20"/>
          <w:szCs w:val="20"/>
          <w:color w:val="auto"/>
        </w:rPr>
      </w:pPr>
    </w:p>
    <w:p>
      <w:pPr>
        <w:jc w:val="both"/>
        <w:ind w:left="240" w:firstLine="468"/>
        <w:spacing w:after="0" w:line="264" w:lineRule="auto"/>
        <w:rPr>
          <w:sz w:val="20"/>
          <w:szCs w:val="20"/>
          <w:color w:val="auto"/>
        </w:rPr>
      </w:pPr>
      <w:r>
        <w:rPr>
          <w:rFonts w:ascii="Times New Roman" w:cs="Times New Roman" w:eastAsia="Times New Roman" w:hAnsi="Times New Roman"/>
          <w:sz w:val="17"/>
          <w:szCs w:val="17"/>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February 1, 2025, February 3, 2024, and January 28, 2023.</w:t>
      </w: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See Note 2 – "Summary of Significant Accounting Policies" for additional information.</w:t>
      </w:r>
    </w:p>
    <w:p>
      <w:pPr>
        <w:spacing w:after="0" w:line="21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223" w:lineRule="exact"/>
        <w:rPr>
          <w:sz w:val="20"/>
          <w:szCs w:val="20"/>
          <w:color w:val="auto"/>
        </w:rPr>
      </w:pPr>
    </w:p>
    <w:p>
      <w:pPr>
        <w:ind w:right="120" w:firstLine="468"/>
        <w:spacing w:after="0" w:line="293" w:lineRule="auto"/>
        <w:rPr>
          <w:sz w:val="20"/>
          <w:szCs w:val="20"/>
          <w:color w:val="auto"/>
        </w:rPr>
      </w:pPr>
      <w:r>
        <w:rPr>
          <w:rFonts w:ascii="Times New Roman" w:cs="Times New Roman" w:eastAsia="Times New Roman" w:hAnsi="Times New Roman"/>
          <w:sz w:val="17"/>
          <w:szCs w:val="17"/>
          <w:color w:val="auto"/>
        </w:rPr>
        <w:t>We conduct business globally in many different jurisdictions with currencies other than U.S. dollars. Our results could be negatively impacted by changes or fluctuations in currency exchange rates since we report our consolidated financial results in U.S. dollars.</w:t>
      </w:r>
    </w:p>
    <w:p>
      <w:pPr>
        <w:spacing w:after="0" w:line="147" w:lineRule="exact"/>
        <w:rPr>
          <w:sz w:val="20"/>
          <w:szCs w:val="20"/>
          <w:color w:val="auto"/>
        </w:rPr>
      </w:pPr>
    </w:p>
    <w:p>
      <w:pPr>
        <w:ind w:right="180" w:firstLine="468"/>
        <w:spacing w:after="0" w:line="265" w:lineRule="auto"/>
        <w:rPr>
          <w:sz w:val="20"/>
          <w:szCs w:val="20"/>
          <w:color w:val="auto"/>
        </w:rPr>
      </w:pPr>
      <w:r>
        <w:rPr>
          <w:rFonts w:ascii="Times New Roman" w:cs="Times New Roman" w:eastAsia="Times New Roman" w:hAnsi="Times New Roman"/>
          <w:sz w:val="17"/>
          <w:szCs w:val="17"/>
          <w:color w:val="auto"/>
        </w:rPr>
        <w:t>We purchase all inventory in U.S. dollars, and our foreign subsidiaries buy their inventory from us in their functional currency, which exposes us to currency risk when their functional currencies fluctuate relative to the U.S. dollar. Decreases in the value of the U.S. dollar against foreign currencies, particularly the Chinese renminbi and Vietnamese dong, could increase the cost of products we purchase from our vendors. Moreover, as our international sales are primarily denominated in the Canadian dollar, Euro, and British pound, the pricing of our products in our stores may also be affected by changes in foreign currency rates. This could require us to make adjustments that would impact our revenue and profit in various markets.</w:t>
      </w:r>
    </w:p>
    <w:p>
      <w:pPr>
        <w:spacing w:after="0" w:line="170" w:lineRule="exact"/>
        <w:rPr>
          <w:sz w:val="20"/>
          <w:szCs w:val="20"/>
          <w:color w:val="auto"/>
        </w:rPr>
      </w:pPr>
    </w:p>
    <w:p>
      <w:pPr>
        <w:ind w:right="20" w:firstLine="468"/>
        <w:spacing w:after="0" w:line="262" w:lineRule="auto"/>
        <w:rPr>
          <w:sz w:val="20"/>
          <w:szCs w:val="20"/>
          <w:color w:val="auto"/>
        </w:rPr>
      </w:pPr>
      <w:r>
        <w:rPr>
          <w:rFonts w:ascii="Times New Roman" w:cs="Times New Roman" w:eastAsia="Times New Roman" w:hAnsi="Times New Roman"/>
          <w:sz w:val="17"/>
          <w:szCs w:val="17"/>
          <w:color w:val="auto"/>
        </w:rPr>
        <w:t>Assets and liabilities of our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To date, foreign currency transaction gains and losses have not been material to our financial statements, and we have not had a formal hedging program with respect to foreign currency. A hypothetical 10% decrease in current foreign currency exchange rates would not have a material effect on our financial position or results of operations or cash flows.</w:t>
      </w:r>
    </w:p>
    <w:p>
      <w:pPr>
        <w:spacing w:after="0" w:line="385" w:lineRule="exact"/>
        <w:rPr>
          <w:sz w:val="20"/>
          <w:szCs w:val="20"/>
          <w:color w:val="auto"/>
        </w:rPr>
      </w:pPr>
    </w:p>
    <w:p>
      <w:pPr>
        <w:ind w:right="520" w:firstLine="468"/>
        <w:spacing w:after="0" w:line="293" w:lineRule="auto"/>
        <w:rPr>
          <w:sz w:val="20"/>
          <w:szCs w:val="20"/>
          <w:color w:val="auto"/>
        </w:rPr>
      </w:pPr>
      <w:r>
        <w:rPr>
          <w:rFonts w:ascii="Times New Roman" w:cs="Times New Roman" w:eastAsia="Times New Roman" w:hAnsi="Times New Roman"/>
          <w:sz w:val="17"/>
          <w:szCs w:val="17"/>
          <w:color w:val="auto"/>
        </w:rPr>
        <w:t>For a detailed discussion of material risk factors that have the potential to cause our actual results to differ materially from our expectations, refer to “</w:t>
      </w:r>
      <w:r>
        <w:rPr>
          <w:rFonts w:ascii="Times New Roman" w:cs="Times New Roman" w:eastAsia="Times New Roman" w:hAnsi="Times New Roman"/>
          <w:sz w:val="17"/>
          <w:szCs w:val="17"/>
          <w:u w:val="single" w:color="auto"/>
          <w:color w:val="auto"/>
        </w:rPr>
        <w:t>ITEM 1A. RISK FACTORS</w:t>
      </w:r>
      <w:r>
        <w:rPr>
          <w:rFonts w:ascii="Times New Roman" w:cs="Times New Roman" w:eastAsia="Times New Roman" w:hAnsi="Times New Roman"/>
          <w:sz w:val="17"/>
          <w:szCs w:val="17"/>
          <w:color w:val="auto"/>
        </w:rPr>
        <w:t>,” included in this Annual Report on Form 10-K.</w:t>
      </w:r>
    </w:p>
    <w:p>
      <w:pPr>
        <w:spacing w:after="0" w:line="14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financial statements and schedules are listed under Item 15(a)(1) and filed as part of this Annual Report on Form 10-K.</w:t>
      </w:r>
    </w:p>
    <w:p>
      <w:pPr>
        <w:spacing w:after="0" w:line="21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7"/>
          <w:szCs w:val="17"/>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February 1, 2025, the end of the period covered by this Annual Report.</w:t>
      </w:r>
    </w:p>
    <w:p>
      <w:pPr>
        <w:spacing w:after="0" w:line="17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7"/>
          <w:szCs w:val="17"/>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23"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February 1, 2025.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79" w:lineRule="exact"/>
        <w:rPr>
          <w:sz w:val="20"/>
          <w:szCs w:val="20"/>
          <w:color w:val="auto"/>
        </w:rPr>
      </w:pPr>
    </w:p>
    <w:p>
      <w:pPr>
        <w:ind w:right="280" w:firstLine="468"/>
        <w:spacing w:after="0" w:line="268"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Ernst &amp; Young LLP, has audited the Company’s Consolidated Financial Statements included in this Annual Report on Form 10-K and the effectiveness of the Company’s internal control over financial reporting as of February 1, 2025 and has issued an attestation report expressing an unqualified opinion on the effectiveness of the Company’s internal control over financial reporting, as stated in their report located below.</w:t>
      </w:r>
    </w:p>
    <w:p>
      <w:pPr>
        <w:spacing w:after="0" w:line="168" w:lineRule="exact"/>
        <w:rPr>
          <w:sz w:val="20"/>
          <w:szCs w:val="20"/>
          <w:color w:val="auto"/>
        </w:rPr>
      </w:pPr>
    </w:p>
    <w:p>
      <w:pPr>
        <w:jc w:val="both"/>
        <w:ind w:firstLine="490"/>
        <w:spacing w:after="0" w:line="274" w:lineRule="auto"/>
        <w:rPr>
          <w:sz w:val="20"/>
          <w:szCs w:val="20"/>
          <w:color w:val="auto"/>
        </w:rPr>
      </w:pPr>
      <w:r>
        <w:rPr>
          <w:rFonts w:ascii="Times New Roman" w:cs="Times New Roman" w:eastAsia="Times New Roman" w:hAnsi="Times New Roman"/>
          <w:sz w:val="17"/>
          <w:szCs w:val="17"/>
          <w:color w:val="auto"/>
        </w:rPr>
        <w:t>In making its evaluation, our management used the criteria set forth by the Committee of Sponsoring Organizations of the Treadway Commission in Internal Control-Integrated Framework (2013 framework). Based upon this evaluation, our management has concluded that our internal control over financial reporting as of February 1, 2025 is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3"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Company’s management, with the participation of the Company’s President and Chief 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During fiscal 2024, there were no changes that materially affected the Company's internal control over financial reporting.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 the Shareholders and the Board of Directors of Build-A-Bear Workshop, Inc.</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23" w:lineRule="exact"/>
        <w:rPr>
          <w:sz w:val="20"/>
          <w:szCs w:val="20"/>
          <w:color w:val="auto"/>
        </w:rPr>
      </w:pPr>
    </w:p>
    <w:p>
      <w:pPr>
        <w:ind w:right="160" w:firstLine="468"/>
        <w:spacing w:after="0" w:line="268" w:lineRule="auto"/>
        <w:rPr>
          <w:sz w:val="20"/>
          <w:szCs w:val="20"/>
          <w:color w:val="auto"/>
        </w:rPr>
      </w:pPr>
      <w:r>
        <w:rPr>
          <w:rFonts w:ascii="Times New Roman" w:cs="Times New Roman" w:eastAsia="Times New Roman" w:hAnsi="Times New Roman"/>
          <w:sz w:val="17"/>
          <w:szCs w:val="17"/>
          <w:color w:val="auto"/>
        </w:rPr>
        <w:t>We have audited Build-A-Bear Workshop, Inc. and subsidiaries’ internal control over financial reporting as of February 1, 2025, based on criteria established in Internal Control—Integrated Framework issued by the Committee of Sponsoring Organizations of the Treadway Commission (2013 framework) (the COSO criteria). In our opinion, Build-A-Bear Workshop, Inc. and subsidiaries (the Company) maintained, in all material respects, effective internal control over financial reporting as of February 1, 2025, based on the COSO criteria.</w:t>
      </w:r>
    </w:p>
    <w:p>
      <w:pPr>
        <w:spacing w:after="0" w:line="168" w:lineRule="exact"/>
        <w:rPr>
          <w:sz w:val="20"/>
          <w:szCs w:val="20"/>
          <w:color w:val="auto"/>
        </w:rPr>
      </w:pPr>
    </w:p>
    <w:p>
      <w:pPr>
        <w:ind w:right="80" w:firstLine="468"/>
        <w:spacing w:after="0" w:line="26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February 1, 2025 and February 3, 2024, the related consolidated statements of operations and comprehensive income , stockholders’ equity and cash flows for each of the three years in the period ended February 1, 2025, and the related notes and financial statement schedule listed in the Index at Item 15(a)(2) and our report dated April 17, 2025 expressed an unqualified opinion thereon.</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3"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2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 Louis, Missouri</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2025</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Trading Plans of Directors and Executive Officers</w:t>
      </w:r>
    </w:p>
    <w:p>
      <w:pPr>
        <w:spacing w:after="0" w:line="223" w:lineRule="exact"/>
        <w:rPr>
          <w:sz w:val="20"/>
          <w:szCs w:val="20"/>
          <w:color w:val="auto"/>
        </w:rPr>
      </w:pPr>
    </w:p>
    <w:p>
      <w:pPr>
        <w:ind w:left="140" w:firstLine="312"/>
        <w:spacing w:after="0" w:line="293" w:lineRule="auto"/>
        <w:rPr>
          <w:sz w:val="20"/>
          <w:szCs w:val="20"/>
          <w:color w:val="auto"/>
        </w:rPr>
      </w:pPr>
      <w:r>
        <w:rPr>
          <w:rFonts w:ascii="Times New Roman" w:cs="Times New Roman" w:eastAsia="Times New Roman" w:hAnsi="Times New Roman"/>
          <w:sz w:val="17"/>
          <w:szCs w:val="17"/>
          <w:color w:val="auto"/>
        </w:rPr>
        <w:t>None of the Company’s directors or executive officers adopted or terminated a Rule 10b5-1 trading arrangement or a non-Rule 10b5-1 trading arrangement during the Company’s fiscal quarter ended February 1, 2025, as such terms are defined under Item 408(a) or Regulations S-K.</w:t>
      </w:r>
    </w:p>
    <w:p>
      <w:pPr>
        <w:spacing w:after="0" w:line="35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223"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pursuant to Regulation 14A in connection with our Annual Meeting of Stockholders scheduled to be held on June 12, 2025, is incorporated by reference in response to this Item 10.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Conduct Policy</w:t>
      </w:r>
    </w:p>
    <w:p>
      <w:pPr>
        <w:spacing w:after="0" w:line="223"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68"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We have adopted insider trading policies and procedures applicable to our directors, officers, and employees, that we believe are reasonably designed to promote compliance with insider trading laws, rules, and regulations, and the listing standards of the New York Stock Exchange. Our insider trading policy prohibits our directors, officers and employees and related persons from trading in securities of the Company while in possession of material, non-public information. The policy also prohibits trading in securities of another company (such as a customer, supplier, business partners, competitors or others within whom we have contractual relationships or may be negotiating transactions) when an individual is aware of material non-public information about that company. The policy requires that certain designated individuals and roles of the Company only transact in Company securities during an open window period. Our policy also provides that it is the Company’s policy not to engage in transactions in its securities while aware of material non-public information relating to the Company or our securities. A copy of the Company’s insider trading policy has been filed as Exhibit 19.1 to this Annual Report on Form 10-K.</w:t>
      </w:r>
    </w:p>
    <w:p>
      <w:pPr>
        <w:spacing w:after="0" w:line="179" w:lineRule="exact"/>
        <w:rPr>
          <w:sz w:val="20"/>
          <w:szCs w:val="20"/>
          <w:color w:val="auto"/>
        </w:rPr>
      </w:pPr>
    </w:p>
    <w:p>
      <w:pPr>
        <w:jc w:val="both"/>
        <w:ind w:firstLine="425"/>
        <w:spacing w:after="0" w:line="293" w:lineRule="auto"/>
        <w:rPr>
          <w:sz w:val="20"/>
          <w:szCs w:val="20"/>
          <w:color w:val="auto"/>
        </w:rPr>
      </w:pPr>
      <w:r>
        <w:rPr>
          <w:rFonts w:ascii="Times New Roman" w:cs="Times New Roman" w:eastAsia="Times New Roman" w:hAnsi="Times New Roman"/>
          <w:sz w:val="17"/>
          <w:szCs w:val="17"/>
          <w:color w:val="auto"/>
        </w:rPr>
        <w:t>The information appearing in the section titled “Committee Charters, Corporate Governance Guidelines, Business Conduct Policy and Code of Ethics” in the Proxy Statement is incorporated by reference in response to this Item 10.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and Key Employees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Sharon Price John</w:t>
      </w:r>
      <w:r>
        <w:rPr>
          <w:rFonts w:ascii="Times New Roman" w:cs="Times New Roman" w:eastAsia="Times New Roman" w:hAnsi="Times New Roman"/>
          <w:sz w:val="17"/>
          <w:szCs w:val="17"/>
          <w:color w:val="auto"/>
        </w:rPr>
        <w:t>, 61, was appointed to the Board of Directors on June 3, 2013, in connection with her employment as Chief Executive Officer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Bear of the Company. Effective March 2016, she now holds the title of President and Chief Executive Officer. From January 2010 through May 2013, Ms. John served as President of Stride Rite Children’s Group LLC, a division of Wolverine Worldwide,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David Henderson</w:t>
      </w:r>
      <w:r>
        <w:rPr>
          <w:rFonts w:ascii="Times New Roman" w:cs="Times New Roman" w:eastAsia="Times New Roman" w:hAnsi="Times New Roman"/>
          <w:sz w:val="17"/>
          <w:szCs w:val="17"/>
          <w:color w:val="auto"/>
        </w:rPr>
        <w:t>, 53, joined Build-A-Bear Workshop in September 2024 as Chief Revenue Officer. Prior to joining the Company, Mr. Henderson served as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Commercial Officer of Melissa &amp; Doug, LLC, a manufacturer of children's toys, from May 2020 to June 2024. From September 2017 to March 2019, he was President and General Manager-Global of Baby Gear at Newell Brands, a manufacturer, marketer and distributor of consumer and commercial products. Prior to that, he was at Hasbro, a multinational toy manufacturing and entertainment holding company, for over 19 years, ultimately holding the office of Senior Vice President Consumer Products/Licensing North America</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Eric Fencl</w:t>
      </w:r>
      <w:r>
        <w:rPr>
          <w:rFonts w:ascii="Times New Roman" w:cs="Times New Roman" w:eastAsia="Times New Roman" w:hAnsi="Times New Roman"/>
          <w:sz w:val="17"/>
          <w:szCs w:val="17"/>
          <w:i w:val="1"/>
          <w:iCs w:val="1"/>
          <w:color w:val="auto"/>
        </w:rPr>
        <w:t>, 63</w:t>
      </w:r>
      <w:r>
        <w:rPr>
          <w:rFonts w:ascii="Times New Roman" w:cs="Times New Roman" w:eastAsia="Times New Roman" w:hAnsi="Times New Roman"/>
          <w:sz w:val="17"/>
          <w:szCs w:val="17"/>
          <w:color w:val="auto"/>
        </w:rPr>
        <w:t>, joined Build-A-Bear Workshop in July 2008 as Chief Bearrister - General Counsel. Effective October 2015, Mr. Fencl now holds the title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Mr. Fencl held legal positions at Monsanto Company, McDonnell Douglas Corporation and Bryan Cave Leighton Paisner LLP (formerly known as Bryan Cave LLP). Mr. Fencl began his career as an auditor with Arthur Young &amp; Company.</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J. Christopher Hurt</w:t>
      </w:r>
      <w:r>
        <w:rPr>
          <w:rFonts w:ascii="Times New Roman" w:cs="Times New Roman" w:eastAsia="Times New Roman" w:hAnsi="Times New Roman"/>
          <w:sz w:val="17"/>
          <w:szCs w:val="17"/>
          <w:i w:val="1"/>
          <w:iCs w:val="1"/>
          <w:color w:val="auto"/>
        </w:rPr>
        <w:t>, 59</w:t>
      </w:r>
      <w:r>
        <w:rPr>
          <w:rFonts w:ascii="Times New Roman" w:cs="Times New Roman" w:eastAsia="Times New Roman" w:hAnsi="Times New Roman"/>
          <w:sz w:val="17"/>
          <w:szCs w:val="17"/>
          <w:color w:val="auto"/>
        </w:rPr>
        <w:t>, joined Build-A-Bear Workshop in April 2015 as Chief Operations Officer. Effective June 2020, he now holds the title of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and Experience Officer. Prior to joining the Company, Mr. Hurt was at American 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Voin Todorovic</w:t>
      </w:r>
      <w:r>
        <w:rPr>
          <w:rFonts w:ascii="Times New Roman" w:cs="Times New Roman" w:eastAsia="Times New Roman" w:hAnsi="Times New Roman"/>
          <w:sz w:val="17"/>
          <w:szCs w:val="17"/>
          <w:color w:val="auto"/>
        </w:rPr>
        <w:t>, 50, joined Build-A-Bear Workshop in September 2014 as Chief Financial Officer. Prior to joining the Company, Mr. Todorovic was employed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Wolverine Worldwide, Inc., a leading global footwear and apparel company, where since September 2013 Mr. Todorovic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sectPr>
          <w:pgSz w:w="11900" w:h="16838" w:orient="portrait"/>
          <w:cols w:equalWidth="0" w:num="1">
            <w:col w:w="11240"/>
          </w:cols>
          <w:pgMar w:left="320" w:top="121" w:right="339" w:bottom="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85725</wp:posOffset>
            </wp:positionV>
            <wp:extent cx="713740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223" w:lineRule="exact"/>
        <w:rPr>
          <w:sz w:val="20"/>
          <w:szCs w:val="20"/>
          <w:color w:val="auto"/>
        </w:rPr>
      </w:pPr>
    </w:p>
    <w:p>
      <w:pPr>
        <w:ind w:firstLine="425"/>
        <w:spacing w:after="0" w:line="293" w:lineRule="auto"/>
        <w:rPr>
          <w:sz w:val="20"/>
          <w:szCs w:val="20"/>
          <w:color w:val="auto"/>
        </w:rPr>
      </w:pPr>
      <w:r>
        <w:rPr>
          <w:rFonts w:ascii="Times New Roman" w:cs="Times New Roman" w:eastAsia="Times New Roman" w:hAnsi="Times New Roman"/>
          <w:sz w:val="17"/>
          <w:szCs w:val="17"/>
          <w:color w:val="auto"/>
        </w:rPr>
        <w:t>The information contained in the sections titled “Executive Compensation” and “Board of Directors Compensation” in the Proxy Statement is incorporated herein by reference in response to this Item 11.</w:t>
      </w:r>
    </w:p>
    <w:p>
      <w:pPr>
        <w:spacing w:after="0" w:line="145" w:lineRule="exact"/>
        <w:rPr>
          <w:sz w:val="20"/>
          <w:szCs w:val="20"/>
          <w:color w:val="auto"/>
        </w:rPr>
      </w:pPr>
    </w:p>
    <w:p>
      <w:pPr>
        <w:ind w:left="960" w:hanging="949"/>
        <w:spacing w:after="0" w:line="268" w:lineRule="auto"/>
        <w:tabs>
          <w:tab w:leader="none" w:pos="94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398" w:lineRule="exact"/>
        <w:rPr>
          <w:sz w:val="20"/>
          <w:szCs w:val="20"/>
          <w:color w:val="auto"/>
        </w:rPr>
      </w:pPr>
    </w:p>
    <w:p>
      <w:pPr>
        <w:ind w:firstLine="425"/>
        <w:spacing w:after="0" w:line="293" w:lineRule="auto"/>
        <w:rPr>
          <w:sz w:val="20"/>
          <w:szCs w:val="20"/>
          <w:color w:val="auto"/>
        </w:rPr>
      </w:pPr>
      <w:r>
        <w:rPr>
          <w:rFonts w:ascii="Times New Roman" w:cs="Times New Roman" w:eastAsia="Times New Roman" w:hAnsi="Times New Roman"/>
          <w:sz w:val="17"/>
          <w:szCs w:val="17"/>
          <w:color w:val="auto"/>
        </w:rPr>
        <w:t>The information contained in the section titled “Security Ownership of Certain Beneficial Owners and Management” in the Proxy Statement is incorporated herein by reference in response to this Item 12.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Plan category</w:t>
      </w:r>
    </w:p>
    <w:p>
      <w:pPr>
        <w:spacing w:after="0" w:line="33"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1" w:lineRule="exact"/>
        <w:rPr>
          <w:sz w:val="20"/>
          <w:szCs w:val="20"/>
          <w:color w:val="auto"/>
        </w:rPr>
      </w:pPr>
    </w:p>
    <w:p>
      <w:pPr>
        <w:ind w:left="1400" w:right="320"/>
        <w:spacing w:after="0" w:line="268" w:lineRule="auto"/>
        <w:rPr>
          <w:sz w:val="20"/>
          <w:szCs w:val="20"/>
          <w:color w:val="auto"/>
        </w:rPr>
      </w:pPr>
      <w:r>
        <w:rPr>
          <w:rFonts w:ascii="Times New Roman" w:cs="Times New Roman" w:eastAsia="Times New Roman" w:hAnsi="Times New Roman"/>
          <w:sz w:val="17"/>
          <w:szCs w:val="17"/>
          <w:color w:val="auto"/>
        </w:rPr>
        <w:t>Equity compensation plans not approved by security holders</w:t>
      </w:r>
    </w:p>
    <w:p>
      <w:pPr>
        <w:ind w:left="140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w:t>
            </w:r>
          </w:p>
        </w:tc>
      </w:tr>
      <w:tr>
        <w:trPr>
          <w:trHeight w:val="208"/>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08"/>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8"/>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available for</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future issuance</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 to</w:t>
            </w:r>
          </w:p>
        </w:tc>
        <w:tc>
          <w:tcPr>
            <w:tcW w:w="180" w:type="dxa"/>
            <w:vAlign w:val="bottom"/>
          </w:tcPr>
          <w:p>
            <w:pPr>
              <w:spacing w:after="0"/>
              <w:rPr>
                <w:sz w:val="18"/>
                <w:szCs w:val="18"/>
                <w:color w:val="auto"/>
              </w:rPr>
            </w:pP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equity</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be issued upon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exercise price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plans</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(excluding</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8"/>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reflected in</w:t>
            </w:r>
          </w:p>
        </w:tc>
      </w:tr>
      <w:tr>
        <w:trPr>
          <w:trHeight w:val="229"/>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column (a))</w:t>
            </w:r>
          </w:p>
        </w:tc>
      </w:tr>
      <w:tr>
        <w:trPr>
          <w:trHeight w:val="396"/>
        </w:trPr>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391"/>
        </w:trPr>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-685165</wp:posOffset>
            </wp:positionV>
            <wp:extent cx="5353050" cy="264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3050" cy="26416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-156210</wp:posOffset>
            </wp:positionV>
            <wp:extent cx="5353050" cy="156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3050" cy="15684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780" w:space="340"/>
            <w:col w:w="61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See Note 12 - "Stock Incentive Plans" to the consolidated financial statements for additional information regarding our equity compensation plans.</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223" w:lineRule="exact"/>
        <w:rPr>
          <w:sz w:val="20"/>
          <w:szCs w:val="20"/>
          <w:color w:val="auto"/>
        </w:rPr>
      </w:pPr>
    </w:p>
    <w:p>
      <w:pPr>
        <w:ind w:right="140" w:firstLine="425"/>
        <w:spacing w:after="0" w:line="293" w:lineRule="auto"/>
        <w:rPr>
          <w:sz w:val="20"/>
          <w:szCs w:val="20"/>
          <w:color w:val="auto"/>
        </w:rPr>
      </w:pPr>
      <w:r>
        <w:rPr>
          <w:rFonts w:ascii="Times New Roman" w:cs="Times New Roman" w:eastAsia="Times New Roman" w:hAnsi="Times New Roman"/>
          <w:sz w:val="17"/>
          <w:szCs w:val="17"/>
          <w:color w:val="auto"/>
        </w:rPr>
        <w:t>The information contained in the section titled “Related Party Transactions” in the Proxy Statement is incorporated herein by reference in response to this Item 13.</w:t>
      </w:r>
    </w:p>
    <w:p>
      <w:pPr>
        <w:spacing w:after="0" w:line="1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223" w:lineRule="exact"/>
        <w:rPr>
          <w:sz w:val="20"/>
          <w:szCs w:val="20"/>
          <w:color w:val="auto"/>
        </w:rPr>
      </w:pPr>
    </w:p>
    <w:p>
      <w:pPr>
        <w:ind w:right="40" w:firstLine="425"/>
        <w:spacing w:after="0" w:line="293" w:lineRule="auto"/>
        <w:rPr>
          <w:sz w:val="20"/>
          <w:szCs w:val="20"/>
          <w:color w:val="auto"/>
        </w:rPr>
      </w:pPr>
      <w:r>
        <w:rPr>
          <w:rFonts w:ascii="Times New Roman" w:cs="Times New Roman" w:eastAsia="Times New Roman" w:hAnsi="Times New Roman"/>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982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00" w:type="dxa"/>
            <w:vAlign w:val="bottom"/>
            <w:gridSpan w:val="6"/>
          </w:tcPr>
          <w:p>
            <w:pPr>
              <w:jc w:val="center"/>
              <w:ind w:right="3100"/>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82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820" w:type="dxa"/>
            <w:vAlign w:val="bottom"/>
            <w:gridSpan w:val="13"/>
          </w:tcPr>
          <w:p>
            <w:pPr>
              <w:ind w:left="400"/>
              <w:spacing w:after="0"/>
              <w:rPr>
                <w:sz w:val="20"/>
                <w:szCs w:val="20"/>
                <w:color w:val="auto"/>
              </w:rPr>
            </w:pPr>
            <w:r>
              <w:rPr>
                <w:rFonts w:ascii="Times New Roman" w:cs="Times New Roman" w:eastAsia="Times New Roman" w:hAnsi="Times New Roman"/>
                <w:sz w:val="17"/>
                <w:szCs w:val="17"/>
                <w:color w:val="auto"/>
              </w:rPr>
              <w:t xml:space="preserve">(a)(1) </w:t>
            </w:r>
            <w:r>
              <w:rPr>
                <w:rFonts w:ascii="Times New Roman" w:cs="Times New Roman" w:eastAsia="Times New Roman" w:hAnsi="Times New Roman"/>
                <w:sz w:val="17"/>
                <w:szCs w:val="17"/>
                <w:i w:val="1"/>
                <w:iCs w:val="1"/>
                <w:color w:val="auto"/>
              </w:rPr>
              <w:t>Financial Statements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820" w:type="dxa"/>
            <w:vAlign w:val="bottom"/>
            <w:gridSpan w:val="13"/>
          </w:tcPr>
          <w:p>
            <w:pPr>
              <w:ind w:left="400"/>
              <w:spacing w:after="0"/>
              <w:rPr>
                <w:sz w:val="20"/>
                <w:szCs w:val="20"/>
                <w:color w:val="auto"/>
              </w:rPr>
            </w:pPr>
            <w:r>
              <w:rPr>
                <w:rFonts w:ascii="Times New Roman" w:cs="Times New Roman" w:eastAsia="Times New Roman" w:hAnsi="Times New Roman"/>
                <w:sz w:val="17"/>
                <w:szCs w:val="17"/>
                <w:color w:val="auto"/>
              </w:rPr>
              <w:t>The financial statements and schedules set forth below are filed on the indicated pages as part of this Annual Report on Form 10-K.</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60" w:type="dxa"/>
            <w:vAlign w:val="bottom"/>
          </w:tcPr>
          <w:p>
            <w:pPr>
              <w:spacing w:after="0"/>
              <w:rPr>
                <w:sz w:val="24"/>
                <w:szCs w:val="24"/>
                <w:color w:val="auto"/>
              </w:rPr>
            </w:pPr>
          </w:p>
        </w:tc>
        <w:tc>
          <w:tcPr>
            <w:tcW w:w="530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(PCAOB ID: 42)</w:t>
            </w:r>
          </w:p>
        </w:tc>
        <w:tc>
          <w:tcPr>
            <w:tcW w:w="3960" w:type="dxa"/>
            <w:vAlign w:val="bottom"/>
            <w:gridSpan w:val="4"/>
            <w:vMerge w:val="restart"/>
          </w:tcPr>
          <w:p>
            <w:pPr>
              <w:spacing w:after="0"/>
              <w:rPr>
                <w:sz w:val="24"/>
                <w:szCs w:val="24"/>
                <w:color w:val="auto"/>
              </w:rPr>
            </w:pPr>
          </w:p>
        </w:tc>
        <w:tc>
          <w:tcPr>
            <w:tcW w:w="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300" w:type="dxa"/>
            <w:vAlign w:val="bottom"/>
            <w:gridSpan w:val="8"/>
            <w:vMerge w:val="continue"/>
          </w:tcPr>
          <w:p>
            <w:pPr>
              <w:spacing w:after="0"/>
              <w:rPr>
                <w:sz w:val="14"/>
                <w:szCs w:val="14"/>
                <w:color w:val="auto"/>
              </w:rPr>
            </w:pPr>
          </w:p>
        </w:tc>
        <w:tc>
          <w:tcPr>
            <w:tcW w:w="3960" w:type="dxa"/>
            <w:vAlign w:val="bottom"/>
            <w:gridSpan w:val="4"/>
            <w:vMerge w:val="continue"/>
          </w:tcPr>
          <w:p>
            <w:pPr>
              <w:spacing w:after="0"/>
              <w:rPr>
                <w:sz w:val="14"/>
                <w:szCs w:val="14"/>
                <w:color w:val="auto"/>
              </w:rPr>
            </w:pPr>
          </w:p>
        </w:tc>
        <w:tc>
          <w:tcPr>
            <w:tcW w:w="520" w:type="dxa"/>
            <w:vAlign w:val="bottom"/>
            <w:gridSpan w:val="2"/>
          </w:tcPr>
          <w:p>
            <w:pPr>
              <w:jc w:val="center"/>
              <w:ind w:left="253"/>
              <w:spacing w:after="0" w:line="163" w:lineRule="exact"/>
              <w:rPr>
                <w:sz w:val="20"/>
                <w:szCs w:val="20"/>
                <w:color w:val="auto"/>
              </w:rPr>
            </w:pPr>
            <w:r>
              <w:rPr>
                <w:rFonts w:ascii="Times New Roman" w:cs="Times New Roman" w:eastAsia="Times New Roman" w:hAnsi="Times New Roman"/>
                <w:sz w:val="17"/>
                <w:szCs w:val="17"/>
                <w:color w:val="0000EE"/>
              </w:rPr>
              <w:t>41</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5160" w:type="dxa"/>
            <w:vAlign w:val="bottom"/>
            <w:gridSpan w:val="7"/>
          </w:tcPr>
          <w:p>
            <w:pPr>
              <w:spacing w:after="0" w:line="188" w:lineRule="exact"/>
              <w:rPr>
                <w:sz w:val="20"/>
                <w:szCs w:val="20"/>
                <w:color w:val="auto"/>
              </w:rPr>
            </w:pPr>
            <w:r>
              <w:rPr>
                <w:rFonts w:ascii="Times New Roman" w:cs="Times New Roman" w:eastAsia="Times New Roman" w:hAnsi="Times New Roman"/>
                <w:sz w:val="17"/>
                <w:szCs w:val="17"/>
                <w:color w:val="0000EE"/>
              </w:rPr>
              <w:t xml:space="preserve">Consolidated Balance Sheets as of </w:t>
            </w:r>
            <w:r>
              <w:rPr>
                <w:rFonts w:ascii="Times New Roman" w:cs="Times New Roman" w:eastAsia="Times New Roman" w:hAnsi="Times New Roman"/>
                <w:sz w:val="17"/>
                <w:szCs w:val="17"/>
                <w:color w:val="0000EE"/>
                <w:highlight w:val="white"/>
              </w:rPr>
              <w:t>February 1, 2025</w:t>
            </w:r>
            <w:r>
              <w:rPr>
                <w:rFonts w:ascii="Times New Roman" w:cs="Times New Roman" w:eastAsia="Times New Roman" w:hAnsi="Times New Roman"/>
                <w:sz w:val="17"/>
                <w:szCs w:val="17"/>
                <w:color w:val="0000EE"/>
              </w:rPr>
              <w:t xml:space="preserve"> and </w:t>
            </w:r>
            <w:r>
              <w:rPr>
                <w:rFonts w:ascii="Times New Roman" w:cs="Times New Roman" w:eastAsia="Times New Roman" w:hAnsi="Times New Roman"/>
                <w:sz w:val="17"/>
                <w:szCs w:val="17"/>
                <w:color w:val="0000EE"/>
                <w:highlight w:val="white"/>
              </w:rPr>
              <w:t>February 3, 2024</w:t>
            </w:r>
          </w:p>
        </w:tc>
        <w:tc>
          <w:tcPr>
            <w:tcW w:w="140" w:type="dxa"/>
            <w:vAlign w:val="bottom"/>
          </w:tcPr>
          <w:p>
            <w:pPr>
              <w:spacing w:after="0"/>
              <w:rPr>
                <w:sz w:val="16"/>
                <w:szCs w:val="16"/>
                <w:color w:val="auto"/>
              </w:rPr>
            </w:pPr>
          </w:p>
        </w:tc>
        <w:tc>
          <w:tcPr>
            <w:tcW w:w="3960" w:type="dxa"/>
            <w:vAlign w:val="bottom"/>
            <w:gridSpan w:val="4"/>
          </w:tcPr>
          <w:p>
            <w:pPr>
              <w:spacing w:after="0"/>
              <w:rPr>
                <w:sz w:val="16"/>
                <w:szCs w:val="16"/>
                <w:color w:val="auto"/>
              </w:rPr>
            </w:pPr>
          </w:p>
        </w:tc>
        <w:tc>
          <w:tcPr>
            <w:tcW w:w="520" w:type="dxa"/>
            <w:vAlign w:val="bottom"/>
            <w:gridSpan w:val="2"/>
          </w:tcPr>
          <w:p>
            <w:pPr>
              <w:jc w:val="center"/>
              <w:ind w:left="253"/>
              <w:spacing w:after="0" w:line="188" w:lineRule="exact"/>
              <w:rPr>
                <w:sz w:val="20"/>
                <w:szCs w:val="20"/>
                <w:color w:val="auto"/>
              </w:rPr>
            </w:pPr>
            <w:r>
              <w:rPr>
                <w:rFonts w:ascii="Times New Roman" w:cs="Times New Roman" w:eastAsia="Times New Roman" w:hAnsi="Times New Roman"/>
                <w:sz w:val="17"/>
                <w:szCs w:val="17"/>
                <w:color w:val="0000EE"/>
              </w:rPr>
              <w:t>43</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9180" w:type="dxa"/>
            <w:vAlign w:val="bottom"/>
            <w:tcBorders>
              <w:bottom w:val="single" w:sz="8" w:color="0000EE"/>
            </w:tcBorders>
            <w:gridSpan w:val="11"/>
          </w:tcPr>
          <w:p>
            <w:pPr>
              <w:spacing w:after="0" w:line="188" w:lineRule="exact"/>
              <w:rPr>
                <w:sz w:val="20"/>
                <w:szCs w:val="20"/>
                <w:color w:val="auto"/>
              </w:rPr>
            </w:pPr>
            <w:r>
              <w:rPr>
                <w:rFonts w:ascii="Times New Roman" w:cs="Times New Roman" w:eastAsia="Times New Roman" w:hAnsi="Times New Roman"/>
                <w:sz w:val="17"/>
                <w:szCs w:val="17"/>
                <w:color w:val="0000EE"/>
              </w:rPr>
              <w:t xml:space="preserve">Consolidated Statements of Operations and Comprehensive Income (Loss) for the fiscal years ended </w:t>
            </w:r>
            <w:r>
              <w:rPr>
                <w:rFonts w:ascii="Times New Roman" w:cs="Times New Roman" w:eastAsia="Times New Roman" w:hAnsi="Times New Roman"/>
                <w:sz w:val="17"/>
                <w:szCs w:val="17"/>
                <w:color w:val="0000EE"/>
                <w:highlight w:val="white"/>
              </w:rPr>
              <w:t>February 1, 2025 and February</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gridSpan w:val="4"/>
          </w:tcPr>
          <w:p>
            <w:pPr>
              <w:ind w:left="780"/>
              <w:spacing w:after="0" w:line="188" w:lineRule="exact"/>
              <w:rPr>
                <w:sz w:val="20"/>
                <w:szCs w:val="20"/>
                <w:color w:val="auto"/>
              </w:rPr>
            </w:pPr>
            <w:r>
              <w:rPr>
                <w:rFonts w:ascii="Times New Roman" w:cs="Times New Roman" w:eastAsia="Times New Roman" w:hAnsi="Times New Roman"/>
                <w:sz w:val="17"/>
                <w:szCs w:val="17"/>
                <w:color w:val="0000EE"/>
                <w:w w:val="97"/>
              </w:rPr>
              <w:t>3, 2024</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center"/>
              <w:ind w:left="253"/>
              <w:spacing w:after="0" w:line="188" w:lineRule="exact"/>
              <w:rPr>
                <w:sz w:val="20"/>
                <w:szCs w:val="20"/>
                <w:color w:val="auto"/>
              </w:rPr>
            </w:pPr>
            <w:r>
              <w:rPr>
                <w:rFonts w:ascii="Times New Roman" w:cs="Times New Roman" w:eastAsia="Times New Roman" w:hAnsi="Times New Roman"/>
                <w:sz w:val="17"/>
                <w:szCs w:val="17"/>
                <w:color w:val="0000EE"/>
              </w:rPr>
              <w:t>44</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9260" w:type="dxa"/>
            <w:vAlign w:val="bottom"/>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Consolidated Statements of Stockholders’ Equity for the fiscal years ended February 1, 2025 and February 3, 2024</w:t>
            </w:r>
          </w:p>
        </w:tc>
        <w:tc>
          <w:tcPr>
            <w:tcW w:w="520" w:type="dxa"/>
            <w:vAlign w:val="bottom"/>
            <w:gridSpan w:val="2"/>
          </w:tcPr>
          <w:p>
            <w:pPr>
              <w:jc w:val="center"/>
              <w:ind w:left="253"/>
              <w:spacing w:after="0" w:line="188" w:lineRule="exact"/>
              <w:rPr>
                <w:sz w:val="20"/>
                <w:szCs w:val="20"/>
                <w:color w:val="auto"/>
              </w:rPr>
            </w:pPr>
            <w:r>
              <w:rPr>
                <w:rFonts w:ascii="Times New Roman" w:cs="Times New Roman" w:eastAsia="Times New Roman" w:hAnsi="Times New Roman"/>
                <w:sz w:val="17"/>
                <w:szCs w:val="17"/>
                <w:color w:val="0000EE"/>
              </w:rPr>
              <w:t>45</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7960" w:type="dxa"/>
            <w:vAlign w:val="bottom"/>
            <w:gridSpan w:val="10"/>
          </w:tcPr>
          <w:p>
            <w:pPr>
              <w:spacing w:after="0" w:line="188" w:lineRule="exact"/>
              <w:rPr>
                <w:sz w:val="20"/>
                <w:szCs w:val="20"/>
                <w:color w:val="auto"/>
              </w:rPr>
            </w:pPr>
            <w:r>
              <w:rPr>
                <w:rFonts w:ascii="Times New Roman" w:cs="Times New Roman" w:eastAsia="Times New Roman" w:hAnsi="Times New Roman"/>
                <w:sz w:val="17"/>
                <w:szCs w:val="17"/>
                <w:color w:val="0000EE"/>
              </w:rPr>
              <w:t>Consolidated Statements of Cash Flows for the fiscal years ended February 1, 2025 and February 3, 2024</w:t>
            </w:r>
          </w:p>
        </w:tc>
        <w:tc>
          <w:tcPr>
            <w:tcW w:w="1300" w:type="dxa"/>
            <w:vAlign w:val="bottom"/>
            <w:gridSpan w:val="2"/>
          </w:tcPr>
          <w:p>
            <w:pPr>
              <w:spacing w:after="0"/>
              <w:rPr>
                <w:sz w:val="16"/>
                <w:szCs w:val="16"/>
                <w:color w:val="auto"/>
              </w:rPr>
            </w:pPr>
          </w:p>
        </w:tc>
        <w:tc>
          <w:tcPr>
            <w:tcW w:w="520" w:type="dxa"/>
            <w:vAlign w:val="bottom"/>
            <w:gridSpan w:val="2"/>
          </w:tcPr>
          <w:p>
            <w:pPr>
              <w:jc w:val="center"/>
              <w:ind w:left="253"/>
              <w:spacing w:after="0" w:line="188" w:lineRule="exact"/>
              <w:rPr>
                <w:sz w:val="20"/>
                <w:szCs w:val="20"/>
                <w:color w:val="auto"/>
              </w:rPr>
            </w:pPr>
            <w:r>
              <w:rPr>
                <w:rFonts w:ascii="Times New Roman" w:cs="Times New Roman" w:eastAsia="Times New Roman" w:hAnsi="Times New Roman"/>
                <w:sz w:val="17"/>
                <w:szCs w:val="17"/>
                <w:color w:val="0000EE"/>
              </w:rPr>
              <w:t>46</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6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3040" w:type="dxa"/>
            <w:vAlign w:val="bottom"/>
            <w:gridSpan w:val="4"/>
          </w:tcPr>
          <w:p>
            <w:pPr>
              <w:spacing w:after="0" w:line="188"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6220" w:type="dxa"/>
            <w:vAlign w:val="bottom"/>
            <w:gridSpan w:val="8"/>
          </w:tcPr>
          <w:p>
            <w:pPr>
              <w:spacing w:after="0"/>
              <w:rPr>
                <w:sz w:val="16"/>
                <w:szCs w:val="16"/>
                <w:color w:val="auto"/>
              </w:rPr>
            </w:pPr>
          </w:p>
        </w:tc>
        <w:tc>
          <w:tcPr>
            <w:tcW w:w="520" w:type="dxa"/>
            <w:vAlign w:val="bottom"/>
            <w:gridSpan w:val="2"/>
          </w:tcPr>
          <w:p>
            <w:pPr>
              <w:jc w:val="center"/>
              <w:ind w:left="253"/>
              <w:spacing w:after="0" w:line="188" w:lineRule="exact"/>
              <w:rPr>
                <w:sz w:val="20"/>
                <w:szCs w:val="20"/>
                <w:color w:val="auto"/>
              </w:rPr>
            </w:pPr>
            <w:r>
              <w:rPr>
                <w:rFonts w:ascii="Times New Roman" w:cs="Times New Roman" w:eastAsia="Times New Roman" w:hAnsi="Times New Roman"/>
                <w:sz w:val="17"/>
                <w:szCs w:val="17"/>
                <w:color w:val="0000EE"/>
              </w:rPr>
              <w:t>47</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3400" w:type="dxa"/>
            <w:vAlign w:val="bottom"/>
            <w:gridSpan w:val="5"/>
          </w:tcPr>
          <w:p>
            <w:pPr>
              <w:spacing w:after="0" w:line="188" w:lineRule="exact"/>
              <w:rPr>
                <w:sz w:val="20"/>
                <w:szCs w:val="20"/>
                <w:color w:val="auto"/>
              </w:rPr>
            </w:pPr>
            <w:r>
              <w:rPr>
                <w:rFonts w:ascii="Times New Roman" w:cs="Times New Roman" w:eastAsia="Times New Roman" w:hAnsi="Times New Roman"/>
                <w:sz w:val="17"/>
                <w:szCs w:val="17"/>
                <w:color w:val="0000EE"/>
              </w:rPr>
              <w:t>Schedule II - Valuation and Qualifying Accounts</w:t>
            </w:r>
          </w:p>
        </w:tc>
        <w:tc>
          <w:tcPr>
            <w:tcW w:w="5860" w:type="dxa"/>
            <w:vAlign w:val="bottom"/>
            <w:gridSpan w:val="7"/>
          </w:tcPr>
          <w:p>
            <w:pPr>
              <w:spacing w:after="0"/>
              <w:rPr>
                <w:sz w:val="16"/>
                <w:szCs w:val="16"/>
                <w:color w:val="auto"/>
              </w:rPr>
            </w:pPr>
          </w:p>
        </w:tc>
        <w:tc>
          <w:tcPr>
            <w:tcW w:w="520" w:type="dxa"/>
            <w:vAlign w:val="bottom"/>
            <w:gridSpan w:val="2"/>
          </w:tcPr>
          <w:p>
            <w:pPr>
              <w:jc w:val="center"/>
              <w:ind w:left="253"/>
              <w:spacing w:after="0" w:line="188" w:lineRule="exact"/>
              <w:rPr>
                <w:sz w:val="20"/>
                <w:szCs w:val="20"/>
                <w:color w:val="auto"/>
              </w:rPr>
            </w:pPr>
            <w:r>
              <w:rPr>
                <w:rFonts w:ascii="Times New Roman" w:cs="Times New Roman" w:eastAsia="Times New Roman" w:hAnsi="Times New Roman"/>
                <w:sz w:val="17"/>
                <w:szCs w:val="17"/>
                <w:color w:val="0000EE"/>
              </w:rPr>
              <w:t>65</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560" w:type="dxa"/>
            <w:vAlign w:val="bottom"/>
          </w:tcPr>
          <w:p>
            <w:pPr>
              <w:spacing w:after="0"/>
              <w:rPr>
                <w:sz w:val="24"/>
                <w:szCs w:val="24"/>
                <w:color w:val="auto"/>
              </w:rPr>
            </w:pPr>
          </w:p>
        </w:tc>
        <w:tc>
          <w:tcPr>
            <w:tcW w:w="3400" w:type="dxa"/>
            <w:vAlign w:val="bottom"/>
            <w:tcBorders>
              <w:top w:val="single" w:sz="8" w:color="0000EE"/>
            </w:tcBorders>
            <w:gridSpan w:val="5"/>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-875030</wp:posOffset>
            </wp:positionV>
            <wp:extent cx="966470" cy="123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6470" cy="12382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 the Shareholders and the Board of Directors of Build-A-Bear Workshop,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3" w:lineRule="exact"/>
        <w:rPr>
          <w:sz w:val="20"/>
          <w:szCs w:val="20"/>
          <w:color w:val="auto"/>
        </w:rPr>
      </w:pPr>
    </w:p>
    <w:p>
      <w:pPr>
        <w:jc w:val="both"/>
        <w:ind w:firstLine="468"/>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Build-A-Bear Workshop, Inc. and subsidiaries (the Company) as of February 1, 2025 and February 3, 2024, the related consolidated statements of operations and comprehensive income, stockholders' equity and cash flows for each of the three years in the period ended February 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February 1, 2025 and February 3, 2024, and the results of its operations and its cash flows for each of the three years in the period ended February 1, 2025, in conformity with U.S. generally accepted accounting principles.</w:t>
      </w:r>
    </w:p>
    <w:p>
      <w:pPr>
        <w:spacing w:after="0" w:line="172"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February 1, 2025, based on criteria established in Internal Control—Integrated Framework issued by the Committee of Sponsoring Organizations of the Treadway Commission (2013 framework), and our report dated April 17, 2025 expressed an unqualified opinion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3"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ind w:firstLine="468"/>
        <w:spacing w:after="0" w:line="26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23"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8940" w:type="dxa"/>
            <w:vAlign w:val="bottom"/>
          </w:tcPr>
          <w:p>
            <w:pPr>
              <w:ind w:left="1880"/>
              <w:spacing w:after="0"/>
              <w:rPr>
                <w:sz w:val="20"/>
                <w:szCs w:val="20"/>
                <w:color w:val="auto"/>
              </w:rPr>
            </w:pPr>
            <w:r>
              <w:rPr>
                <w:rFonts w:ascii="Times New Roman" w:cs="Times New Roman" w:eastAsia="Times New Roman" w:hAnsi="Times New Roman"/>
                <w:sz w:val="17"/>
                <w:szCs w:val="17"/>
                <w:b w:val="1"/>
                <w:bCs w:val="1"/>
                <w:color w:val="auto"/>
              </w:rPr>
              <w:t>Revenue recognition - gift card breakage</w:t>
            </w:r>
          </w:p>
        </w:tc>
      </w:tr>
      <w:tr>
        <w:trPr>
          <w:trHeight w:val="398"/>
        </w:trPr>
        <w:tc>
          <w:tcPr>
            <w:tcW w:w="23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Description of the Matter</w:t>
            </w:r>
          </w:p>
        </w:tc>
        <w:tc>
          <w:tcPr>
            <w:tcW w:w="8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As described in Note 3, for the Company’s gift cards, revenue is deferred for single transactions until redemption. The</w:t>
            </w:r>
          </w:p>
        </w:tc>
      </w:tr>
      <w:tr>
        <w:trPr>
          <w:trHeight w:val="208"/>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unredeemed gift cards or breakage revenue is recorded in proportion to the customer’s redemption pattern using an</w:t>
            </w:r>
          </w:p>
        </w:tc>
      </w:tr>
      <w:tr>
        <w:trPr>
          <w:trHeight w:val="208"/>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estimated breakage rate based on historical experience. For the year ended February 3, 2024, net retail sales included gift</w:t>
            </w:r>
          </w:p>
        </w:tc>
      </w:tr>
      <w:tr>
        <w:trPr>
          <w:trHeight w:val="227"/>
        </w:trPr>
        <w:tc>
          <w:tcPr>
            <w:tcW w:w="2300" w:type="dxa"/>
            <w:vAlign w:val="bottom"/>
          </w:tcPr>
          <w:p>
            <w:pPr>
              <w:spacing w:after="0"/>
              <w:rPr>
                <w:sz w:val="19"/>
                <w:szCs w:val="19"/>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card breakage revenue of $6.5 million.</w:t>
            </w:r>
          </w:p>
        </w:tc>
      </w:tr>
      <w:tr>
        <w:trPr>
          <w:trHeight w:val="416"/>
        </w:trPr>
        <w:tc>
          <w:tcPr>
            <w:tcW w:w="2300" w:type="dxa"/>
            <w:vAlign w:val="bottom"/>
          </w:tcPr>
          <w:p>
            <w:pPr>
              <w:spacing w:after="0"/>
              <w:rPr>
                <w:sz w:val="24"/>
                <w:szCs w:val="24"/>
                <w:color w:val="auto"/>
              </w:rPr>
            </w:pPr>
          </w:p>
        </w:tc>
        <w:tc>
          <w:tcPr>
            <w:tcW w:w="8940" w:type="dxa"/>
            <w:vAlign w:val="bottom"/>
          </w:tcPr>
          <w:p>
            <w:pPr>
              <w:ind w:left="3240"/>
              <w:spacing w:after="0"/>
              <w:rPr>
                <w:sz w:val="20"/>
                <w:szCs w:val="20"/>
                <w:color w:val="auto"/>
              </w:rPr>
            </w:pPr>
            <w:r>
              <w:rPr>
                <w:rFonts w:ascii="Times New Roman" w:cs="Times New Roman" w:eastAsia="Times New Roman" w:hAnsi="Times New Roman"/>
                <w:sz w:val="17"/>
                <w:szCs w:val="17"/>
                <w:color w:val="auto"/>
              </w:rPr>
              <w:t>41</w:t>
            </w:r>
          </w:p>
        </w:tc>
      </w:tr>
      <w:tr>
        <w:trPr>
          <w:trHeight w:val="110"/>
        </w:trPr>
        <w:tc>
          <w:tcPr>
            <w:tcW w:w="2300" w:type="dxa"/>
            <w:vAlign w:val="bottom"/>
            <w:tcBorders>
              <w:bottom w:val="single" w:sz="8" w:color="auto"/>
            </w:tcBorders>
          </w:tcPr>
          <w:p>
            <w:pPr>
              <w:spacing w:after="0"/>
              <w:rPr>
                <w:sz w:val="9"/>
                <w:szCs w:val="9"/>
                <w:color w:val="auto"/>
              </w:rPr>
            </w:pPr>
          </w:p>
        </w:tc>
        <w:tc>
          <w:tcPr>
            <w:tcW w:w="89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both"/>
        <w:ind w:left="2820"/>
        <w:spacing w:after="0" w:line="268" w:lineRule="auto"/>
        <w:rPr>
          <w:sz w:val="20"/>
          <w:szCs w:val="20"/>
          <w:color w:val="auto"/>
        </w:rPr>
      </w:pPr>
      <w:r>
        <w:rPr>
          <w:rFonts w:ascii="Times New Roman" w:cs="Times New Roman" w:eastAsia="Times New Roman" w:hAnsi="Times New Roman"/>
          <w:sz w:val="17"/>
          <w:szCs w:val="17"/>
          <w:color w:val="auto"/>
        </w:rPr>
        <w:t>Auditing the Company’s breakage revenue related to unredeemed gift cards was complex and judgmental due to the complexity of the model and the subjectivity related to the judgments that are made by the Company to estimate the breakage rate. Further, given the magnitude of the Company’s gift card liability, changes in breakage rates have a significant impact on the amount of breakage revenue recognized.</w:t>
      </w:r>
    </w:p>
    <w:p>
      <w:pPr>
        <w:spacing w:after="0" w:line="166"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7"/>
          <w:szCs w:val="17"/>
          <w:i w:val="1"/>
          <w:iCs w:val="1"/>
          <w:color w:val="auto"/>
        </w:rPr>
        <w:t>How We Addressed the Matter in</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management’s</w:t>
      </w:r>
    </w:p>
    <w:p>
      <w:pPr>
        <w:spacing w:after="0" w:line="33"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Our Audit                        </w:t>
      </w:r>
      <w:r>
        <w:rPr>
          <w:rFonts w:ascii="Times New Roman" w:cs="Times New Roman" w:eastAsia="Times New Roman" w:hAnsi="Times New Roman"/>
          <w:sz w:val="17"/>
          <w:szCs w:val="17"/>
          <w:color w:val="auto"/>
        </w:rPr>
        <w:t>determination of gift card breakage revenue, including the model and data inputs used in the model, as well as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underlying assumptions selected by management in establishing the breakage rates.</w:t>
      </w:r>
    </w:p>
    <w:p>
      <w:pPr>
        <w:spacing w:after="0" w:line="165" w:lineRule="exact"/>
        <w:rPr>
          <w:sz w:val="20"/>
          <w:szCs w:val="20"/>
          <w:color w:val="auto"/>
        </w:rPr>
      </w:pPr>
    </w:p>
    <w:p>
      <w:pPr>
        <w:jc w:val="both"/>
        <w:ind w:left="2820"/>
        <w:spacing w:after="0" w:line="268" w:lineRule="auto"/>
        <w:rPr>
          <w:sz w:val="20"/>
          <w:szCs w:val="20"/>
          <w:color w:val="auto"/>
        </w:rPr>
      </w:pPr>
      <w:r>
        <w:rPr>
          <w:rFonts w:ascii="Times New Roman" w:cs="Times New Roman" w:eastAsia="Times New Roman" w:hAnsi="Times New Roman"/>
          <w:sz w:val="17"/>
          <w:szCs w:val="17"/>
          <w:color w:val="auto"/>
        </w:rPr>
        <w:t>We performed audit procedures that included, among others, evaluating the methodologies, assessing the judgments and testing the completeness and accuracy of the historical data used by the Company in its determination of the breakage rate. In addition, we performed sensitivity analyses over the breakage rate to evaluate the impact changes in breakage rates had on breakage revenue recorded.</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 Louis,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9"/>
        </w:trPr>
        <w:tc>
          <w:tcPr>
            <w:tcW w:w="12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48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BUILD-A-BEAR WORKSHOP, INC. AND SUBSIDIARIES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8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(Dollars in thousands, except share data)</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1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201"/>
        </w:trPr>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22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4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27,758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44,327</w:t>
            </w:r>
          </w:p>
        </w:tc>
      </w:tr>
      <w:tr>
        <w:trPr>
          <w:trHeight w:val="208"/>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Inventories, net</w:t>
            </w: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69,775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63,499</w:t>
            </w:r>
          </w:p>
        </w:tc>
      </w:tr>
      <w:tr>
        <w:trPr>
          <w:trHeight w:val="208"/>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Receivables, net</w:t>
            </w:r>
          </w:p>
        </w:tc>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16,096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8,569</w:t>
            </w:r>
          </w:p>
        </w:tc>
      </w:tr>
      <w:tr>
        <w:trPr>
          <w:trHeight w:val="208"/>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12,669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11,377</w:t>
            </w:r>
          </w:p>
        </w:tc>
        <w:tc>
          <w:tcPr>
            <w:tcW w:w="10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3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Total current assets</w:t>
            </w:r>
          </w:p>
        </w:tc>
        <w:tc>
          <w:tcPr>
            <w:tcW w:w="4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126,298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127,772</w:t>
            </w:r>
          </w:p>
        </w:tc>
      </w:tr>
    </w:tbl>
    <w:p>
      <w:pPr>
        <w:spacing w:after="0" w:line="190" w:lineRule="exact"/>
        <w:rPr>
          <w:sz w:val="20"/>
          <w:szCs w:val="20"/>
          <w:color w:val="auto"/>
        </w:rPr>
      </w:pPr>
    </w:p>
    <w:p>
      <w:pPr>
        <w:sectPr>
          <w:pgSz w:w="11900" w:h="16838" w:orient="portrait"/>
          <w:cols w:equalWidth="0" w:num="1">
            <w:col w:w="11240"/>
          </w:cols>
          <w:pgMar w:left="320" w:top="113"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Operating lease right-of-use asset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assets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assets, net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90,200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73,443</w:t>
            </w: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55,262</w:t>
            </w:r>
          </w:p>
        </w:tc>
      </w:tr>
      <w:tr>
        <w:trPr>
          <w:trHeight w:val="20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8,682</w:t>
            </w:r>
          </w:p>
        </w:tc>
      </w:tr>
      <w:tr>
        <w:trPr>
          <w:trHeight w:val="227"/>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7,166</w:t>
            </w:r>
          </w:p>
        </w:tc>
      </w:tr>
      <w:tr>
        <w:trPr>
          <w:trHeight w:val="201"/>
        </w:trPr>
        <w:tc>
          <w:tcPr>
            <w:tcW w:w="2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289,956</w:t>
            </w:r>
          </w:p>
        </w:tc>
        <w:tc>
          <w:tcPr>
            <w:tcW w:w="2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272,325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-693420</wp:posOffset>
            </wp:positionV>
            <wp:extent cx="7137400" cy="132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-428625</wp:posOffset>
            </wp:positionV>
            <wp:extent cx="7137400" cy="132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-156210</wp:posOffset>
            </wp:positionV>
            <wp:extent cx="7137400" cy="156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13" w:right="3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Accrued expenses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19,954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liability short term</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Gift cards and customer deposits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 revenue and other</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83,733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 long term</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57,609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8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Preferred stock, par value $0.01, Shares authorized: 15,000,000; No shares issued or outstanding at February</w:t>
            </w: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 2025 and February 3, 2024</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Common stock, par value $0.01, Shares authorized: 50,000,000; Issued and outstanding: 13,257,131 and</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14,172,362 shares, respectively</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139,082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129,662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289,956</w:t>
            </w:r>
          </w:p>
        </w:tc>
        <w:tc>
          <w:tcPr>
            <w:tcW w:w="140" w:type="dxa"/>
            <w:vAlign w:val="bottom"/>
          </w:tcPr>
          <w:p>
            <w:pPr>
              <w:spacing w:after="0"/>
              <w:rPr>
                <w:sz w:val="17"/>
                <w:szCs w:val="17"/>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272,325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40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700" w:type="dxa"/>
            <w:vAlign w:val="bottom"/>
            <w:gridSpan w:val="5"/>
          </w:tcPr>
          <w:p>
            <w:pPr>
              <w:jc w:val="center"/>
              <w:ind w:left="1973"/>
              <w:spacing w:after="0"/>
              <w:rPr>
                <w:sz w:val="20"/>
                <w:szCs w:val="20"/>
                <w:color w:val="auto"/>
              </w:rPr>
            </w:pPr>
            <w:r>
              <w:rPr>
                <w:rFonts w:ascii="Times New Roman" w:cs="Times New Roman" w:eastAsia="Times New Roman" w:hAnsi="Times New Roman"/>
                <w:sz w:val="17"/>
                <w:szCs w:val="17"/>
                <w:b w:val="1"/>
                <w:bCs w:val="1"/>
                <w:color w:val="auto"/>
              </w:rPr>
              <w:t>BUILD-A-BEAR WORKSHOP, INC. AND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00" w:type="dxa"/>
            <w:vAlign w:val="bottom"/>
            <w:gridSpan w:val="5"/>
          </w:tcPr>
          <w:p>
            <w:pPr>
              <w:jc w:val="center"/>
              <w:ind w:left="1993"/>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920" w:type="dxa"/>
            <w:vAlign w:val="bottom"/>
            <w:gridSpan w:val="4"/>
          </w:tcPr>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AND COMPREHENSIVE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00" w:type="dxa"/>
            <w:vAlign w:val="bottom"/>
            <w:gridSpan w:val="5"/>
          </w:tcPr>
          <w:p>
            <w:pPr>
              <w:jc w:val="center"/>
              <w:ind w:left="1973"/>
              <w:spacing w:after="0"/>
              <w:rPr>
                <w:sz w:val="20"/>
                <w:szCs w:val="20"/>
                <w:color w:val="auto"/>
              </w:rPr>
            </w:pPr>
            <w:r>
              <w:rPr>
                <w:rFonts w:ascii="Times New Roman" w:cs="Times New Roman" w:eastAsia="Times New Roman" w:hAnsi="Times New Roman"/>
                <w:sz w:val="17"/>
                <w:szCs w:val="17"/>
                <w:color w:val="auto"/>
              </w:rPr>
              <w:t>(Dollars in thousands, except share and per share data)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93"/>
              <w:spacing w:after="0" w:line="188" w:lineRule="exact"/>
              <w:rPr>
                <w:sz w:val="20"/>
                <w:szCs w:val="20"/>
                <w:color w:val="auto"/>
              </w:rPr>
            </w:pPr>
            <w:r>
              <w:rPr>
                <w:rFonts w:ascii="Times New Roman" w:cs="Times New Roman" w:eastAsia="Times New Roman" w:hAnsi="Times New Roman"/>
                <w:sz w:val="17"/>
                <w:szCs w:val="17"/>
                <w:b w:val="1"/>
                <w:bCs w:val="1"/>
                <w:color w:val="auto"/>
              </w:rPr>
              <w:t>January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Net retail sales</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460,325</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456,163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446,181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Commercial revenue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25,413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International franchising</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0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revenues</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496,404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486,114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467,937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Cost of merchandise sold - retail</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206,815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211,489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merchandise sold - commercial</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12,091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merchandise sold - international franchising</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Total cost of merchandise sold</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223,886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221,722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222,065</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gross profit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272,518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264,392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245,872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206,238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198,992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183,929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67,141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66,329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61,924</w:t>
            </w: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15,356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13,524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13,939</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0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Net income</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51,785</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52,805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47,985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78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51,313</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52,997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per common share: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Basic</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3.81</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gridSpan w:val="2"/>
          </w:tcPr>
          <w:p>
            <w:pPr>
              <w:ind w:left="300"/>
              <w:spacing w:after="0" w:line="187" w:lineRule="exact"/>
              <w:rPr>
                <w:sz w:val="20"/>
                <w:szCs w:val="20"/>
                <w:color w:val="auto"/>
              </w:rPr>
            </w:pPr>
            <w:r>
              <w:rPr>
                <w:rFonts w:ascii="Times New Roman" w:cs="Times New Roman" w:eastAsia="Times New Roman" w:hAnsi="Times New Roman"/>
                <w:sz w:val="17"/>
                <w:szCs w:val="17"/>
                <w:color w:val="auto"/>
              </w:rPr>
              <w:t>Diluted</w:t>
            </w:r>
          </w:p>
        </w:tc>
        <w:tc>
          <w:tcPr>
            <w:tcW w:w="2480" w:type="dxa"/>
            <w:vAlign w:val="bottom"/>
            <w:gridSpan w:val="2"/>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line="187" w:lineRule="exact"/>
              <w:rPr>
                <w:sz w:val="20"/>
                <w:szCs w:val="20"/>
                <w:color w:val="auto"/>
              </w:rPr>
            </w:pPr>
            <w:r>
              <w:rPr>
                <w:rFonts w:ascii="Times New Roman" w:cs="Times New Roman" w:eastAsia="Times New Roman" w:hAnsi="Times New Roman"/>
                <w:sz w:val="17"/>
                <w:szCs w:val="17"/>
                <w:color w:val="auto"/>
              </w:rPr>
              <w:t>3.80</w:t>
            </w:r>
          </w:p>
        </w:tc>
        <w:tc>
          <w:tcPr>
            <w:tcW w:w="260" w:type="dxa"/>
            <w:vAlign w:val="bottom"/>
            <w:gridSpan w:val="2"/>
          </w:tcPr>
          <w:p>
            <w:pPr>
              <w:jc w:val="right"/>
              <w:ind w:right="13"/>
              <w:spacing w:after="0" w:line="187" w:lineRule="exact"/>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40"/>
              <w:spacing w:after="0" w:line="187" w:lineRule="exact"/>
              <w:rPr>
                <w:sz w:val="20"/>
                <w:szCs w:val="20"/>
                <w:color w:val="auto"/>
              </w:rPr>
            </w:pPr>
            <w:r>
              <w:rPr>
                <w:rFonts w:ascii="Times New Roman" w:cs="Times New Roman" w:eastAsia="Times New Roman" w:hAnsi="Times New Roman"/>
                <w:sz w:val="17"/>
                <w:szCs w:val="17"/>
                <w:color w:val="auto"/>
              </w:rPr>
              <w:t>3.65</w:t>
            </w:r>
          </w:p>
        </w:tc>
        <w:tc>
          <w:tcPr>
            <w:tcW w:w="260" w:type="dxa"/>
            <w:vAlign w:val="bottom"/>
            <w:gridSpan w:val="2"/>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used in computing common per share amounts: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Basic</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13,578,587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14,342,931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14,940,770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Diluted</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13,621,075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14,471,875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15,249,819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5700" w:type="dxa"/>
            <w:vAlign w:val="bottom"/>
            <w:gridSpan w:val="1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BUILD-A-BEAR WORKSHOP, INC. AND SUBSIDIARIES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gridSpan w:val="1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6"/>
          </w:tcPr>
          <w:p>
            <w:pPr>
              <w:jc w:val="center"/>
              <w:ind w:right="780"/>
              <w:spacing w:after="0"/>
              <w:rPr>
                <w:sz w:val="20"/>
                <w:szCs w:val="20"/>
                <w:color w:val="auto"/>
              </w:rPr>
            </w:pPr>
            <w:r>
              <w:rPr>
                <w:rFonts w:ascii="Times New Roman" w:cs="Times New Roman" w:eastAsia="Times New Roman" w:hAnsi="Times New Roman"/>
                <w:sz w:val="17"/>
                <w:szCs w:val="17"/>
                <w:color w:val="auto"/>
              </w:rPr>
              <w:t>(Dollars in thousands)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January 29, 2022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75,490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30,501</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93,683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issued under employee stock plans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withheld in lieu of tax withholdings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Repurchase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(17,083)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196</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47,985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47,985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January 28, 2023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69,868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61,375</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119,117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Adoption of new ASU - ASC 326</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January 28, 2023</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69,868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60,590</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118,332</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issued under employee stock plans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withheld in lieu of tax withholdings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Repurchase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(16,312)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(22,014)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52,805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52,805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Balance, February 3, 2024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66,330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line="240" w:lineRule="exact"/>
              <w:rPr>
                <w:sz w:val="20"/>
                <w:szCs w:val="20"/>
                <w:color w:val="auto"/>
              </w:rPr>
            </w:pPr>
            <w:r>
              <w:rPr>
                <w:rFonts w:ascii="Times New Roman" w:cs="Times New Roman" w:eastAsia="Times New Roman" w:hAnsi="Times New Roman"/>
                <w:sz w:val="15"/>
                <w:szCs w:val="15"/>
                <w:color w:val="auto"/>
              </w:rPr>
              <w:t>(12,082</w:t>
            </w:r>
            <w:r>
              <w:rPr>
                <w:rFonts w:ascii="Times New Roman" w:cs="Times New Roman" w:eastAsia="Times New Roman" w:hAnsi="Times New Roman"/>
                <w:sz w:val="27"/>
                <w:szCs w:val="27"/>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75,272</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129,662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under employee stock plans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withheld in lieu of tax withholdings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Repurchase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(26,544)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Dividend</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(10,957)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(10,957)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51,785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51,785</w:t>
            </w:r>
          </w:p>
        </w:tc>
        <w:tc>
          <w:tcPr>
            <w:tcW w:w="0" w:type="dxa"/>
            <w:vAlign w:val="bottom"/>
          </w:tcPr>
          <w:p>
            <w:pPr>
              <w:spacing w:after="0"/>
              <w:rPr>
                <w:sz w:val="1"/>
                <w:szCs w:val="1"/>
                <w:color w:val="auto"/>
              </w:rPr>
            </w:pPr>
          </w:p>
        </w:tc>
      </w:tr>
      <w:tr>
        <w:trPr>
          <w:trHeight w:val="208"/>
        </w:trPr>
        <w:tc>
          <w:tcPr>
            <w:tcW w:w="124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February 1, 2025</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61,987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89,516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00" w:type="dxa"/>
            <w:vAlign w:val="bottom"/>
            <w:gridSpan w:val="12"/>
          </w:tcPr>
          <w:p>
            <w:pPr>
              <w:jc w:val="center"/>
              <w:ind w:right="5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left="633"/>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7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BUILD-A-BEAR WORKSHOP, INC. AND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00" w:type="dxa"/>
            <w:vAlign w:val="bottom"/>
            <w:gridSpan w:val="5"/>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(Dollars in thousands)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460"/>
              <w:spacing w:after="0" w:line="181"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93"/>
              <w:spacing w:after="0" w:line="181" w:lineRule="exact"/>
              <w:rPr>
                <w:sz w:val="20"/>
                <w:szCs w:val="20"/>
                <w:color w:val="auto"/>
              </w:rPr>
            </w:pPr>
            <w:r>
              <w:rPr>
                <w:rFonts w:ascii="Times New Roman" w:cs="Times New Roman" w:eastAsia="Times New Roman" w:hAnsi="Times New Roman"/>
                <w:sz w:val="17"/>
                <w:szCs w:val="17"/>
                <w:b w:val="1"/>
                <w:bCs w:val="1"/>
                <w:color w:val="auto"/>
              </w:rPr>
              <w:t>January 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Net income</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51,785</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52,805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47,985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14,772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13,657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Share-based and performance-based stock compensation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Deferred taxes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Provision/(adjustments) for doubtful accounts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Net change in film costs and advances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Inventories, net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Receivables, net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(11,083)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Operating leases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Gift cards and customer deposits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Deferred revenue</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47,087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64,310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1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Capital expenditures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(18,295)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(19,317)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(18,295)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16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Proceeds from exercise of employee equity awards, net of tax</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Purchases of Company's common stock</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(31,266)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dividends paid on vested participating securities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(44,159)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(43,901)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rates on cash</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42,198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27,758</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44,327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(1)</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27,368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43,934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41,748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Restricted cash from long-term deposits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27,758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44,327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42,198</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3480" w:type="dxa"/>
            <w:vAlign w:val="bottom"/>
            <w:tcBorders>
              <w:top w:val="single" w:sz="8" w:color="CCEEFF"/>
            </w:tcBorders>
          </w:tcPr>
          <w:p>
            <w:pPr>
              <w:spacing w:after="0"/>
              <w:rPr>
                <w:sz w:val="16"/>
                <w:szCs w:val="16"/>
                <w:color w:val="auto"/>
              </w:rPr>
            </w:pPr>
          </w:p>
        </w:tc>
        <w:tc>
          <w:tcPr>
            <w:tcW w:w="16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paid during the period for income taxes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16,693</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17,364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10,327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80" w:right="2180" w:hanging="3476"/>
        <w:spacing w:after="0" w:line="511" w:lineRule="auto"/>
        <w:tabs>
          <w:tab w:leader="none" w:pos="24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cash, cash equivalents and restricted cash in Note 2 - "Summary of Significant Accounting Policies" for further discussion. See accompanying notes to consolidated financial statements.</w:t>
      </w: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ind w:left="460" w:hanging="416"/>
        <w:spacing w:after="0"/>
        <w:tabs>
          <w:tab w:leader="none" w:pos="46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Preparation</w:t>
      </w:r>
    </w:p>
    <w:p>
      <w:pPr>
        <w:spacing w:after="0" w:line="223" w:lineRule="exact"/>
        <w:rPr>
          <w:sz w:val="20"/>
          <w:szCs w:val="20"/>
          <w:color w:val="auto"/>
        </w:rPr>
      </w:pPr>
    </w:p>
    <w:p>
      <w:pPr>
        <w:jc w:val="both"/>
        <w:ind w:right="120" w:firstLine="468"/>
        <w:spacing w:after="0" w:line="264" w:lineRule="auto"/>
        <w:rPr>
          <w:sz w:val="20"/>
          <w:szCs w:val="20"/>
          <w:color w:val="auto"/>
        </w:rPr>
      </w:pPr>
      <w:r>
        <w:rPr>
          <w:rFonts w:ascii="Times New Roman" w:cs="Times New Roman" w:eastAsia="Times New Roman" w:hAnsi="Times New Roman"/>
          <w:sz w:val="17"/>
          <w:szCs w:val="17"/>
          <w:color w:val="auto"/>
        </w:rPr>
        <w:t>Build-A-Bear Workshop, Inc. and subsidiaries (collectively, the “Company”) is a multi-channel retailer of plush animals and related products. The Company began operations in October 1997. The Company sells its products through its 368 corporately-managed locations operated primarily in leased mall locations in the U.S., Canada, the Republic of Ireland, and the U.K. along with its e-commerce sites. As of the balance sheet date, operations in foreign countries where the Company does not have corporately-managed locations are through franchise agreements. The Company also sold product through its partner-operated "third-party retail" model at 138 stores in which it sells its products on a wholesale basis to other companies that then in turn execute the Company's retail experience.</w:t>
      </w:r>
    </w:p>
    <w:p>
      <w:pPr>
        <w:spacing w:after="0" w:line="382" w:lineRule="exact"/>
        <w:rPr>
          <w:sz w:val="20"/>
          <w:szCs w:val="20"/>
          <w:color w:val="auto"/>
        </w:rPr>
      </w:pPr>
    </w:p>
    <w:p>
      <w:pPr>
        <w:jc w:val="both"/>
        <w:ind w:right="140" w:firstLine="468"/>
        <w:spacing w:after="0" w:line="293" w:lineRule="auto"/>
        <w:rPr>
          <w:sz w:val="20"/>
          <w:szCs w:val="20"/>
          <w:color w:val="auto"/>
        </w:rPr>
      </w:pPr>
      <w:r>
        <w:rPr>
          <w:rFonts w:ascii="Times New Roman" w:cs="Times New Roman" w:eastAsia="Times New Roman" w:hAnsi="Times New Roman"/>
          <w:sz w:val="17"/>
          <w:szCs w:val="17"/>
          <w:color w:val="auto"/>
        </w:rPr>
        <w:t>The Company’s consolidated financial statements have been prepared in accordance U.S. GAAP. Certain amounts in prior fiscal periods have been reclassified to conform to current year presentation with no impact to the consolidated statement of operations and comprehensive income.</w:t>
      </w:r>
    </w:p>
    <w:p>
      <w:pPr>
        <w:spacing w:after="0" w:line="379" w:lineRule="exact"/>
        <w:rPr>
          <w:sz w:val="20"/>
          <w:szCs w:val="20"/>
          <w:color w:val="auto"/>
        </w:rPr>
      </w:pPr>
    </w:p>
    <w:p>
      <w:pPr>
        <w:ind w:left="460" w:hanging="416"/>
        <w:spacing w:after="0"/>
        <w:tabs>
          <w:tab w:leader="none" w:pos="46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3" w:lineRule="exact"/>
        <w:rPr>
          <w:sz w:val="20"/>
          <w:szCs w:val="20"/>
          <w:color w:val="auto"/>
        </w:rPr>
      </w:pPr>
    </w:p>
    <w:p>
      <w:pPr>
        <w:ind w:right="120" w:firstLine="468"/>
        <w:spacing w:after="0" w:line="293" w:lineRule="auto"/>
        <w:rPr>
          <w:sz w:val="20"/>
          <w:szCs w:val="20"/>
          <w:color w:val="auto"/>
        </w:rPr>
      </w:pPr>
      <w:r>
        <w:rPr>
          <w:rFonts w:ascii="Times New Roman" w:cs="Times New Roman" w:eastAsia="Times New Roman" w:hAnsi="Times New Roman"/>
          <w:sz w:val="17"/>
          <w:szCs w:val="17"/>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Build-A-Bear Workshop, Inc. and its wholly-owned subsidiaries.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All intercompany accounts are eliminated in consolidation.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Fiscal Year</w:t>
      </w:r>
    </w:p>
    <w:p>
      <w:pPr>
        <w:spacing w:after="0" w:line="225" w:lineRule="exact"/>
        <w:rPr>
          <w:sz w:val="20"/>
          <w:szCs w:val="20"/>
          <w:color w:val="auto"/>
        </w:rPr>
      </w:pPr>
    </w:p>
    <w:p>
      <w:pPr>
        <w:jc w:val="both"/>
        <w:ind w:left="40" w:firstLine="425"/>
        <w:spacing w:after="0" w:line="274" w:lineRule="auto"/>
        <w:rPr>
          <w:sz w:val="20"/>
          <w:szCs w:val="20"/>
          <w:color w:val="auto"/>
        </w:rPr>
      </w:pPr>
      <w:r>
        <w:rPr>
          <w:rFonts w:ascii="Times New Roman" w:cs="Times New Roman" w:eastAsia="Times New Roman" w:hAnsi="Times New Roman"/>
          <w:sz w:val="17"/>
          <w:szCs w:val="17"/>
          <w:color w:val="auto"/>
        </w:rPr>
        <w:t>The Company operates on a 52- or 53-week fiscal year ending on the Saturday closest to January 31. The periods presented in these financial statements are fiscal 2024 (52 weeks ended February 1, 2025), fiscal 2023 (53 weeks ended February 3, 2024) and fiscal 2022 (52 weeks ended January 28, 2023). References to years in these financial statements relate to fiscal years or year-ends rather than calendar years.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225" w:lineRule="exact"/>
        <w:rPr>
          <w:sz w:val="20"/>
          <w:szCs w:val="20"/>
          <w:color w:val="auto"/>
        </w:rPr>
      </w:pPr>
    </w:p>
    <w:p>
      <w:pPr>
        <w:jc w:val="both"/>
        <w:ind w:left="40" w:firstLine="425"/>
        <w:spacing w:after="0" w:line="263" w:lineRule="auto"/>
        <w:rPr>
          <w:sz w:val="20"/>
          <w:szCs w:val="20"/>
          <w:color w:val="auto"/>
        </w:rPr>
      </w:pPr>
      <w:r>
        <w:rPr>
          <w:rFonts w:ascii="Times New Roman" w:cs="Times New Roman" w:eastAsia="Times New Roman" w:hAnsi="Times New Roman"/>
          <w:sz w:val="17"/>
          <w:szCs w:val="17"/>
          <w:color w:val="auto"/>
        </w:rPr>
        <w:t xml:space="preserve">Cash and cash equivalents include cash, money market funds, and short-term highly liquid investments with an original maturity of three months or less held in both domestic and foreign financial institutions. In addition, the Company has a long-term deposit to satisfy contractual terms with the UK Customs Authority (unrelated to the matter discussed in Note </w:t>
      </w:r>
      <w:r>
        <w:rPr>
          <w:rFonts w:ascii="Times New Roman" w:cs="Times New Roman" w:eastAsia="Times New Roman" w:hAnsi="Times New Roman"/>
          <w:sz w:val="17"/>
          <w:szCs w:val="17"/>
          <w:i w:val="1"/>
          <w:iCs w:val="1"/>
          <w:color w:val="auto"/>
        </w:rPr>
        <w:t>10</w:t>
      </w:r>
      <w:r>
        <w:rPr>
          <w:rFonts w:ascii="Times New Roman" w:cs="Times New Roman" w:eastAsia="Times New Roman" w:hAnsi="Times New Roman"/>
          <w:sz w:val="17"/>
          <w:szCs w:val="17"/>
          <w:color w:val="auto"/>
        </w:rPr>
        <w:t xml:space="preserve"> - Commitments and Contingencies). The Company also has deposits from franchisees under contractual agreements which are refundable. The long-term and franchisee deposits are considered restricted cash and disclosed within the supplemental disclosure within the consolidated statement of cash flows. Cash equivalents also include amounts due from third-party financial institutions for credit and debit card transactions. The carrying amount of cash and cash equivalents approximates fair value, given the short maturity of those instruments.</w:t>
      </w:r>
    </w:p>
    <w:p>
      <w:pPr>
        <w:spacing w:after="0" w:line="172" w:lineRule="exact"/>
        <w:rPr>
          <w:sz w:val="20"/>
          <w:szCs w:val="20"/>
          <w:color w:val="auto"/>
        </w:rPr>
      </w:pPr>
    </w:p>
    <w:p>
      <w:pPr>
        <w:jc w:val="both"/>
        <w:ind w:left="40" w:firstLine="425"/>
        <w:spacing w:after="0" w:line="293" w:lineRule="auto"/>
        <w:rPr>
          <w:sz w:val="20"/>
          <w:szCs w:val="20"/>
          <w:color w:val="auto"/>
        </w:rPr>
      </w:pPr>
      <w:r>
        <w:rPr>
          <w:rFonts w:ascii="Times New Roman" w:cs="Times New Roman" w:eastAsia="Times New Roman" w:hAnsi="Times New Roman"/>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cash equivalents, and restricted cash.</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25" w:lineRule="exact"/>
        <w:rPr>
          <w:sz w:val="20"/>
          <w:szCs w:val="20"/>
          <w:color w:val="auto"/>
        </w:rPr>
      </w:pPr>
    </w:p>
    <w:p>
      <w:pPr>
        <w:jc w:val="both"/>
        <w:ind w:left="40" w:firstLine="425"/>
        <w:spacing w:after="0" w:line="274"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on an average-cost basis. Inventory includes supplies of $3.5 million and $4.1 million as of February 1, 2025 and February 3, 2024, respectively. A reserve for estimated shortage is accrued throughout the year based on detailed historical averages. The inventory reserve was $1.2 million as of February 1, 2025 and $1.1 million as of February 3, 2024.</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Receivables</w:t>
      </w:r>
    </w:p>
    <w:p>
      <w:pPr>
        <w:spacing w:after="0" w:line="225" w:lineRule="exact"/>
        <w:rPr>
          <w:sz w:val="20"/>
          <w:szCs w:val="20"/>
          <w:color w:val="auto"/>
        </w:rPr>
      </w:pPr>
    </w:p>
    <w:p>
      <w:pPr>
        <w:jc w:val="both"/>
        <w:ind w:left="40" w:firstLine="425"/>
        <w:spacing w:after="0" w:line="260" w:lineRule="auto"/>
        <w:rPr>
          <w:sz w:val="20"/>
          <w:szCs w:val="20"/>
          <w:color w:val="auto"/>
        </w:rPr>
      </w:pPr>
      <w:r>
        <w:rPr>
          <w:rFonts w:ascii="Times New Roman" w:cs="Times New Roman" w:eastAsia="Times New Roman" w:hAnsi="Times New Roman"/>
          <w:sz w:val="17"/>
          <w:szCs w:val="17"/>
          <w:color w:val="auto"/>
        </w:rPr>
        <w:t xml:space="preserve">Receivables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At the beginning of fiscal 2023, the Company adopted ASU </w:t>
      </w:r>
      <w:r>
        <w:rPr>
          <w:rFonts w:ascii="Times New Roman" w:cs="Times New Roman" w:eastAsia="Times New Roman" w:hAnsi="Times New Roman"/>
          <w:sz w:val="17"/>
          <w:szCs w:val="17"/>
          <w:i w:val="1"/>
          <w:iCs w:val="1"/>
          <w:color w:val="auto"/>
        </w:rPr>
        <w:t>No. 2016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13,</w:t>
      </w:r>
      <w:r>
        <w:rPr>
          <w:rFonts w:ascii="Times New Roman" w:cs="Times New Roman" w:eastAsia="Times New Roman" w:hAnsi="Times New Roman"/>
          <w:sz w:val="17"/>
          <w:szCs w:val="17"/>
          <w:color w:val="auto"/>
        </w:rPr>
        <w:t xml:space="preserve"> “Financial Instruments - Credit Losses (Topic </w:t>
      </w:r>
      <w:r>
        <w:rPr>
          <w:rFonts w:ascii="Times New Roman" w:cs="Times New Roman" w:eastAsia="Times New Roman" w:hAnsi="Times New Roman"/>
          <w:sz w:val="17"/>
          <w:szCs w:val="17"/>
          <w:i w:val="1"/>
          <w:iCs w:val="1"/>
          <w:color w:val="auto"/>
        </w:rPr>
        <w:t>326</w:t>
      </w:r>
      <w:r>
        <w:rPr>
          <w:rFonts w:ascii="Times New Roman" w:cs="Times New Roman" w:eastAsia="Times New Roman" w:hAnsi="Times New Roman"/>
          <w:sz w:val="17"/>
          <w:szCs w:val="17"/>
          <w:color w:val="auto"/>
        </w:rPr>
        <w:t>):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Upon adoption, the Company recognized a charge of $0.8 million to the opening balance of retained earnings which represents a reduction in its account receivable balance associated with expected credit losses.</w:t>
      </w:r>
    </w:p>
    <w:p>
      <w:pPr>
        <w:spacing w:after="0" w:line="3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25" w:lineRule="exact"/>
        <w:rPr>
          <w:sz w:val="20"/>
          <w:szCs w:val="20"/>
          <w:color w:val="auto"/>
        </w:rPr>
      </w:pPr>
    </w:p>
    <w:p>
      <w:pPr>
        <w:jc w:val="both"/>
        <w:ind w:left="40" w:firstLine="425"/>
        <w:spacing w:after="0" w:line="260" w:lineRule="auto"/>
        <w:rPr>
          <w:sz w:val="20"/>
          <w:szCs w:val="20"/>
          <w:color w:val="auto"/>
        </w:rPr>
      </w:pPr>
      <w:r>
        <w:rPr>
          <w:rFonts w:ascii="Times New Roman" w:cs="Times New Roman" w:eastAsia="Times New Roman" w:hAnsi="Times New Roman"/>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ranging from one to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5" w:lineRule="exact"/>
        <w:rPr>
          <w:sz w:val="20"/>
          <w:szCs w:val="20"/>
          <w:color w:val="auto"/>
        </w:rPr>
      </w:pPr>
    </w:p>
    <w:p>
      <w:pPr>
        <w:jc w:val="both"/>
        <w:ind w:right="120" w:firstLine="468"/>
        <w:spacing w:after="0" w:line="260" w:lineRule="auto"/>
        <w:rPr>
          <w:sz w:val="20"/>
          <w:szCs w:val="20"/>
          <w:color w:val="auto"/>
        </w:rPr>
      </w:pPr>
      <w:r>
        <w:rPr>
          <w:rFonts w:ascii="Times New Roman" w:cs="Times New Roman" w:eastAsia="Times New Roman" w:hAnsi="Times New Roman"/>
          <w:sz w:val="17"/>
          <w:szCs w:val="17"/>
          <w:color w:val="auto"/>
        </w:rPr>
        <w:t>The majority of the Company's leases relate to retail stores, corporate offices, and storage locations. For leases with terms greater than 12 months, the Company records the related asset and obligation at the present value of lease payments over the term. Most retail store leases have an original term of five to ten-year base period and the term can be extended on a lease-by-lease basis with additional terms that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spacing w:after="0" w:line="175" w:lineRule="exact"/>
        <w:rPr>
          <w:sz w:val="20"/>
          <w:szCs w:val="20"/>
          <w:color w:val="auto"/>
        </w:rPr>
      </w:pPr>
    </w:p>
    <w:p>
      <w:pPr>
        <w:jc w:val="both"/>
        <w:ind w:right="120" w:firstLine="468"/>
        <w:spacing w:after="0" w:line="260" w:lineRule="auto"/>
        <w:rPr>
          <w:sz w:val="20"/>
          <w:szCs w:val="20"/>
          <w:color w:val="auto"/>
        </w:rPr>
      </w:pPr>
      <w:r>
        <w:rPr>
          <w:rFonts w:ascii="Times New Roman" w:cs="Times New Roman" w:eastAsia="Times New Roman" w:hAnsi="Times New Roman"/>
          <w:sz w:val="17"/>
          <w:szCs w:val="17"/>
          <w:color w:val="auto"/>
        </w:rPr>
        <w:t>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Operating lease liabilities are calculated using the prevailing index or rate at lease commencement. Subsequent escalations in the index or rate and contingent rental payments are recognized as variable lease expenses. Certain leases contain contingent rental provisions that include a fixed base rent plus an additional percentage of the store’s sales in excess of stipulated amounts and certain leases may contain rental provisions that only include a provision for a percentage of a store's total sales, instead of a fixed base rent amount. Such rents based on a percentage of store's total sales are recorded as variable lease expenses.</w:t>
      </w:r>
    </w:p>
    <w:p>
      <w:pPr>
        <w:spacing w:after="0" w:line="179" w:lineRule="exact"/>
        <w:rPr>
          <w:sz w:val="20"/>
          <w:szCs w:val="20"/>
          <w:color w:val="auto"/>
        </w:rPr>
      </w:pPr>
    </w:p>
    <w:p>
      <w:pPr>
        <w:jc w:val="both"/>
        <w:ind w:right="120" w:firstLine="468"/>
        <w:spacing w:after="0" w:line="274" w:lineRule="auto"/>
        <w:rPr>
          <w:sz w:val="20"/>
          <w:szCs w:val="20"/>
          <w:color w:val="auto"/>
        </w:rPr>
      </w:pPr>
      <w:r>
        <w:rPr>
          <w:rFonts w:ascii="Times New Roman" w:cs="Times New Roman" w:eastAsia="Times New Roman" w:hAnsi="Times New Roman"/>
          <w:sz w:val="17"/>
          <w:szCs w:val="17"/>
          <w:color w:val="auto"/>
        </w:rPr>
        <w:t>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63" w:lineRule="exact"/>
        <w:rPr>
          <w:sz w:val="20"/>
          <w:szCs w:val="20"/>
          <w:color w:val="auto"/>
        </w:rPr>
      </w:pPr>
    </w:p>
    <w:p>
      <w:pPr>
        <w:jc w:val="both"/>
        <w:ind w:left="40" w:firstLine="468"/>
        <w:spacing w:after="0" w:line="268" w:lineRule="auto"/>
        <w:rPr>
          <w:sz w:val="20"/>
          <w:szCs w:val="20"/>
          <w:color w:val="auto"/>
        </w:rPr>
      </w:pPr>
      <w:r>
        <w:rPr>
          <w:rFonts w:ascii="Times New Roman" w:cs="Times New Roman" w:eastAsia="Times New Roman" w:hAnsi="Times New Roman"/>
          <w:sz w:val="17"/>
          <w:szCs w:val="17"/>
          <w:color w:val="auto"/>
        </w:rPr>
        <w:t>Most of the Company’s leases do not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to estimate a secured credit rating. For non-U.S. locations, a risk-free rate yield based on the currency of the lease is used to adjust the estimate of the incremental borrowing rate.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225"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Whenever facts and circumstances indicate that the carrying value of a long-lived asset (asset group) and right-of-use operating lease assets may not be recoverable, the carrying value of those assets is reviewed for potential impairment. If this review indicates that the carrying value of the asset (asset group) will not be recovered, as determined based on projected undiscounted cash flows related to the asset (asset group) over its remaining life, the carrying value of the asset (asset group) is reduced to its estimated fair value. The Company typically performs an annual assessment of its store assets in the DTC segment, based on operating performance and forecasts of future performance. For the purposes of evaluating store assets for impairment, the Company has determined that each store location is an asset group, inclusive of the right-of-use asset attributable to each store. In periods where the Company identifies indicators of impairment for its store fleet, the Company performs a recoverability test for these assets by comparing the estimated undiscounted future cash flows over the remaining useful life of the asset (asset group) to the carry value of the asset (asset group). The estimated undiscounted future cash flows involve expectations for future operations and projected cash flows, including estimates of revenue, operating expenses and market conditions. Based on this, the Company determines if certain stores had long-lived and right-of-use assets with carrying values that exceed their estimated undiscounted future cash flows for the remaining useful life of the respective assets.</w:t>
      </w:r>
    </w:p>
    <w:p>
      <w:pPr>
        <w:spacing w:after="0" w:line="388"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An impairment charge is recognized to the extent the carrying value exceeded the fair value of the asset (asset group). The Company estimates fair values of these long-lived assets based on its discounted future cash flow analysis for the remaining useful life of the asset or its market rent assessment. An individual asset within an asset group is not impaired below its estimated fair value. Asset impairment charges are recorded within the cost of merchandise sold - retail expense within the Consolidated Statement of Operations and Comprehensive Income. The Company's analysis identified indicators of impairment at two retail locations and the Company incurred immaterial impairment charges during fiscal 2024 for long-lived assets in the Company's DTC segment.</w:t>
      </w:r>
    </w:p>
    <w:p>
      <w:pPr>
        <w:spacing w:after="0" w:line="170"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estimates, all of which are considered Level 3 inputs, used to calculate the fair value of the asset (asset group) include: the Company’s expectations for future operations and projected cash flows, including revenues, operating expenses including market rents, and market conditions. Changes in these estimates could have an impact on whether long-lived store assets should be further evaluated for impairment and could have a significant impact on the resulting impairment charge.</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Other Assets, net</w:t>
      </w:r>
    </w:p>
    <w:p>
      <w:pPr>
        <w:spacing w:after="0" w:line="225" w:lineRule="exact"/>
        <w:rPr>
          <w:sz w:val="20"/>
          <w:szCs w:val="20"/>
          <w:color w:val="auto"/>
        </w:rPr>
      </w:pPr>
    </w:p>
    <w:p>
      <w:pPr>
        <w:jc w:val="both"/>
        <w:ind w:left="20" w:firstLine="425"/>
        <w:spacing w:after="0" w:line="261" w:lineRule="auto"/>
        <w:rPr>
          <w:sz w:val="20"/>
          <w:szCs w:val="20"/>
          <w:color w:val="auto"/>
        </w:rPr>
      </w:pPr>
      <w:r>
        <w:rPr>
          <w:rFonts w:ascii="Times New Roman" w:cs="Times New Roman" w:eastAsia="Times New Roman" w:hAnsi="Times New Roman"/>
          <w:sz w:val="17"/>
          <w:szCs w:val="17"/>
          <w:color w:val="auto"/>
        </w:rPr>
        <w:t>Other assets consist primarily of the non-current portion of prepaid income taxes and deferred costs related to franchise agreements, financing agreements, and capitalized film production costs. Deferred franchise costs are initial costs related to the Company’s franchise agreements that are deferred and amortized over the life of the respective franchise agreement. Deferred financing costs are the initial issuance costs and fees incurred in obtaining the Company's new credit agreement. The Company had no outstanding borrowings at the beginning of the facility or at of the date of the second amendment, therefore these costs and fees incurred for the original agreement and amendment were recorded as a deferred asset and the unamortized costs will be amortized over the length of the amended agreement. Film production costs include capitalizable direct costs, production overhead, interest and development costs and are stated at the lower of cost, less accumulated amortization, or fair value.</w:t>
      </w:r>
    </w:p>
    <w:p>
      <w:pPr>
        <w:spacing w:after="0" w:line="3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Entertainment Production Costs</w:t>
      </w:r>
    </w:p>
    <w:p>
      <w:pPr>
        <w:spacing w:after="0" w:line="225" w:lineRule="exact"/>
        <w:rPr>
          <w:sz w:val="20"/>
          <w:szCs w:val="20"/>
          <w:color w:val="auto"/>
        </w:rPr>
      </w:pPr>
    </w:p>
    <w:p>
      <w:pPr>
        <w:jc w:val="both"/>
        <w:ind w:left="20" w:firstLine="468"/>
        <w:spacing w:after="0" w:line="263" w:lineRule="auto"/>
        <w:rPr>
          <w:sz w:val="20"/>
          <w:szCs w:val="20"/>
          <w:color w:val="auto"/>
        </w:rPr>
      </w:pPr>
      <w:r>
        <w:rPr>
          <w:rFonts w:ascii="Times New Roman" w:cs="Times New Roman" w:eastAsia="Times New Roman" w:hAnsi="Times New Roman"/>
          <w:sz w:val="17"/>
          <w:szCs w:val="17"/>
          <w:color w:val="auto"/>
        </w:rPr>
        <w:t>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are amortized using the individual film-forecast-computation method which amortizes such costs in the same ratio that current period actual revenue bears to the estimated remaining unrecognized total revenues (ultimate revenue). Ultimate revenue includes estimates over a period not to exceed ten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Costs of entertainment productions are subject to recoverability assessments, whenever events or changes in circumstances indicate that the fair value of the film may be less than the unamortized cost, which for content predominantly monetized individually, involves comparing the estimated fair values with the unamortized cost. The fair value is determined based on a discounted cash flow analysis of the cash flows directly attributable to the entertainment assets. The discounted cash flow analysis includes cash flow estimates of ultimate revenue as well as a discount rate (a Level 3 fair value measurement). The discount rate used in the Company’s discounted cash flow model reflects the time value of money, expectations about variation in the amount or timing of the most likely cash flows, and the price market participants would seek for bearing the uncertainty inherent with the film asset. The amount by which the unamortized costs of entertainment assets exceed their estimated fair values are written off. As of February 1, 2025 and February 3, 2024, the Company had net capitalized entertainment production costs of $4.2 million and $4.7 million, respectively. The February 1, 2025 balance for entertainment production costs is comprised of unamortized, released assets and several in-development entertainment projects.</w:t>
      </w:r>
    </w:p>
    <w:p>
      <w:pPr>
        <w:spacing w:after="0" w:line="175"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The main purpose of the Company's production assets is to drive consumer engagement with its own intellectual property, similar to a marketing campaign. As such, the amortization of production assets and any related impairment charges are recorded as advertising expenses with the Selling, general, and administrative line within the Consolidated Statement of Operations and Comprehensive Income and includes this expense in the financial information of the Commercial reportable segment presented in Note 15 - Segment Information. In November 2023, the Company released the film Glisten and the Merry Mission and recorded $1.0 million in film cost amortization during fiscal 2023 based on the individual film's production asset carrying value and its current period actual revenue as a percentage of the ultimate revenue estimate. Additionally, as of February 1, 2025, the Company performed a recoverability assessment of the Glisten and the Merry Mission assets and determined there were indicators of impairment. A discounted cash flow analysis was used to estimate the fair value of the asset and determined the carry value of the production asset was greater than its fair value. As a result, the Company recorded $0.3 million in film asset amortization. The Company recorded a total of $1.1 million in film costs amortization in fiscal 2024 and a total of $2.4 million in fiscal 2023.</w:t>
      </w:r>
    </w:p>
    <w:p>
      <w:pPr>
        <w:spacing w:after="0" w:line="3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See Note 3 — Revenue for additional accounting information.</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Cost of Merchandise Sold</w:t>
      </w:r>
    </w:p>
    <w:p>
      <w:pPr>
        <w:spacing w:after="0" w:line="225" w:lineRule="exact"/>
        <w:rPr>
          <w:sz w:val="20"/>
          <w:szCs w:val="20"/>
          <w:color w:val="auto"/>
        </w:rPr>
      </w:pPr>
    </w:p>
    <w:p>
      <w:pPr>
        <w:jc w:val="both"/>
        <w:ind w:firstLine="425"/>
        <w:spacing w:after="0" w:line="265" w:lineRule="auto"/>
        <w:rPr>
          <w:sz w:val="20"/>
          <w:szCs w:val="20"/>
          <w:color w:val="auto"/>
        </w:rPr>
      </w:pPr>
      <w:r>
        <w:rPr>
          <w:rFonts w:ascii="Times New Roman" w:cs="Times New Roman" w:eastAsia="Times New Roman" w:hAnsi="Times New Roman"/>
          <w:sz w:val="17"/>
          <w:szCs w:val="17"/>
          <w:color w:val="auto"/>
        </w:rPr>
        <w:t>Cost of merchandise sold - retail includes the cost of the merchandise, including royalties paid to licensors of third-party branded merchandise; store occupancy cost, including store depreciation; cost of warehousing and distribution; packaging; stuffing; damages and shortages; and shipping and handling costs incurred in shipment to consumers.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consumers.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5" w:lineRule="exact"/>
        <w:rPr>
          <w:sz w:val="20"/>
          <w:szCs w:val="20"/>
          <w:color w:val="auto"/>
        </w:rPr>
      </w:pPr>
    </w:p>
    <w:p>
      <w:pPr>
        <w:jc w:val="both"/>
        <w:ind w:firstLine="425"/>
        <w:spacing w:after="0" w:line="265" w:lineRule="auto"/>
        <w:rPr>
          <w:sz w:val="20"/>
          <w:szCs w:val="20"/>
          <w:color w:val="auto"/>
        </w:rPr>
      </w:pPr>
      <w:r>
        <w:rPr>
          <w:rFonts w:ascii="Times New Roman" w:cs="Times New Roman" w:eastAsia="Times New Roman" w:hAnsi="Times New Roman"/>
          <w:sz w:val="17"/>
          <w:szCs w:val="17"/>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costs. It also includes depreciation and amortization of central office leasehold improvements, furniture, fixtures, and equipment. In addition, bad debt expenses and accounts receivable related charges are included. Further, it includes store preopening expenses which represent costs incurred prior to store openings, remodels and relocations including certain store set-up, labor and hiring costs, rental charges, payroll, government grants, marketing, travel and relocation costs and recoveries.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225" w:lineRule="exact"/>
        <w:rPr>
          <w:sz w:val="20"/>
          <w:szCs w:val="20"/>
          <w:color w:val="auto"/>
        </w:rPr>
      </w:pPr>
    </w:p>
    <w:p>
      <w:pPr>
        <w:jc w:val="both"/>
        <w:ind w:firstLine="425"/>
        <w:spacing w:after="0" w:line="293" w:lineRule="auto"/>
        <w:rPr>
          <w:sz w:val="20"/>
          <w:szCs w:val="20"/>
          <w:color w:val="auto"/>
        </w:rPr>
      </w:pPr>
      <w:r>
        <w:rPr>
          <w:rFonts w:ascii="Times New Roman" w:cs="Times New Roman" w:eastAsia="Times New Roman" w:hAnsi="Times New Roman"/>
          <w:sz w:val="17"/>
          <w:szCs w:val="17"/>
          <w:color w:val="auto"/>
        </w:rPr>
        <w:t>The costs of advertising and marketing programs are charged to operations in the first period the program takes place. Advertising expense was $21.0 million, $24.3 million and $19.6 million for fiscal years 2024, 2023 and 2022, respectively.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71374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5" w:lineRule="exact"/>
        <w:rPr>
          <w:sz w:val="20"/>
          <w:szCs w:val="20"/>
          <w:color w:val="auto"/>
        </w:rPr>
      </w:pPr>
    </w:p>
    <w:p>
      <w:pPr>
        <w:jc w:val="both"/>
        <w:ind w:left="80" w:firstLine="468"/>
        <w:spacing w:after="0" w:line="274" w:lineRule="auto"/>
        <w:rPr>
          <w:sz w:val="20"/>
          <w:szCs w:val="20"/>
          <w:color w:val="auto"/>
        </w:rPr>
      </w:pPr>
      <w:r>
        <w:rPr>
          <w:rFonts w:ascii="Times New Roman" w:cs="Times New Roman" w:eastAsia="Times New Roman" w:hAnsi="Times New Roman"/>
          <w:sz w:val="17"/>
          <w:szCs w:val="17"/>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63" w:lineRule="exact"/>
        <w:rPr>
          <w:sz w:val="20"/>
          <w:szCs w:val="20"/>
          <w:color w:val="auto"/>
        </w:rPr>
      </w:pPr>
    </w:p>
    <w:p>
      <w:pPr>
        <w:jc w:val="both"/>
        <w:ind w:left="80" w:firstLine="468"/>
        <w:spacing w:after="0" w:line="268" w:lineRule="auto"/>
        <w:rPr>
          <w:sz w:val="20"/>
          <w:szCs w:val="20"/>
          <w:color w:val="auto"/>
        </w:rPr>
      </w:pPr>
      <w:r>
        <w:rPr>
          <w:rFonts w:ascii="Times New Roman" w:cs="Times New Roman" w:eastAsia="Times New Roman" w:hAnsi="Times New Roman"/>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68"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The Company assesses its total liability for uncertain tax positions on a quarterly basis. The Company recognizes estimated interest and penalties related to unrecognized tax benefits in income tax expense. See Note 8—Income Taxes for further discussion.</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Income Per Share</w:t>
      </w:r>
    </w:p>
    <w:p>
      <w:pPr>
        <w:spacing w:after="0" w:line="225"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Basic income per share is determined by dividing net income allocated to common stockholders by the weighted average number of common shares outstanding during the period.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5" w:lineRule="exact"/>
        <w:rPr>
          <w:sz w:val="20"/>
          <w:szCs w:val="20"/>
          <w:color w:val="auto"/>
        </w:rPr>
      </w:pPr>
    </w:p>
    <w:p>
      <w:pPr>
        <w:jc w:val="both"/>
        <w:ind w:firstLine="425"/>
        <w:spacing w:after="0" w:line="268" w:lineRule="auto"/>
        <w:rPr>
          <w:sz w:val="20"/>
          <w:szCs w:val="20"/>
          <w:color w:val="auto"/>
        </w:rPr>
      </w:pPr>
      <w:r>
        <w:rPr>
          <w:rFonts w:ascii="Times New Roman" w:cs="Times New Roman" w:eastAsia="Times New Roman" w:hAnsi="Times New Roman"/>
          <w:sz w:val="17"/>
          <w:szCs w:val="17"/>
          <w:color w:val="auto"/>
        </w:rPr>
        <w:t>The Company has share-based compensation plans covering certain management groups and its Board of Directors. The Company accounts for share-based payments utilizing the fair value recognition provisions of ASC 718 Compensation - Stock Compensation. The Company recognizes compensation cost for graded-vested equity awards on a straight-line basis over the requisite service period for the entire award and forfeitures as they occur. See Note 12 — "Stock Incentive Plans" for additional information.</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Comprehensive income is comprised of net income and foreign currency translation adjustments.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225" w:lineRule="exact"/>
        <w:rPr>
          <w:sz w:val="20"/>
          <w:szCs w:val="20"/>
          <w:color w:val="auto"/>
        </w:rPr>
      </w:pPr>
    </w:p>
    <w:p>
      <w:pPr>
        <w:jc w:val="both"/>
        <w:ind w:firstLine="424"/>
        <w:spacing w:after="0" w:line="260" w:lineRule="auto"/>
        <w:rPr>
          <w:sz w:val="20"/>
          <w:szCs w:val="20"/>
          <w:color w:val="auto"/>
        </w:rPr>
      </w:pPr>
      <w:r>
        <w:rPr>
          <w:rFonts w:ascii="Times New Roman" w:cs="Times New Roman" w:eastAsia="Times New Roman" w:hAnsi="Times New Roman"/>
          <w:sz w:val="17"/>
          <w:szCs w:val="17"/>
          <w:color w:val="auto"/>
        </w:rPr>
        <w:t>The Company maintains a Deferred Compensation Plan for the benefit of certain management employees. The investment funds offered to participants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February 1, 2025, the current portions of the assets and related liabilities of less than $0.1 million are presented in prepaid expenses and other current assets and accrued expenses in the accompanying Consolidated Balance Sheets, and the non-current portions of the assets and the related liabilities of $0.9 million are presented in other assets, net and other liabilities in the accompanying Consolidated Balance Sheets. As of February 3, 2024, the current portions of the assets and related liabilities of less than $0.1 million are presented in prepaid expenses and other current assets and accrued expenses in the accompanying Consolidated Balance Sheets, and the non-current portions of the assets and the related liabilities of $0.7 million are presented in other assets, net and other liabilities in the accompanying Consolidated Balance Sheets.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5" w:lineRule="exact"/>
        <w:rPr>
          <w:sz w:val="20"/>
          <w:szCs w:val="20"/>
          <w:color w:val="auto"/>
        </w:rPr>
      </w:pPr>
    </w:p>
    <w:p>
      <w:pPr>
        <w:ind w:right="20" w:firstLine="468"/>
        <w:spacing w:after="0" w:line="293" w:lineRule="auto"/>
        <w:rPr>
          <w:sz w:val="20"/>
          <w:szCs w:val="20"/>
          <w:color w:val="auto"/>
        </w:rPr>
      </w:pPr>
      <w:r>
        <w:rPr>
          <w:rFonts w:ascii="Times New Roman" w:cs="Times New Roman" w:eastAsia="Times New Roman" w:hAnsi="Times New Roman"/>
          <w:sz w:val="17"/>
          <w:szCs w:val="17"/>
          <w:color w:val="auto"/>
        </w:rPr>
        <w:t>For purposes of financial reporting, management has determined that the fair value of financial instruments, including cash, cash equivalents and restricted cash, receivables, short term investments, accounts payable and accrued expenses, approximates book value at February 1, 2025 and February 3, 2024.</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5" w:lineRule="exact"/>
        <w:rPr>
          <w:sz w:val="20"/>
          <w:szCs w:val="20"/>
          <w:color w:val="auto"/>
        </w:rPr>
      </w:pPr>
    </w:p>
    <w:p>
      <w:pPr>
        <w:ind w:right="40" w:firstLine="468"/>
        <w:spacing w:after="0" w:line="262" w:lineRule="auto"/>
        <w:rPr>
          <w:sz w:val="20"/>
          <w:szCs w:val="20"/>
          <w:color w:val="auto"/>
        </w:rPr>
      </w:pPr>
      <w:r>
        <w:rPr>
          <w:rFonts w:ascii="Times New Roman" w:cs="Times New Roman" w:eastAsia="Times New Roman" w:hAnsi="Times New Roman"/>
          <w:sz w:val="17"/>
          <w:szCs w:val="17"/>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 for asset impairments, income tax valuation allowances on deferred income tax assets, and the determination of deferred revenue under the Company’s customer loyalty program.</w:t>
      </w:r>
    </w:p>
    <w:p>
      <w:pPr>
        <w:spacing w:after="0" w:line="3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Sales Tax Policy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revenues in the consolidated statement of operations are net of sales taxes.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225" w:lineRule="exact"/>
        <w:rPr>
          <w:sz w:val="20"/>
          <w:szCs w:val="20"/>
          <w:color w:val="auto"/>
        </w:rPr>
      </w:pPr>
    </w:p>
    <w:p>
      <w:pPr>
        <w:jc w:val="both"/>
        <w:ind w:firstLine="425"/>
        <w:spacing w:after="0" w:line="265" w:lineRule="auto"/>
        <w:rPr>
          <w:sz w:val="20"/>
          <w:szCs w:val="20"/>
          <w:color w:val="auto"/>
        </w:rPr>
      </w:pPr>
      <w:r>
        <w:rPr>
          <w:rFonts w:ascii="Times New Roman" w:cs="Times New Roman" w:eastAsia="Times New Roman" w:hAnsi="Times New Roman"/>
          <w:sz w:val="17"/>
          <w:szCs w:val="17"/>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loss of $0.2 million, $0.1 million and $0.6 million related to foreign currency in fiscal 2024, 2023 and 2022, respectively.</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 Adopted in the current year</w:t>
      </w:r>
    </w:p>
    <w:p>
      <w:pPr>
        <w:spacing w:after="0" w:line="210" w:lineRule="exact"/>
        <w:rPr>
          <w:sz w:val="20"/>
          <w:szCs w:val="20"/>
          <w:color w:val="auto"/>
        </w:rPr>
      </w:pPr>
    </w:p>
    <w:p>
      <w:pPr>
        <w:jc w:val="both"/>
        <w:ind w:firstLine="468"/>
        <w:spacing w:after="0" w:line="296" w:lineRule="auto"/>
        <w:rPr>
          <w:sz w:val="20"/>
          <w:szCs w:val="20"/>
          <w:color w:val="auto"/>
        </w:rPr>
      </w:pPr>
      <w:r>
        <w:rPr>
          <w:rFonts w:ascii="Times New Roman" w:cs="Times New Roman" w:eastAsia="Times New Roman" w:hAnsi="Times New Roman"/>
          <w:sz w:val="17"/>
          <w:szCs w:val="17"/>
          <w:color w:val="auto"/>
        </w:rPr>
        <w:t xml:space="preserve">At the end of fiscal 2024, the Company adopted ASU </w:t>
      </w:r>
      <w:r>
        <w:rPr>
          <w:rFonts w:ascii="Times New Roman" w:cs="Times New Roman" w:eastAsia="Times New Roman" w:hAnsi="Times New Roman"/>
          <w:sz w:val="17"/>
          <w:szCs w:val="17"/>
          <w:i w:val="1"/>
          <w:iCs w:val="1"/>
          <w:color w:val="auto"/>
        </w:rPr>
        <w:t>No. 2023-07,</w:t>
      </w:r>
      <w:r>
        <w:rPr>
          <w:rFonts w:ascii="Times New Roman" w:cs="Times New Roman" w:eastAsia="Times New Roman" w:hAnsi="Times New Roman"/>
          <w:sz w:val="17"/>
          <w:szCs w:val="17"/>
          <w:color w:val="auto"/>
        </w:rPr>
        <w:t xml:space="preserve"> "Segment Reporting (Topic 280): Improvements to Reportable Segment Disclosures." This ASU updates reportable segment disclosure requirements primarily through enhanced disclosures about significant segment expenses.</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 Pending adoption</w:t>
      </w:r>
    </w:p>
    <w:p>
      <w:pPr>
        <w:spacing w:after="0" w:line="223" w:lineRule="exact"/>
        <w:rPr>
          <w:sz w:val="20"/>
          <w:szCs w:val="20"/>
          <w:color w:val="auto"/>
        </w:rPr>
      </w:pPr>
    </w:p>
    <w:p>
      <w:pPr>
        <w:jc w:val="both"/>
        <w:ind w:firstLine="468"/>
        <w:spacing w:after="0" w:line="275" w:lineRule="auto"/>
        <w:rPr>
          <w:sz w:val="20"/>
          <w:szCs w:val="20"/>
          <w:color w:val="auto"/>
        </w:rPr>
      </w:pPr>
      <w:r>
        <w:rPr>
          <w:rFonts w:ascii="Times New Roman" w:cs="Times New Roman" w:eastAsia="Times New Roman" w:hAnsi="Times New Roman"/>
          <w:sz w:val="17"/>
          <w:szCs w:val="17"/>
          <w:color w:val="auto"/>
        </w:rPr>
        <w:t xml:space="preserve">In December 2023, the FASB issued ASU </w:t>
      </w:r>
      <w:r>
        <w:rPr>
          <w:rFonts w:ascii="Times New Roman" w:cs="Times New Roman" w:eastAsia="Times New Roman" w:hAnsi="Times New Roman"/>
          <w:sz w:val="17"/>
          <w:szCs w:val="17"/>
          <w:i w:val="1"/>
          <w:iCs w:val="1"/>
          <w:color w:val="auto"/>
        </w:rPr>
        <w:t>No. 2023-09</w:t>
      </w:r>
      <w:r>
        <w:rPr>
          <w:rFonts w:ascii="Times New Roman" w:cs="Times New Roman" w:eastAsia="Times New Roman" w:hAnsi="Times New Roman"/>
          <w:sz w:val="17"/>
          <w:szCs w:val="17"/>
          <w:color w:val="auto"/>
        </w:rPr>
        <w:t>, "Income Taxes (Topic 740): Improvements to Income Tax Disclosures." This ASU expands the requirements for income tax disclosures in order to provide greater transparency. The amendments are effective for fiscal years beginning after December 15, 2024 and the amendments should be applied prospectively. Management is currently evaluating this ASU to determine its impact on the Company's disclosures.</w:t>
      </w:r>
    </w:p>
    <w:p>
      <w:pPr>
        <w:spacing w:after="0" w:line="161" w:lineRule="exact"/>
        <w:rPr>
          <w:sz w:val="20"/>
          <w:szCs w:val="20"/>
          <w:color w:val="auto"/>
        </w:rPr>
      </w:pPr>
    </w:p>
    <w:p>
      <w:pPr>
        <w:jc w:val="both"/>
        <w:ind w:firstLine="468"/>
        <w:spacing w:after="0" w:line="265" w:lineRule="auto"/>
        <w:rPr>
          <w:sz w:val="20"/>
          <w:szCs w:val="20"/>
          <w:color w:val="auto"/>
        </w:rPr>
      </w:pPr>
      <w:r>
        <w:rPr>
          <w:rFonts w:ascii="Times New Roman" w:cs="Times New Roman" w:eastAsia="Times New Roman" w:hAnsi="Times New Roman"/>
          <w:sz w:val="17"/>
          <w:szCs w:val="17"/>
          <w:color w:val="auto"/>
        </w:rPr>
        <w:t xml:space="preserve">In November 2024, the FASB issued ASU </w:t>
      </w:r>
      <w:r>
        <w:rPr>
          <w:rFonts w:ascii="Times New Roman" w:cs="Times New Roman" w:eastAsia="Times New Roman" w:hAnsi="Times New Roman"/>
          <w:sz w:val="17"/>
          <w:szCs w:val="17"/>
          <w:i w:val="1"/>
          <w:iCs w:val="1"/>
          <w:color w:val="auto"/>
        </w:rPr>
        <w:t>No. 2024-03</w:t>
      </w:r>
      <w:r>
        <w:rPr>
          <w:rFonts w:ascii="Times New Roman" w:cs="Times New Roman" w:eastAsia="Times New Roman" w:hAnsi="Times New Roman"/>
          <w:sz w:val="17"/>
          <w:szCs w:val="17"/>
          <w:color w:val="auto"/>
        </w:rPr>
        <w:t>, "Income Statement—Reporting Comprehensive Income—Expense Disaggregation Disclosures (Subtopic 220-40): Disaggregation of Income Statement Expenses." The amendment requires a public business entity (PBE) to disclose, on an annual and interim basis, disaggregated information about certain income statement line items in a tabular format in the notes to the financial statements. The amendments are effective for fiscal years beginning after December 15, 2026, and interim periods within fiscal years beginning after December 15, 2027. Management is currently evaluating this ASU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5" w:lineRule="exact"/>
        <w:rPr>
          <w:sz w:val="20"/>
          <w:szCs w:val="20"/>
          <w:color w:val="auto"/>
        </w:rPr>
      </w:pPr>
    </w:p>
    <w:p>
      <w:pPr>
        <w:ind w:left="480" w:hanging="476"/>
        <w:spacing w:after="0"/>
        <w:tabs>
          <w:tab w:leader="none" w:pos="4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3" w:lineRule="exact"/>
        <w:rPr>
          <w:sz w:val="20"/>
          <w:szCs w:val="20"/>
          <w:color w:val="auto"/>
        </w:rPr>
      </w:pPr>
    </w:p>
    <w:p>
      <w:pPr>
        <w:jc w:val="both"/>
        <w:ind w:firstLine="425"/>
        <w:spacing w:after="0" w:line="265" w:lineRule="auto"/>
        <w:rPr>
          <w:sz w:val="20"/>
          <w:szCs w:val="20"/>
          <w:color w:val="auto"/>
        </w:rPr>
      </w:pPr>
      <w:r>
        <w:rPr>
          <w:rFonts w:ascii="Times New Roman" w:cs="Times New Roman" w:eastAsia="Times New Roman" w:hAnsi="Times New Roman"/>
          <w:sz w:val="17"/>
          <w:szCs w:val="17"/>
          <w:color w:val="auto"/>
        </w:rPr>
        <w:t>Nearly all of the Company’s revenue is derived from retail sales (including e-commerce sites) and is recognized when control of the merchandise is transferred to the customer. The Company accounts for revenue in accordance with Topic 606, Revenue from Contracts with Customers. The Company's disaggregated revenue is fully disclosed as net sales to external customers by reporting segment and by geographic area (See Note 15 — "Segment Information" for additional information). The Company's direct-to-consumer reporting segment represents nearly 93% of consolidated revenue. The majority of these sales transactions are single performance obligations that are recorded when control is transferred to the customer.</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is a description of principal activities from which the Company generates its revenue, by reportable segment.</w:t>
      </w:r>
    </w:p>
    <w:p>
      <w:pPr>
        <w:spacing w:after="0" w:line="221" w:lineRule="exact"/>
        <w:rPr>
          <w:sz w:val="20"/>
          <w:szCs w:val="20"/>
          <w:color w:val="auto"/>
        </w:rPr>
      </w:pPr>
    </w:p>
    <w:p>
      <w:pPr>
        <w:jc w:val="both"/>
        <w:ind w:firstLine="425"/>
        <w:spacing w:after="0" w:line="263" w:lineRule="auto"/>
        <w:rPr>
          <w:sz w:val="20"/>
          <w:szCs w:val="20"/>
          <w:color w:val="auto"/>
        </w:rPr>
      </w:pPr>
      <w:r>
        <w:rPr>
          <w:rFonts w:ascii="Times New Roman" w:cs="Times New Roman" w:eastAsia="Times New Roman" w:hAnsi="Times New Roman"/>
          <w:sz w:val="17"/>
          <w:szCs w:val="17"/>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value-add and other taxes paid by its customers.</w:t>
      </w:r>
    </w:p>
    <w:p>
      <w:pPr>
        <w:spacing w:after="0" w:line="172" w:lineRule="exact"/>
        <w:rPr>
          <w:sz w:val="20"/>
          <w:szCs w:val="20"/>
          <w:color w:val="auto"/>
        </w:rPr>
      </w:pPr>
    </w:p>
    <w:p>
      <w:pPr>
        <w:jc w:val="both"/>
        <w:ind w:firstLine="425"/>
        <w:spacing w:after="0" w:line="268"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issued have been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w:t>
      </w:r>
    </w:p>
    <w:p>
      <w:pPr>
        <w:spacing w:after="0" w:line="168" w:lineRule="exact"/>
        <w:rPr>
          <w:sz w:val="20"/>
          <w:szCs w:val="20"/>
          <w:color w:val="auto"/>
        </w:rPr>
      </w:pPr>
    </w:p>
    <w:p>
      <w:pPr>
        <w:jc w:val="both"/>
        <w:ind w:firstLine="425"/>
        <w:spacing w:after="0" w:line="260" w:lineRule="auto"/>
        <w:rPr>
          <w:sz w:val="20"/>
          <w:szCs w:val="20"/>
          <w:color w:val="auto"/>
        </w:rPr>
      </w:pPr>
      <w:r>
        <w:rPr>
          <w:rFonts w:ascii="Times New Roman" w:cs="Times New Roman" w:eastAsia="Times New Roman" w:hAnsi="Times New Roman"/>
          <w:sz w:val="17"/>
          <w:szCs w:val="17"/>
          <w:color w:val="auto"/>
        </w:rPr>
        <w:t>Subsequent to stores reopening following shutdowns caused by COVID, the Company has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For the fiscal years ended February 1, 2025, February 3, 2024, and January 28, 2023, net retail sales included gift card breakage revenue of $6.5 million, $6.3 million and $5.1 million, respectively. In regard to the consolidated balance sheet, contract liabilities for gift cards are classified as gift cards and customer deposits.</w:t>
      </w:r>
    </w:p>
    <w:p>
      <w:pPr>
        <w:spacing w:after="0" w:line="175" w:lineRule="exact"/>
        <w:rPr>
          <w:sz w:val="20"/>
          <w:szCs w:val="20"/>
          <w:color w:val="auto"/>
        </w:rPr>
      </w:pPr>
    </w:p>
    <w:p>
      <w:pPr>
        <w:jc w:val="both"/>
        <w:ind w:firstLine="425"/>
        <w:spacing w:after="0" w:line="260" w:lineRule="auto"/>
        <w:rPr>
          <w:sz w:val="20"/>
          <w:szCs w:val="20"/>
          <w:color w:val="auto"/>
        </w:rPr>
      </w:pPr>
      <w:r>
        <w:rPr>
          <w:rFonts w:ascii="Times New Roman" w:cs="Times New Roman" w:eastAsia="Times New Roman" w:hAnsi="Times New Roman"/>
          <w:sz w:val="17"/>
          <w:szCs w:val="17"/>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daily for those loyalty program members who have earned 100 or more points in the previous day in North America and 50 points or more in the U.K. with certifications historically expiring in four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75" w:lineRule="exact"/>
        <w:rPr>
          <w:sz w:val="20"/>
          <w:szCs w:val="20"/>
          <w:color w:val="auto"/>
        </w:rPr>
      </w:pPr>
    </w:p>
    <w:p>
      <w:pPr>
        <w:jc w:val="both"/>
        <w:ind w:firstLine="425"/>
        <w:spacing w:after="0" w:line="260" w:lineRule="auto"/>
        <w:rPr>
          <w:sz w:val="20"/>
          <w:szCs w:val="20"/>
          <w:color w:val="auto"/>
        </w:rPr>
      </w:pPr>
      <w:r>
        <w:rPr>
          <w:rFonts w:ascii="Times New Roman" w:cs="Times New Roman" w:eastAsia="Times New Roman" w:hAnsi="Times New Roman"/>
          <w:sz w:val="17"/>
          <w:szCs w:val="17"/>
          <w:color w:val="auto"/>
        </w:rPr>
        <w:t>The Company’s commercial segment includes transactions with other businesses and are mainly comprised of wholesale sales of merchandise, supplies and fixtures, licensing the Company’s intellectual properties for third-party use, and revenues generated from entertainment activities.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 Entertainment revenue is generated through the sale of entertainment assets directly to customers or through licensing agreements.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jc w:val="both"/>
        <w:ind w:left="40" w:firstLine="425"/>
        <w:spacing w:after="0" w:line="260" w:lineRule="auto"/>
        <w:rPr>
          <w:sz w:val="20"/>
          <w:szCs w:val="20"/>
          <w:color w:val="auto"/>
        </w:rPr>
      </w:pPr>
      <w:r>
        <w:rPr>
          <w:rFonts w:ascii="Times New Roman" w:cs="Times New Roman" w:eastAsia="Times New Roman" w:hAnsi="Times New Roman"/>
          <w:sz w:val="17"/>
          <w:szCs w:val="17"/>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79" w:lineRule="exact"/>
        <w:rPr>
          <w:sz w:val="20"/>
          <w:szCs w:val="20"/>
          <w:color w:val="auto"/>
        </w:rPr>
      </w:pPr>
    </w:p>
    <w:p>
      <w:pPr>
        <w:jc w:val="both"/>
        <w:ind w:left="40" w:firstLine="425"/>
        <w:spacing w:after="0" w:line="271" w:lineRule="auto"/>
        <w:rPr>
          <w:sz w:val="20"/>
          <w:szCs w:val="20"/>
          <w:color w:val="auto"/>
        </w:rPr>
      </w:pPr>
      <w:r>
        <w:rPr>
          <w:rFonts w:ascii="Times New Roman" w:cs="Times New Roman" w:eastAsia="Times New Roman" w:hAnsi="Times New Roman"/>
          <w:sz w:val="17"/>
          <w:szCs w:val="17"/>
          <w:color w:val="auto"/>
        </w:rPr>
        <w:t>The Company also incurs expenses directly related to the startup of new franchises, which may include finder’s fees, legal and travel costs, expenses related to its ongoing support of the franchisees, and employee compensation. Accordingly, the Company’s policy is to capitalize the finder’s fee, an incremental cost, and expense all other costs as incurred. The Company amortizes these capitalized costs into expense in the same pattern as the development fee as described previously.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5,872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7,056</w:t>
            </w:r>
          </w:p>
        </w:tc>
      </w:tr>
      <w:tr>
        <w:trPr>
          <w:trHeight w:val="208"/>
        </w:trPr>
        <w:tc>
          <w:tcPr>
            <w:tcW w:w="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Adjustment for expected credit losses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2,105</w:t>
            </w:r>
          </w:p>
        </w:tc>
      </w:tr>
      <w:tr>
        <w:trPr>
          <w:trHeight w:val="208"/>
        </w:trPr>
        <w:tc>
          <w:tcPr>
            <w:tcW w:w="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Uncollectible accounts written off, net of recoveries (1)</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(3,289)</w:t>
            </w:r>
          </w:p>
        </w:tc>
      </w:tr>
      <w:tr>
        <w:trPr>
          <w:trHeight w:val="20"/>
        </w:trPr>
        <w:tc>
          <w:tcPr>
            <w:tcW w:w="4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1"/>
        </w:trPr>
        <w:tc>
          <w:tcPr>
            <w:tcW w:w="4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7"/>
                <w:szCs w:val="17"/>
                <w:color w:val="auto"/>
              </w:rPr>
              <w:t>Balance, end of period</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6,935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5,872</w:t>
            </w: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 Other receivables allowance for doubtful accounts represent uncollectible accounts written off, recoveries and the impact of currency translation</w:t>
      </w:r>
    </w:p>
    <w:p>
      <w:pPr>
        <w:spacing w:after="0" w:line="245" w:lineRule="exact"/>
        <w:rPr>
          <w:sz w:val="20"/>
          <w:szCs w:val="20"/>
          <w:color w:val="auto"/>
        </w:rPr>
      </w:pPr>
    </w:p>
    <w:p>
      <w:pPr>
        <w:ind w:left="520" w:hanging="476"/>
        <w:spacing w:after="0"/>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table below presents information related to the lease costs for operating leases for the periods presented (in thousands).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5"/>
          </w:tcPr>
          <w:p>
            <w:pPr>
              <w:jc w:val="right"/>
              <w:ind w:right="1060"/>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2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January 28, 2024</w:t>
            </w:r>
          </w:p>
        </w:tc>
      </w:tr>
      <w:tr>
        <w:trPr>
          <w:trHeight w:val="201"/>
        </w:trPr>
        <w:tc>
          <w:tcPr>
            <w:tcW w:w="3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34,738</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costs (1)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10,782</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10,081</w:t>
            </w:r>
          </w:p>
        </w:tc>
      </w:tr>
      <w:tr>
        <w:trPr>
          <w:trHeight w:val="20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lease costs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w:t>
            </w:r>
          </w:p>
        </w:tc>
      </w:tr>
      <w:tr>
        <w:trPr>
          <w:trHeight w:val="20"/>
        </w:trPr>
        <w:tc>
          <w:tcPr>
            <w:tcW w:w="3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3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Operating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50,956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47,741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44,866</w:t>
            </w: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firstLine="472"/>
        <w:spacing w:after="0" w:line="293" w:lineRule="auto"/>
        <w:tabs>
          <w:tab w:leader="none" w:pos="75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information</w:t>
      </w:r>
    </w:p>
    <w:p>
      <w:pPr>
        <w:spacing w:after="0" w:line="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table below presents supplemental cash flow information related to leases for the periods presented (in thousands).</w:t>
      </w:r>
    </w:p>
    <w:p>
      <w:pPr>
        <w:spacing w:after="0" w:line="200"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January 28, 2023</w:t>
            </w:r>
          </w:p>
        </w:tc>
        <w:tc>
          <w:tcPr>
            <w:tcW w:w="80" w:type="dxa"/>
            <w:vAlign w:val="bottom"/>
          </w:tcPr>
          <w:p>
            <w:pPr>
              <w:spacing w:after="0"/>
              <w:rPr>
                <w:sz w:val="19"/>
                <w:szCs w:val="19"/>
                <w:color w:val="auto"/>
              </w:rPr>
            </w:pPr>
          </w:p>
        </w:tc>
      </w:tr>
      <w:tr>
        <w:trPr>
          <w:trHeight w:val="20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41,547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37,285</w:t>
            </w:r>
          </w:p>
        </w:tc>
      </w:tr>
    </w:tbl>
    <w:p>
      <w:pPr>
        <w:spacing w:after="0" w:line="190" w:lineRule="exact"/>
        <w:rPr>
          <w:sz w:val="20"/>
          <w:szCs w:val="20"/>
          <w:color w:val="auto"/>
        </w:rPr>
      </w:pPr>
    </w:p>
    <w:p>
      <w:pPr>
        <w:ind w:left="40" w:firstLine="468"/>
        <w:spacing w:after="0" w:line="293" w:lineRule="auto"/>
        <w:rPr>
          <w:sz w:val="20"/>
          <w:szCs w:val="20"/>
          <w:color w:val="auto"/>
        </w:rPr>
      </w:pPr>
      <w:r>
        <w:rPr>
          <w:rFonts w:ascii="Times New Roman" w:cs="Times New Roman" w:eastAsia="Times New Roman" w:hAnsi="Times New Roman"/>
          <w:sz w:val="17"/>
          <w:szCs w:val="17"/>
          <w:color w:val="auto"/>
        </w:rPr>
        <w:t>Operating cash flows for operating leases for fiscal 2024 increased from the operating cash flows for operating leases for the same periods in fiscal 2023 and fiscal 2022, primarily due to increased corporately-managed store count and overall increases in market rent.</w:t>
      </w:r>
    </w:p>
    <w:p>
      <w:pPr>
        <w:spacing w:after="0" w:line="147" w:lineRule="exact"/>
        <w:rPr>
          <w:sz w:val="20"/>
          <w:szCs w:val="20"/>
          <w:color w:val="auto"/>
        </w:rPr>
      </w:pPr>
    </w:p>
    <w:p>
      <w:pPr>
        <w:ind w:left="40" w:firstLine="468"/>
        <w:spacing w:after="0" w:line="293" w:lineRule="auto"/>
        <w:rPr>
          <w:sz w:val="20"/>
          <w:szCs w:val="20"/>
          <w:color w:val="auto"/>
        </w:rPr>
      </w:pPr>
      <w:r>
        <w:rPr>
          <w:rFonts w:ascii="Times New Roman" w:cs="Times New Roman" w:eastAsia="Times New Roman" w:hAnsi="Times New Roman"/>
          <w:sz w:val="17"/>
          <w:szCs w:val="17"/>
          <w:color w:val="auto"/>
        </w:rPr>
        <w:t>As of February 1, 2025, the weighted-average remaining operating lease term was 6.0 years and the weighted-average discount rate was 7.2% for operating leases recognized on the consolidated balance sheet.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85725</wp:posOffset>
            </wp:positionV>
            <wp:extent cx="71374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bookmarkStart w:id="57" w:name="page58"/>
    <w:bookmarkEnd w:id="57"/>
    <w:p>
      <w:pPr>
        <w:ind w:left="39"/>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ind w:left="39" w:firstLine="468"/>
        <w:spacing w:after="0" w:line="293" w:lineRule="auto"/>
        <w:rPr>
          <w:sz w:val="20"/>
          <w:szCs w:val="20"/>
          <w:color w:val="auto"/>
        </w:rPr>
      </w:pPr>
      <w:r>
        <w:rPr>
          <w:rFonts w:ascii="Times New Roman" w:cs="Times New Roman" w:eastAsia="Times New Roman" w:hAnsi="Times New Roman"/>
          <w:sz w:val="17"/>
          <w:szCs w:val="17"/>
          <w:color w:val="auto"/>
        </w:rPr>
        <w:t>The Company recorded immaterial impairment charges during fiscal 2024, fiscal 2023 and fiscal 2022 against its right-of-use operating lease assets in the Company's DTC segment.</w:t>
      </w:r>
    </w:p>
    <w:p>
      <w:pPr>
        <w:spacing w:after="0" w:line="145" w:lineRule="exact"/>
        <w:rPr>
          <w:sz w:val="20"/>
          <w:szCs w:val="20"/>
          <w:color w:val="auto"/>
        </w:rPr>
      </w:pPr>
    </w:p>
    <w:p>
      <w:pPr>
        <w:ind w:left="39"/>
        <w:spacing w:after="0"/>
        <w:rPr>
          <w:sz w:val="20"/>
          <w:szCs w:val="20"/>
          <w:color w:val="auto"/>
        </w:rPr>
      </w:pPr>
      <w:r>
        <w:rPr>
          <w:rFonts w:ascii="Times New Roman" w:cs="Times New Roman" w:eastAsia="Times New Roman" w:hAnsi="Times New Roman"/>
          <w:sz w:val="17"/>
          <w:szCs w:val="17"/>
          <w:i w:val="1"/>
          <w:iCs w:val="1"/>
          <w:color w:val="auto"/>
        </w:rPr>
        <w:t>Undiscounted cash flows</w:t>
      </w:r>
    </w:p>
    <w:p>
      <w:pPr>
        <w:spacing w:after="0" w:line="33" w:lineRule="exact"/>
        <w:rPr>
          <w:sz w:val="20"/>
          <w:szCs w:val="20"/>
          <w:color w:val="auto"/>
        </w:rPr>
      </w:pPr>
    </w:p>
    <w:p>
      <w:pPr>
        <w:ind w:left="39" w:firstLine="468"/>
        <w:spacing w:after="0" w:line="271" w:lineRule="auto"/>
        <w:rPr>
          <w:sz w:val="20"/>
          <w:szCs w:val="20"/>
          <w:color w:val="auto"/>
        </w:rPr>
      </w:pPr>
      <w:r>
        <w:rPr>
          <w:rFonts w:ascii="Times New Roman" w:cs="Times New Roman" w:eastAsia="Times New Roman" w:hAnsi="Times New Roman"/>
          <w:sz w:val="17"/>
          <w:szCs w:val="17"/>
          <w:color w:val="auto"/>
        </w:rPr>
        <w:t>The table below reconciles the undiscounted cash flows for each of the first five years and total remaining years to the operating lease liabilities recorded on the balance sheet (in thousands).</w:t>
      </w:r>
    </w:p>
    <w:p>
      <w:pPr>
        <w:spacing w:after="0" w:line="163" w:lineRule="exact"/>
        <w:rPr>
          <w:sz w:val="20"/>
          <w:szCs w:val="20"/>
          <w:color w:val="auto"/>
        </w:rPr>
      </w:pPr>
    </w:p>
    <w:tbl>
      <w:tblPr>
        <w:tblLayout w:type="fixed"/>
        <w:tblInd w:w="1159" w:type="dxa"/>
        <w:tblCellMar>
          <w:top w:w="0" w:type="dxa"/>
          <w:left w:w="0" w:type="dxa"/>
          <w:bottom w:w="0" w:type="dxa"/>
          <w:right w:w="0" w:type="dxa"/>
        </w:tblCellMar>
      </w:tblP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36,876</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21,904</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13,097</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8,481</w:t>
            </w:r>
          </w:p>
        </w:tc>
      </w:tr>
      <w:tr>
        <w:trPr>
          <w:trHeight w:val="20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6,871</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32,163</w:t>
            </w:r>
          </w:p>
        </w:tc>
        <w:tc>
          <w:tcPr>
            <w:tcW w:w="80" w:type="dxa"/>
            <w:vAlign w:val="bottom"/>
          </w:tcPr>
          <w:p>
            <w:pPr>
              <w:spacing w:after="0"/>
              <w:rPr>
                <w:sz w:val="18"/>
                <w:szCs w:val="18"/>
                <w:color w:val="auto"/>
              </w:rPr>
            </w:pPr>
          </w:p>
        </w:tc>
      </w:tr>
      <w:tr>
        <w:trPr>
          <w:trHeight w:val="201"/>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119,392</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Less: amount of lease payments representing interest</w:t>
            </w:r>
          </w:p>
        </w:tc>
        <w:tc>
          <w:tcPr>
            <w:tcW w:w="5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(22,396)</w:t>
            </w:r>
          </w:p>
        </w:tc>
      </w:tr>
      <w:tr>
        <w:trPr>
          <w:trHeight w:val="201"/>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5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96,996</w:t>
            </w:r>
          </w:p>
        </w:tc>
        <w:tc>
          <w:tcPr>
            <w:tcW w:w="80" w:type="dxa"/>
            <w:vAlign w:val="bottom"/>
            <w:shd w:val="clear" w:color="auto" w:fill="CCEEFF"/>
          </w:tcPr>
          <w:p>
            <w:pPr>
              <w:spacing w:after="0"/>
              <w:rPr>
                <w:sz w:val="17"/>
                <w:szCs w:val="17"/>
                <w:color w:val="auto"/>
              </w:rPr>
            </w:pP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obligations under leases</w:t>
            </w:r>
          </w:p>
        </w:tc>
        <w:tc>
          <w:tcPr>
            <w:tcW w:w="5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(26,841)</w:t>
            </w:r>
          </w:p>
        </w:tc>
      </w:tr>
      <w:tr>
        <w:trPr>
          <w:trHeight w:val="241"/>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Long-term lease obligations</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70,155</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90" w:lineRule="exact"/>
        <w:rPr>
          <w:sz w:val="20"/>
          <w:szCs w:val="20"/>
          <w:color w:val="auto"/>
        </w:rPr>
      </w:pPr>
    </w:p>
    <w:p>
      <w:pPr>
        <w:ind w:left="519"/>
        <w:spacing w:after="0"/>
        <w:rPr>
          <w:sz w:val="20"/>
          <w:szCs w:val="20"/>
          <w:color w:val="auto"/>
        </w:rPr>
      </w:pPr>
      <w:r>
        <w:rPr>
          <w:rFonts w:ascii="Times New Roman" w:cs="Times New Roman" w:eastAsia="Times New Roman" w:hAnsi="Times New Roman"/>
          <w:sz w:val="17"/>
          <w:szCs w:val="17"/>
          <w:color w:val="auto"/>
        </w:rPr>
        <w:t>As of February 1, 2025, the Company had additional executed leases that had not yet commenced with operating lease liabilities totaling $29.3 million.</w:t>
      </w:r>
    </w:p>
    <w:p>
      <w:pPr>
        <w:spacing w:after="0" w:line="31" w:lineRule="exact"/>
        <w:rPr>
          <w:sz w:val="20"/>
          <w:szCs w:val="20"/>
          <w:color w:val="auto"/>
        </w:rPr>
      </w:pPr>
    </w:p>
    <w:p>
      <w:pPr>
        <w:ind w:left="39"/>
        <w:spacing w:after="0"/>
        <w:rPr>
          <w:sz w:val="20"/>
          <w:szCs w:val="20"/>
          <w:color w:val="auto"/>
        </w:rPr>
      </w:pPr>
      <w:r>
        <w:rPr>
          <w:rFonts w:ascii="Times New Roman" w:cs="Times New Roman" w:eastAsia="Times New Roman" w:hAnsi="Times New Roman"/>
          <w:sz w:val="17"/>
          <w:szCs w:val="17"/>
          <w:color w:val="auto"/>
        </w:rPr>
        <w:t>These leases are expected to commence in the first quarter of fiscal 2025 with lease terms of five to twenty years.</w:t>
      </w:r>
    </w:p>
    <w:p>
      <w:pPr>
        <w:spacing w:after="0" w:line="200" w:lineRule="exact"/>
        <w:rPr>
          <w:sz w:val="20"/>
          <w:szCs w:val="20"/>
          <w:color w:val="auto"/>
        </w:rPr>
      </w:pPr>
    </w:p>
    <w:p>
      <w:pPr>
        <w:spacing w:after="0" w:line="235" w:lineRule="exact"/>
        <w:rPr>
          <w:sz w:val="20"/>
          <w:szCs w:val="20"/>
          <w:color w:val="auto"/>
        </w:rPr>
      </w:pPr>
    </w:p>
    <w:p>
      <w:pPr>
        <w:ind w:left="519" w:hanging="476"/>
        <w:spacing w:after="0"/>
        <w:tabs>
          <w:tab w:leader="none" w:pos="519"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222" w:lineRule="exact"/>
        <w:rPr>
          <w:rFonts w:ascii="Times New Roman" w:cs="Times New Roman" w:eastAsia="Times New Roman" w:hAnsi="Times New Roman"/>
          <w:sz w:val="17"/>
          <w:szCs w:val="17"/>
          <w:b w:val="1"/>
          <w:bCs w:val="1"/>
          <w:color w:val="auto"/>
        </w:rPr>
      </w:pPr>
    </w:p>
    <w:p>
      <w:pPr>
        <w:ind w:left="519"/>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219" w:lineRule="exact"/>
        <w:rPr>
          <w:sz w:val="20"/>
          <w:szCs w:val="20"/>
          <w:color w:val="auto"/>
        </w:rPr>
      </w:pPr>
    </w:p>
    <w:tbl>
      <w:tblPr>
        <w:tblLayout w:type="fixed"/>
        <w:tblInd w:w="1159"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5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5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2,213</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2,442</w:t>
            </w:r>
          </w:p>
        </w:tc>
      </w:tr>
      <w:tr>
        <w:trPr>
          <w:trHeight w:val="208"/>
        </w:trPr>
        <w:tc>
          <w:tcPr>
            <w:tcW w:w="5680" w:type="dxa"/>
            <w:vAlign w:val="bottom"/>
          </w:tcPr>
          <w:p>
            <w:pPr>
              <w:spacing w:after="0" w:line="209" w:lineRule="exact"/>
              <w:rPr>
                <w:sz w:val="20"/>
                <w:szCs w:val="20"/>
                <w:color w:val="auto"/>
              </w:rPr>
            </w:pPr>
            <w:r>
              <w:rPr>
                <w:rFonts w:ascii="Times New Roman" w:cs="Times New Roman" w:eastAsia="Times New Roman" w:hAnsi="Times New Roman"/>
                <w:sz w:val="15"/>
                <w:szCs w:val="15"/>
                <w:color w:val="auto"/>
              </w:rPr>
              <w:t xml:space="preserve">Prepaid taxes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1,512</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w:t>
            </w:r>
          </w:p>
        </w:tc>
      </w:tr>
      <w:tr>
        <w:trPr>
          <w:trHeight w:val="20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insurance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1,250</w:t>
            </w: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Prepaid royalties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736</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319</w:t>
            </w:r>
          </w:p>
        </w:tc>
      </w:tr>
      <w:tr>
        <w:trPr>
          <w:trHeight w:val="20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gift card fees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699</w:t>
            </w: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Other (3)</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6,467</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6,468</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12,669</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11,377</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left="239" w:hanging="239"/>
        <w:spacing w:after="0"/>
        <w:tabs>
          <w:tab w:leader="none" w:pos="23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Prepaid occupancy consists of prepaid expenses related to non-lease components.</w:t>
      </w:r>
    </w:p>
    <w:p>
      <w:pPr>
        <w:spacing w:after="0" w:line="31" w:lineRule="exact"/>
        <w:rPr>
          <w:rFonts w:ascii="Times New Roman" w:cs="Times New Roman" w:eastAsia="Times New Roman" w:hAnsi="Times New Roman"/>
          <w:sz w:val="17"/>
          <w:szCs w:val="17"/>
          <w:color w:val="auto"/>
        </w:rPr>
      </w:pPr>
    </w:p>
    <w:p>
      <w:pPr>
        <w:ind w:left="239" w:hanging="239"/>
        <w:spacing w:after="0"/>
        <w:tabs>
          <w:tab w:leader="none" w:pos="23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Prepaid taxes consist primarily of prepaid federal and state income tax.</w:t>
      </w:r>
    </w:p>
    <w:p>
      <w:pPr>
        <w:spacing w:after="0" w:line="12" w:lineRule="exact"/>
        <w:rPr>
          <w:rFonts w:ascii="Times New Roman" w:cs="Times New Roman" w:eastAsia="Times New Roman" w:hAnsi="Times New Roman"/>
          <w:sz w:val="17"/>
          <w:szCs w:val="17"/>
          <w:color w:val="auto"/>
        </w:rPr>
      </w:pPr>
    </w:p>
    <w:p>
      <w:pPr>
        <w:ind w:left="239" w:hanging="239"/>
        <w:spacing w:after="0"/>
        <w:tabs>
          <w:tab w:leader="none" w:pos="23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consists primarily of prepaid expenses related to IT maintenance contracts and software as a service.</w:t>
      </w:r>
    </w:p>
    <w:p>
      <w:pPr>
        <w:spacing w:after="0" w:line="202" w:lineRule="exact"/>
        <w:rPr>
          <w:sz w:val="20"/>
          <w:szCs w:val="20"/>
          <w:color w:val="auto"/>
        </w:rPr>
      </w:pPr>
    </w:p>
    <w:tbl>
      <w:tblPr>
        <w:tblLayout w:type="fixed"/>
        <w:tblInd w:w="519" w:type="dxa"/>
        <w:tblCellMar>
          <w:top w:w="0" w:type="dxa"/>
          <w:left w:w="0" w:type="dxa"/>
          <w:bottom w:w="0" w:type="dxa"/>
          <w:right w:w="0" w:type="dxa"/>
        </w:tblCellMar>
      </w:tblPr>
      <w:tr>
        <w:trPr>
          <w:trHeight w:val="227"/>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non-current assets consist of the following (in thousands):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6"/>
        </w:trPr>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6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64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Entertainment production asset</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4,734</w:t>
            </w:r>
          </w:p>
        </w:tc>
      </w:tr>
      <w:tr>
        <w:trPr>
          <w:trHeight w:val="208"/>
        </w:trPr>
        <w:tc>
          <w:tcPr>
            <w:tcW w:w="6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2,121</w:t>
            </w:r>
          </w:p>
        </w:tc>
      </w:tr>
      <w:tr>
        <w:trPr>
          <w:trHeight w:val="208"/>
        </w:trPr>
        <w:tc>
          <w:tcPr>
            <w:tcW w:w="64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1"/>
        </w:trPr>
        <w:tc>
          <w:tcPr>
            <w:tcW w:w="64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6,101</w:t>
            </w:r>
          </w:p>
        </w:tc>
        <w:tc>
          <w:tcPr>
            <w:tcW w:w="18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7,166</w:t>
            </w:r>
          </w:p>
        </w:tc>
      </w:tr>
      <w:tr>
        <w:trPr>
          <w:trHeight w:val="20"/>
        </w:trPr>
        <w:tc>
          <w:tcPr>
            <w:tcW w:w="6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5579" w:right="4640" w:hanging="5536"/>
        <w:spacing w:after="0" w:line="549" w:lineRule="auto"/>
        <w:tabs>
          <w:tab w:leader="none" w:pos="29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consists primarily of deferred financing costs related to the Company's credit facility.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-92710</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79"/>
          </w:cols>
          <w:pgMar w:left="281" w:top="12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5"/>
        </w:trPr>
        <w:tc>
          <w:tcPr>
            <w:tcW w:w="6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6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Property and equipment, net consist of the following (in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11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2,261</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2,261</w:t>
            </w:r>
          </w:p>
        </w:tc>
      </w:tr>
      <w:tr>
        <w:trPr>
          <w:trHeight w:val="208"/>
        </w:trPr>
        <w:tc>
          <w:tcPr>
            <w:tcW w:w="11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26,418</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26,129</w:t>
            </w:r>
          </w:p>
        </w:tc>
      </w:tr>
      <w:tr>
        <w:trPr>
          <w:trHeight w:val="208"/>
        </w:trPr>
        <w:tc>
          <w:tcPr>
            <w:tcW w:w="11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17,494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16,296</w:t>
            </w:r>
          </w:p>
        </w:tc>
      </w:tr>
      <w:tr>
        <w:trPr>
          <w:trHeight w:val="208"/>
        </w:trPr>
        <w:tc>
          <w:tcPr>
            <w:tcW w:w="11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104,809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101,126</w:t>
            </w:r>
          </w:p>
        </w:tc>
      </w:tr>
      <w:tr>
        <w:trPr>
          <w:trHeight w:val="208"/>
        </w:trPr>
        <w:tc>
          <w:tcPr>
            <w:tcW w:w="11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14,969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14,970</w:t>
            </w:r>
          </w:p>
        </w:tc>
      </w:tr>
      <w:tr>
        <w:trPr>
          <w:trHeight w:val="208"/>
        </w:trPr>
        <w:tc>
          <w:tcPr>
            <w:tcW w:w="11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Computer hardware</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28,709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25,920</w:t>
            </w:r>
          </w:p>
        </w:tc>
      </w:tr>
      <w:tr>
        <w:trPr>
          <w:trHeight w:val="208"/>
        </w:trPr>
        <w:tc>
          <w:tcPr>
            <w:tcW w:w="11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33,796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31,132</w:t>
            </w:r>
          </w:p>
        </w:tc>
      </w:tr>
      <w:tr>
        <w:trPr>
          <w:trHeight w:val="208"/>
        </w:trPr>
        <w:tc>
          <w:tcPr>
            <w:tcW w:w="11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10,363</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7,821</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11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238,819</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225,655</w:t>
            </w:r>
          </w:p>
        </w:tc>
      </w:tr>
      <w:tr>
        <w:trPr>
          <w:trHeight w:val="208"/>
        </w:trPr>
        <w:tc>
          <w:tcPr>
            <w:tcW w:w="11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179,058</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170,393</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1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net</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59,761</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55,262</w:t>
            </w:r>
          </w:p>
        </w:tc>
      </w:tr>
      <w:tr>
        <w:trPr>
          <w:trHeight w:val="20"/>
        </w:trPr>
        <w:tc>
          <w:tcPr>
            <w:tcW w:w="11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fiscal 2024 and 2023, depreciation expense was $14.8 million and $13.7 million, respectively.</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recorded immaterial impairment charges during fiscal 2024 and 2023 for long-lived assets in the Company's DTC segment.</w:t>
      </w:r>
    </w:p>
    <w:p>
      <w:pPr>
        <w:sectPr>
          <w:pgSz w:w="11900" w:h="16838" w:orient="portrait"/>
          <w:cols w:equalWidth="0" w:num="1">
            <w:col w:w="10820"/>
          </w:cols>
          <w:pgMar w:left="320" w:top="113" w:right="7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420" w:hanging="416"/>
        <w:spacing w:after="0"/>
        <w:tabs>
          <w:tab w:leader="none" w:pos="4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w:t>
      </w:r>
    </w:p>
    <w:p>
      <w:pPr>
        <w:spacing w:after="0" w:line="223"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7"/>
          <w:szCs w:val="17"/>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Accrued wages, bonuses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-111760</wp:posOffset>
            </wp:positionV>
            <wp:extent cx="5708015" cy="132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8015" cy="13208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Sales tax payable</w:t>
      </w:r>
    </w:p>
    <w:p>
      <w:pPr>
        <w:spacing w:after="0" w:line="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Accrued rent and related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-123190</wp:posOffset>
            </wp:positionV>
            <wp:extent cx="5708015" cy="132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8015" cy="132080"/>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7"/>
          <w:szCs w:val="17"/>
          <w:color w:val="auto"/>
        </w:rPr>
        <w:t>Current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16510</wp:posOffset>
            </wp:positionV>
            <wp:extent cx="5708015" cy="156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8015" cy="156845"/>
                    </a:xfrm>
                    <a:prstGeom prst="rect">
                      <a:avLst/>
                    </a:prstGeom>
                    <a:noFill/>
                  </pic:spPr>
                </pic:pic>
              </a:graphicData>
            </a:graphic>
          </wp:anchor>
        </w:drawing>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9"/>
                <w:szCs w:val="19"/>
                <w:color w:val="auto"/>
              </w:rPr>
            </w:pPr>
          </w:p>
        </w:tc>
      </w:tr>
      <w:tr>
        <w:trPr>
          <w:trHeight w:val="183"/>
        </w:trPr>
        <w:tc>
          <w:tcPr>
            <w:tcW w:w="220" w:type="dxa"/>
            <w:vAlign w:val="bottom"/>
          </w:tcPr>
          <w:p>
            <w:pPr>
              <w:jc w:val="right"/>
              <w:ind w:right="5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13,268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jc w:val="right"/>
              <w:ind w:right="3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14,549</w:t>
            </w:r>
          </w:p>
        </w:tc>
        <w:tc>
          <w:tcPr>
            <w:tcW w:w="20" w:type="dxa"/>
            <w:vAlign w:val="bottom"/>
          </w:tcPr>
          <w:p>
            <w:pPr>
              <w:spacing w:after="0"/>
              <w:rPr>
                <w:sz w:val="15"/>
                <w:szCs w:val="15"/>
                <w:color w:val="auto"/>
              </w:rPr>
            </w:pPr>
          </w:p>
        </w:tc>
      </w:tr>
      <w:tr>
        <w:trPr>
          <w:trHeight w:val="208"/>
        </w:trPr>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2,447</w:t>
            </w:r>
          </w:p>
        </w:tc>
      </w:tr>
      <w:tr>
        <w:trPr>
          <w:trHeight w:val="208"/>
        </w:trPr>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1,356</w:t>
            </w:r>
          </w:p>
        </w:tc>
      </w:tr>
      <w:tr>
        <w:trPr>
          <w:trHeight w:val="227"/>
        </w:trPr>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1,602</w:t>
            </w:r>
          </w:p>
        </w:tc>
      </w:tr>
      <w:tr>
        <w:trPr>
          <w:trHeight w:val="201"/>
        </w:trPr>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16,209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19,954</w:t>
            </w:r>
          </w:p>
        </w:tc>
        <w:tc>
          <w:tcPr>
            <w:tcW w:w="20" w:type="dxa"/>
            <w:vAlign w:val="bottom"/>
          </w:tcPr>
          <w:p>
            <w:pPr>
              <w:spacing w:after="0"/>
              <w:rPr>
                <w:sz w:val="17"/>
                <w:szCs w:val="17"/>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2">
            <w:col w:w="6080" w:space="720"/>
            <w:col w:w="4020"/>
          </w:cols>
          <w:pgMar w:left="320" w:top="113"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( 1) Accrued rent and related expenses consist of accrued costs associated with non-lease components.</w:t>
      </w:r>
    </w:p>
    <w:p>
      <w:pPr>
        <w:spacing w:after="0" w:line="221" w:lineRule="exact"/>
        <w:rPr>
          <w:sz w:val="20"/>
          <w:szCs w:val="20"/>
          <w:color w:val="auto"/>
        </w:rPr>
      </w:pPr>
    </w:p>
    <w:p>
      <w:pPr>
        <w:ind w:firstLine="468"/>
        <w:spacing w:after="0" w:line="293" w:lineRule="auto"/>
        <w:rPr>
          <w:sz w:val="20"/>
          <w:szCs w:val="20"/>
          <w:color w:val="auto"/>
        </w:rPr>
      </w:pPr>
      <w:r>
        <w:rPr>
          <w:rFonts w:ascii="Times New Roman" w:cs="Times New Roman" w:eastAsia="Times New Roman" w:hAnsi="Times New Roman"/>
          <w:sz w:val="17"/>
          <w:szCs w:val="17"/>
          <w:color w:val="auto"/>
        </w:rPr>
        <w:t>For fiscal 2024 and 2023, defined contribution expense was $1.4 million and $1.5 million, respectively, included within Accrued wages, bonuses and related expenses.</w:t>
      </w:r>
    </w:p>
    <w:p>
      <w:pPr>
        <w:spacing w:after="0" w:line="14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820"/>
          </w:cols>
          <w:pgMar w:left="320" w:top="113" w:right="759" w:bottom="1440" w:gutter="0" w:footer="0" w:header="0"/>
          <w:type w:val="continuous"/>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9" w:lineRule="exact"/>
        <w:rPr>
          <w:sz w:val="20"/>
          <w:szCs w:val="20"/>
          <w:color w:val="auto"/>
        </w:rPr>
      </w:pPr>
    </w:p>
    <w:p>
      <w:pPr>
        <w:ind w:left="460" w:hanging="416"/>
        <w:spacing w:after="0"/>
        <w:tabs>
          <w:tab w:leader="none" w:pos="46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23" w:lineRule="exact"/>
        <w:rPr>
          <w:sz w:val="20"/>
          <w:szCs w:val="20"/>
          <w:color w:val="auto"/>
        </w:rPr>
      </w:pPr>
    </w:p>
    <w:p>
      <w:pPr>
        <w:ind w:left="40" w:firstLine="468"/>
        <w:spacing w:after="0" w:line="293" w:lineRule="auto"/>
        <w:rPr>
          <w:sz w:val="20"/>
          <w:szCs w:val="20"/>
          <w:color w:val="auto"/>
        </w:rPr>
      </w:pPr>
      <w:r>
        <w:rPr>
          <w:rFonts w:ascii="Times New Roman" w:cs="Times New Roman" w:eastAsia="Times New Roman" w:hAnsi="Times New Roman"/>
          <w:sz w:val="17"/>
          <w:szCs w:val="17"/>
          <w:color w:val="auto"/>
        </w:rPr>
        <w:t>The Company’s income before income taxes from domestic and foreign operations (which include the U.K., Canada, China, and Ireland), is as follows (in thousands):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5"/>
          </w:tcPr>
          <w:p>
            <w:pPr>
              <w:jc w:val="right"/>
              <w:ind w:right="1040"/>
              <w:spacing w:after="0"/>
              <w:rPr>
                <w:sz w:val="20"/>
                <w:szCs w:val="20"/>
                <w:color w:val="auto"/>
              </w:rPr>
            </w:pPr>
            <w:r>
              <w:rPr>
                <w:rFonts w:ascii="Times New Roman" w:cs="Times New Roman" w:eastAsia="Times New Roman" w:hAnsi="Times New Roman"/>
                <w:sz w:val="17"/>
                <w:szCs w:val="17"/>
                <w:b w:val="1"/>
                <w:bCs w:val="1"/>
                <w:color w:val="auto"/>
              </w:rPr>
              <w:t>Fiscal year ended</w:t>
            </w:r>
          </w:p>
        </w:tc>
      </w:tr>
      <w:tr>
        <w:trPr>
          <w:trHeight w:val="181"/>
        </w:trPr>
        <w:tc>
          <w:tcPr>
            <w:tcW w:w="6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13"/>
              <w:spacing w:after="0" w:line="181"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80" w:type="dxa"/>
            <w:vAlign w:val="bottom"/>
          </w:tcPr>
          <w:p>
            <w:pPr>
              <w:spacing w:after="0"/>
              <w:rPr>
                <w:sz w:val="15"/>
                <w:szCs w:val="15"/>
                <w:color w:val="auto"/>
              </w:rPr>
            </w:pPr>
          </w:p>
        </w:tc>
      </w:tr>
      <w:tr>
        <w:trPr>
          <w:trHeight w:val="229"/>
        </w:trPr>
        <w:tc>
          <w:tcPr>
            <w:tcW w:w="6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640" w:type="dxa"/>
            <w:vAlign w:val="bottom"/>
          </w:tcPr>
          <w:p>
            <w:pPr>
              <w:spacing w:after="0"/>
              <w:rPr>
                <w:sz w:val="17"/>
                <w:szCs w:val="17"/>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Domestic</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63,872</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61,110</w:t>
            </w:r>
          </w:p>
        </w:tc>
      </w:tr>
      <w:tr>
        <w:trPr>
          <w:trHeight w:val="208"/>
        </w:trPr>
        <w:tc>
          <w:tcPr>
            <w:tcW w:w="6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3,269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5,219</w:t>
            </w:r>
          </w:p>
        </w:tc>
      </w:tr>
      <w:tr>
        <w:trPr>
          <w:trHeight w:val="20"/>
        </w:trPr>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640" w:type="dxa"/>
            <w:vAlign w:val="bottom"/>
          </w:tcPr>
          <w:p>
            <w:pPr>
              <w:spacing w:after="0"/>
              <w:rPr>
                <w:sz w:val="19"/>
                <w:szCs w:val="19"/>
                <w:color w:val="auto"/>
              </w:rPr>
            </w:pPr>
          </w:p>
        </w:tc>
        <w:tc>
          <w:tcPr>
            <w:tcW w:w="5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income before income taxes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67,141</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66,329</w:t>
            </w:r>
          </w:p>
        </w:tc>
      </w:tr>
      <w:tr>
        <w:trPr>
          <w:trHeight w:val="20"/>
        </w:trPr>
        <w:tc>
          <w:tcPr>
            <w:tcW w:w="640" w:type="dxa"/>
            <w:vAlign w:val="bottom"/>
          </w:tcPr>
          <w:p>
            <w:pPr>
              <w:spacing w:after="0" w:line="20" w:lineRule="exact"/>
              <w:rPr>
                <w:sz w:val="1"/>
                <w:szCs w:val="1"/>
                <w:color w:val="auto"/>
              </w:rPr>
            </w:pPr>
          </w:p>
        </w:tc>
        <w:tc>
          <w:tcPr>
            <w:tcW w:w="5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95"/>
        </w:trPr>
        <w:tc>
          <w:tcPr>
            <w:tcW w:w="6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the income tax expense are as follows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6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jc w:val="right"/>
              <w:ind w:right="1060"/>
              <w:spacing w:after="0"/>
              <w:rPr>
                <w:sz w:val="20"/>
                <w:szCs w:val="20"/>
                <w:color w:val="auto"/>
              </w:rPr>
            </w:pPr>
            <w:r>
              <w:rPr>
                <w:rFonts w:ascii="Times New Roman" w:cs="Times New Roman" w:eastAsia="Times New Roman" w:hAnsi="Times New Roman"/>
                <w:sz w:val="17"/>
                <w:szCs w:val="17"/>
                <w:b w:val="1"/>
                <w:bCs w:val="1"/>
                <w:color w:val="auto"/>
              </w:rPr>
              <w:t>Fiscal year ended</w:t>
            </w:r>
          </w:p>
        </w:tc>
      </w:tr>
      <w:tr>
        <w:trPr>
          <w:trHeight w:val="181"/>
        </w:trPr>
        <w:tc>
          <w:tcPr>
            <w:tcW w:w="6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400"/>
              <w:spacing w:after="0" w:line="181"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13"/>
              <w:spacing w:after="0" w:line="181"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80" w:type="dxa"/>
            <w:vAlign w:val="bottom"/>
          </w:tcPr>
          <w:p>
            <w:pPr>
              <w:spacing w:after="0"/>
              <w:rPr>
                <w:sz w:val="15"/>
                <w:szCs w:val="15"/>
                <w:color w:val="auto"/>
              </w:rPr>
            </w:pPr>
          </w:p>
        </w:tc>
      </w:tr>
      <w:tr>
        <w:trPr>
          <w:trHeight w:val="229"/>
        </w:trPr>
        <w:tc>
          <w:tcPr>
            <w:tcW w:w="6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6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64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64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 Federal</w:t>
            </w:r>
          </w:p>
        </w:tc>
        <w:tc>
          <w:tcPr>
            <w:tcW w:w="200" w:type="dxa"/>
            <w:vAlign w:val="bottom"/>
          </w:tcPr>
          <w:p>
            <w:pPr>
              <w:jc w:val="right"/>
              <w:ind w:right="103"/>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w:t>
            </w:r>
          </w:p>
        </w:tc>
        <w:tc>
          <w:tcPr>
            <w:tcW w:w="18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12,080</w:t>
            </w:r>
          </w:p>
        </w:tc>
      </w:tr>
      <w:tr>
        <w:trPr>
          <w:trHeight w:val="208"/>
        </w:trPr>
        <w:tc>
          <w:tcPr>
            <w:tcW w:w="64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State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2,834</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3,205</w:t>
            </w:r>
          </w:p>
        </w:tc>
      </w:tr>
      <w:tr>
        <w:trPr>
          <w:trHeight w:val="208"/>
        </w:trPr>
        <w:tc>
          <w:tcPr>
            <w:tcW w:w="64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145</w:t>
            </w:r>
          </w:p>
        </w:tc>
      </w:tr>
      <w:tr>
        <w:trPr>
          <w:trHeight w:val="208"/>
        </w:trPr>
        <w:tc>
          <w:tcPr>
            <w:tcW w:w="64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64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 Federal</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(537)</w:t>
            </w:r>
          </w:p>
        </w:tc>
      </w:tr>
      <w:tr>
        <w:trPr>
          <w:trHeight w:val="208"/>
        </w:trPr>
        <w:tc>
          <w:tcPr>
            <w:tcW w:w="64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State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(212)</w:t>
            </w:r>
          </w:p>
        </w:tc>
      </w:tr>
      <w:tr>
        <w:trPr>
          <w:trHeight w:val="208"/>
        </w:trPr>
        <w:tc>
          <w:tcPr>
            <w:tcW w:w="64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(1,157)</w:t>
            </w:r>
          </w:p>
        </w:tc>
      </w:tr>
      <w:tr>
        <w:trPr>
          <w:trHeight w:val="20"/>
        </w:trPr>
        <w:tc>
          <w:tcPr>
            <w:tcW w:w="640" w:type="dxa"/>
            <w:vAlign w:val="bottom"/>
          </w:tcPr>
          <w:p>
            <w:pPr>
              <w:spacing w:after="0" w:line="20" w:lineRule="exact"/>
              <w:rPr>
                <w:sz w:val="1"/>
                <w:szCs w:val="1"/>
                <w:color w:val="auto"/>
              </w:rPr>
            </w:pPr>
          </w:p>
        </w:tc>
        <w:tc>
          <w:tcPr>
            <w:tcW w:w="57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640" w:type="dxa"/>
            <w:vAlign w:val="bottom"/>
          </w:tcPr>
          <w:p>
            <w:pPr>
              <w:spacing w:after="0"/>
              <w:rPr>
                <w:sz w:val="19"/>
                <w:szCs w:val="19"/>
                <w:color w:val="auto"/>
              </w:rPr>
            </w:pPr>
          </w:p>
        </w:tc>
        <w:tc>
          <w:tcPr>
            <w:tcW w:w="572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15,356</w:t>
            </w:r>
          </w:p>
        </w:tc>
        <w:tc>
          <w:tcPr>
            <w:tcW w:w="1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13,524</w:t>
            </w:r>
          </w:p>
        </w:tc>
      </w:tr>
      <w:tr>
        <w:trPr>
          <w:trHeight w:val="20"/>
        </w:trPr>
        <w:tc>
          <w:tcPr>
            <w:tcW w:w="640" w:type="dxa"/>
            <w:vAlign w:val="bottom"/>
          </w:tcPr>
          <w:p>
            <w:pPr>
              <w:spacing w:after="0" w:line="20" w:lineRule="exact"/>
              <w:rPr>
                <w:sz w:val="1"/>
                <w:szCs w:val="1"/>
                <w:color w:val="auto"/>
              </w:rPr>
            </w:pPr>
          </w:p>
        </w:tc>
        <w:tc>
          <w:tcPr>
            <w:tcW w:w="57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provision for income taxes was $15.4 million in fiscal 2024 compared to $13.5 million in fiscal 2023. The 2024 effective rate of 22.9% differed from the statutory rate of 21% primarily due to state income tax expense partially offset by the tax benefit of the foreign-derived intangible income (FDII) deduction. The 2023 effective rate of 20.4% differed from the statutory rate of 21% primarily due to the reversal of the valuation allowance in the U.K. partially offset by state income tax expense.</w:t>
      </w:r>
    </w:p>
    <w:p>
      <w:pPr>
        <w:spacing w:after="0" w:line="168" w:lineRule="exact"/>
        <w:rPr>
          <w:sz w:val="20"/>
          <w:szCs w:val="20"/>
          <w:color w:val="auto"/>
        </w:rPr>
      </w:pPr>
    </w:p>
    <w:p>
      <w:pPr>
        <w:ind w:left="20" w:right="20" w:firstLine="468"/>
        <w:spacing w:after="0" w:line="293" w:lineRule="auto"/>
        <w:rPr>
          <w:sz w:val="20"/>
          <w:szCs w:val="20"/>
          <w:color w:val="auto"/>
        </w:rPr>
      </w:pPr>
      <w:r>
        <w:rPr>
          <w:rFonts w:ascii="Times New Roman" w:cs="Times New Roman" w:eastAsia="Times New Roman" w:hAnsi="Times New Roman"/>
          <w:sz w:val="17"/>
          <w:szCs w:val="17"/>
          <w:color w:val="auto"/>
        </w:rPr>
        <w:t>The Company periodically assesses whether it is more likely than not that it will generate sufficient taxable income to realize its deferred income tax assets based on all available positive and negative evidence. Changes in the valuation allowance in fiscal 2024 are primarily related to functional currency fluctuations.</w:t>
      </w:r>
    </w:p>
    <w:p>
      <w:pPr>
        <w:spacing w:after="0" w:line="147" w:lineRule="exact"/>
        <w:rPr>
          <w:sz w:val="20"/>
          <w:szCs w:val="20"/>
          <w:color w:val="auto"/>
        </w:rPr>
      </w:pPr>
    </w:p>
    <w:p>
      <w:pPr>
        <w:ind w:left="20" w:right="580" w:firstLine="468"/>
        <w:spacing w:after="0" w:line="293" w:lineRule="auto"/>
        <w:rPr>
          <w:sz w:val="20"/>
          <w:szCs w:val="20"/>
          <w:color w:val="auto"/>
        </w:rPr>
      </w:pPr>
      <w:r>
        <w:rPr>
          <w:rFonts w:ascii="Times New Roman" w:cs="Times New Roman" w:eastAsia="Times New Roman" w:hAnsi="Times New Roman"/>
          <w:sz w:val="17"/>
          <w:szCs w:val="17"/>
          <w:color w:val="auto"/>
        </w:rPr>
        <w:t>Differences between the provision for income taxes at the U.S. federal statutory income tax rate and the provision in the consolidated statements of operations are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February 3,</w:t>
            </w:r>
          </w:p>
        </w:tc>
        <w:tc>
          <w:tcPr>
            <w:tcW w:w="1120" w:type="dxa"/>
            <w:vAlign w:val="bottom"/>
          </w:tcPr>
          <w:p>
            <w:pPr>
              <w:spacing w:after="0"/>
              <w:rPr>
                <w:sz w:val="18"/>
                <w:szCs w:val="18"/>
                <w:color w:val="auto"/>
              </w:rPr>
            </w:pPr>
          </w:p>
        </w:tc>
      </w:tr>
      <w:tr>
        <w:trPr>
          <w:trHeight w:val="229"/>
        </w:trPr>
        <w:tc>
          <w:tcPr>
            <w:tcW w:w="1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1"/>
        </w:trPr>
        <w:tc>
          <w:tcPr>
            <w:tcW w:w="11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8"/>
        </w:trPr>
        <w:tc>
          <w:tcPr>
            <w:tcW w:w="11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67,141</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66,329</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U.S. federal statutory income tax rate</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expense at statutory federal rate</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14,100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13,929</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State and local income taxes, net of federal tax benefit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2,433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2,354</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Foreign-derived intangible income benefit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(534)</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Non deductible executive compensation</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572</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1,038</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lower foreign taxes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639</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Adjustment for unrecognized tax positions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(5,075)</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Other items, net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1,170</w:t>
            </w:r>
          </w:p>
        </w:tc>
        <w:tc>
          <w:tcPr>
            <w:tcW w:w="11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1"/>
        </w:trPr>
        <w:tc>
          <w:tcPr>
            <w:tcW w:w="11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15,356</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13,524</w:t>
            </w:r>
          </w:p>
        </w:tc>
        <w:tc>
          <w:tcPr>
            <w:tcW w:w="11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6"/>
        </w:trPr>
        <w:tc>
          <w:tcPr>
            <w:tcW w:w="11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20.4%</w:t>
            </w:r>
          </w:p>
        </w:tc>
        <w:tc>
          <w:tcPr>
            <w:tcW w:w="1120" w:type="dxa"/>
            <w:vAlign w:val="bottom"/>
          </w:tcPr>
          <w:p>
            <w:pPr>
              <w:spacing w:after="0"/>
              <w:rPr>
                <w:sz w:val="17"/>
                <w:szCs w:val="17"/>
                <w:color w:val="auto"/>
              </w:rPr>
            </w:pPr>
          </w:p>
        </w:tc>
      </w:tr>
      <w:tr>
        <w:trPr>
          <w:trHeight w:val="606"/>
        </w:trPr>
        <w:tc>
          <w:tcPr>
            <w:tcW w:w="1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6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80"/>
          </w:cols>
          <w:pgMar w:left="28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Temporary differences that gave rise to deferred tax assets and liabilities are as follows (in thousands):</w:t>
      </w: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5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23,866</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21,091</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revenue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2,973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3,173</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Intangible assets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2,747</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2,954</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compensation</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1,624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2,249</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compensation</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1,034</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822</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918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1,063</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Receivables write-offs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849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806</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849</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674</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871</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329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334</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Carryforward of tax credits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222</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222</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163</w:t>
            </w:r>
          </w:p>
        </w:tc>
      </w:tr>
      <w:tr>
        <w:trPr>
          <w:trHeight w:val="20"/>
        </w:trPr>
        <w:tc>
          <w:tcPr>
            <w:tcW w:w="5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56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36,110</w:t>
            </w:r>
          </w:p>
        </w:tc>
        <w:tc>
          <w:tcPr>
            <w:tcW w:w="20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34,597</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(1,533)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(1,546)</w:t>
            </w:r>
          </w:p>
        </w:tc>
      </w:tr>
      <w:tr>
        <w:trPr>
          <w:trHeight w:val="20"/>
        </w:trPr>
        <w:tc>
          <w:tcPr>
            <w:tcW w:w="5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56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34,577</w:t>
            </w:r>
          </w:p>
        </w:tc>
        <w:tc>
          <w:tcPr>
            <w:tcW w:w="20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33,051</w:t>
            </w:r>
          </w:p>
        </w:tc>
      </w:tr>
      <w:tr>
        <w:trPr>
          <w:trHeight w:val="201"/>
        </w:trPr>
        <w:tc>
          <w:tcPr>
            <w:tcW w:w="56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(21,557)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(17,999)</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(3,096)</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(4,222)</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expense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(1,451)</w:t>
            </w:r>
          </w:p>
        </w:tc>
      </w:tr>
      <w:tr>
        <w:trPr>
          <w:trHeight w:val="208"/>
        </w:trPr>
        <w:tc>
          <w:tcPr>
            <w:tcW w:w="5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(890)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(682)</w:t>
            </w:r>
          </w:p>
        </w:tc>
      </w:tr>
      <w:tr>
        <w:trPr>
          <w:trHeight w:val="208"/>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5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56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(26,981)</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(24,369)</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5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deferred tax assets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7,596</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8,682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As of February 1, 2025, the Company had gross net operating loss (NOL) carryforwards of approximately $3.2 million, $1.8 million of which relate to the U.K. where NOLs have no expiration date, and $1.4 million of which relate to China where NOLs are carried forward for five years subsequent to the year in which the loss was incurred.</w:t>
      </w:r>
    </w:p>
    <w:p>
      <w:pPr>
        <w:spacing w:after="0" w:line="163"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The Company continues to assert its investments in foreign subsidiaries are permanent in duration and it is not practical to estimate the income tax liability on the outside basis differences.</w:t>
      </w:r>
    </w:p>
    <w:p>
      <w:pPr>
        <w:spacing w:after="0" w:line="147" w:lineRule="exact"/>
        <w:rPr>
          <w:sz w:val="20"/>
          <w:szCs w:val="20"/>
          <w:color w:val="auto"/>
        </w:rPr>
      </w:pPr>
    </w:p>
    <w:p>
      <w:pPr>
        <w:jc w:val="both"/>
        <w:ind w:firstLine="468"/>
        <w:spacing w:after="0" w:line="260" w:lineRule="auto"/>
        <w:rPr>
          <w:sz w:val="20"/>
          <w:szCs w:val="20"/>
          <w:color w:val="auto"/>
        </w:rPr>
      </w:pPr>
      <w:r>
        <w:rPr>
          <w:rFonts w:ascii="Times New Roman" w:cs="Times New Roman" w:eastAsia="Times New Roman" w:hAnsi="Times New Roman"/>
          <w:sz w:val="17"/>
          <w:szCs w:val="17"/>
          <w:color w:val="auto"/>
        </w:rPr>
        <w:t>As of February 1, 2025, the Company had no unrecognized tax benefits. As of February 3, 2024, the Company had total unrecognized tax benefits of $0.1 million, of which $0.1 million would favorably impact the Company’s provision for income taxes if recognized. In the fourth quarter of fiscal year 2024, the Company recorded additional unrecognized tax benefits of $0.1 million and settled all unrecognized tax benefits of $0.1 million. The Company reviews its uncertain tax positions periodically and accrues interest and penalties accordingly. Accrued interest and penalties included within other liabilities in the consolidated balance sheets was $0.0 million and less than $0.1 million for the years ended February 1, 2025, and February 3, 2024, respectively. The Company recognizes accrued interest and penalties related to unrecognized tax benefits as a component of the provision for income taxes within the consolidated statement of operations. For the years ended February 1, 2025, and February 3, 2024, the Company recognized an (expense) benefit of less than ($0.1) million and ($0.1) million, respectively, for interest and penalties.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1260" w:type="dxa"/>
            <w:vAlign w:val="bottom"/>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rPr>
              <w:t>February 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February 3,</w:t>
            </w:r>
          </w:p>
        </w:tc>
      </w:tr>
      <w:tr>
        <w:trPr>
          <w:trHeight w:val="229"/>
        </w:trPr>
        <w:tc>
          <w:tcPr>
            <w:tcW w:w="694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r>
      <w:tr>
        <w:trPr>
          <w:trHeight w:val="201"/>
        </w:trPr>
        <w:tc>
          <w:tcPr>
            <w:tcW w:w="56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w:t>
            </w:r>
          </w:p>
        </w:tc>
      </w:tr>
      <w:tr>
        <w:trPr>
          <w:trHeight w:val="208"/>
        </w:trPr>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Increases for prior year tax positions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Settlements</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(74)</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12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w:t>
            </w:r>
          </w:p>
        </w:tc>
      </w:tr>
      <w:tr>
        <w:trPr>
          <w:trHeight w:val="20"/>
        </w:trPr>
        <w:tc>
          <w:tcPr>
            <w:tcW w:w="56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Management does not expect the amount of unrecognized tax benefits to change by a material amount in the next twelve months.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tax years remain open in the Company’s major taxing jurisdictions as of February 1, 2025:</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(Federal)</w:t>
            </w:r>
          </w:p>
        </w:tc>
        <w:tc>
          <w:tcPr>
            <w:tcW w:w="59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2021 through 2024</w:t>
            </w:r>
          </w:p>
        </w:tc>
      </w:tr>
      <w:tr>
        <w:trPr>
          <w:trHeight w:val="227"/>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594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2020 through 2024</w:t>
            </w:r>
          </w:p>
        </w:tc>
      </w:tr>
    </w:tbl>
    <w:p>
      <w:pPr>
        <w:spacing w:after="0" w:line="200" w:lineRule="exact"/>
        <w:rPr>
          <w:sz w:val="20"/>
          <w:szCs w:val="20"/>
          <w:color w:val="auto"/>
        </w:rPr>
      </w:pPr>
    </w:p>
    <w:p>
      <w:pPr>
        <w:spacing w:after="0" w:line="204" w:lineRule="exact"/>
        <w:rPr>
          <w:sz w:val="20"/>
          <w:szCs w:val="20"/>
          <w:color w:val="auto"/>
        </w:rPr>
      </w:pPr>
    </w:p>
    <w:p>
      <w:pPr>
        <w:ind w:left="440" w:hanging="416"/>
        <w:spacing w:after="0"/>
        <w:tabs>
          <w:tab w:leader="none" w:pos="44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Line of Credit</w:t>
      </w:r>
    </w:p>
    <w:p>
      <w:pPr>
        <w:spacing w:after="0" w:line="223" w:lineRule="exact"/>
        <w:rPr>
          <w:sz w:val="20"/>
          <w:szCs w:val="20"/>
          <w:color w:val="auto"/>
        </w:rPr>
      </w:pPr>
    </w:p>
    <w:p>
      <w:pPr>
        <w:ind w:firstLine="468"/>
        <w:spacing w:after="0" w:line="268" w:lineRule="auto"/>
        <w:rPr>
          <w:sz w:val="20"/>
          <w:szCs w:val="20"/>
          <w:color w:val="auto"/>
        </w:rPr>
      </w:pPr>
      <w:r>
        <w:rPr>
          <w:rFonts w:ascii="Times New Roman" w:cs="Times New Roman" w:eastAsia="Times New Roman" w:hAnsi="Times New Roman"/>
          <w:sz w:val="17"/>
          <w:szCs w:val="17"/>
          <w:color w:val="auto"/>
        </w:rPr>
        <w:t>The Company has a revolving credit and security agreement with PNC Bank, as agent, which expires on December 17, 2026, and provides for a secured revolving loan in aggregate principal of up to $25.0 million, subject to a borrowing base formula. As of February 1, 2025, borrowings under the agreement would bear interest at (a) a base rate determined under the agreement, or (b) the borrower's option, at a rate based on SOFR, plus in either case a margin based on average undrawn availability as determined in accordance with the agreement.</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85725</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Credit Agreement requires the Company to comply with one financial covenant, specifically, that the Company maintain availability (as determined in accordance with the Credit Agreement) at all times equal to or greater than the greater of (a) 10.0% of the Loan Cap and (b) $1,875,000 (subject to increase upon exercise of the Increase Option). The “Loan Cap” is the lesser of (1) $25,000,000 less the outstanding amount of loans and letters of credit under the Credit Agreement and (2) the borrowing base from time to time under the Credit Agreement.</w:t>
      </w:r>
    </w:p>
    <w:p>
      <w:pPr>
        <w:spacing w:after="0" w:line="168"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without limitation events of default based on payment obligations, material inaccuracies of representations and warranties, covenant defaults, final judgments and orders, unenforceability of the Credit Agreement, material ERISA events, change in control, insolvency proceedings, and defaults under certain other obligations. An event of default may cause the applicable interest rate and fees to increase by 2% until such event of default has been cured, waived, or amended.</w:t>
      </w:r>
    </w:p>
    <w:p>
      <w:pPr>
        <w:spacing w:after="0" w:line="168"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The Credit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68"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The Company is currently in compliance with the Credit Agreement covenants. As of February 1, 2025, the Company had a borrowing base of $25.0 million. The Company had no outstanding borrowings as of February 1, 2025.</w:t>
      </w:r>
    </w:p>
    <w:p>
      <w:pPr>
        <w:spacing w:after="0" w:line="379" w:lineRule="exact"/>
        <w:rPr>
          <w:sz w:val="20"/>
          <w:szCs w:val="20"/>
          <w:color w:val="auto"/>
        </w:rPr>
      </w:pPr>
    </w:p>
    <w:p>
      <w:pPr>
        <w:ind w:right="8360" w:firstLine="4"/>
        <w:spacing w:after="0" w:line="512" w:lineRule="auto"/>
        <w:tabs>
          <w:tab w:leader="none" w:pos="416"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spacing w:after="0" w:line="1"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68"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February 1, 2025, the Company had a gross receivable balance of $4.7 million and a reserve of $3.3 million, leaving a net receivable of $1.4 million. The Company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Net Income Per Share</w:t>
      </w:r>
    </w:p>
    <w:p>
      <w:pPr>
        <w:spacing w:after="0" w:line="223"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The Company computes both basic and diluted income per common share. The following table sets forth the computation of basic and diluted income per share (in thousands, except share and per share data):</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Fiscal year ended</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80"/>
              <w:spacing w:after="0" w:line="181" w:lineRule="exact"/>
              <w:rPr>
                <w:sz w:val="20"/>
                <w:szCs w:val="20"/>
                <w:color w:val="auto"/>
              </w:rPr>
            </w:pPr>
            <w:r>
              <w:rPr>
                <w:rFonts w:ascii="Times New Roman" w:cs="Times New Roman" w:eastAsia="Times New Roman" w:hAnsi="Times New Roman"/>
                <w:sz w:val="17"/>
                <w:szCs w:val="17"/>
                <w:b w:val="1"/>
                <w:bCs w:val="1"/>
                <w:color w:val="auto"/>
              </w:rPr>
              <w:t>February 1,</w:t>
            </w:r>
          </w:p>
        </w:tc>
        <w:tc>
          <w:tcPr>
            <w:tcW w:w="100" w:type="dxa"/>
            <w:vAlign w:val="bottom"/>
          </w:tcPr>
          <w:p>
            <w:pPr>
              <w:spacing w:after="0"/>
              <w:rPr>
                <w:sz w:val="15"/>
                <w:szCs w:val="15"/>
                <w:color w:val="auto"/>
              </w:rPr>
            </w:pPr>
          </w:p>
        </w:tc>
        <w:tc>
          <w:tcPr>
            <w:tcW w:w="1600" w:type="dxa"/>
            <w:vAlign w:val="bottom"/>
            <w:gridSpan w:val="2"/>
          </w:tcPr>
          <w:p>
            <w:pPr>
              <w:jc w:val="right"/>
              <w:ind w:right="480"/>
              <w:spacing w:after="0" w:line="181" w:lineRule="exact"/>
              <w:rPr>
                <w:sz w:val="20"/>
                <w:szCs w:val="20"/>
                <w:color w:val="auto"/>
              </w:rPr>
            </w:pPr>
            <w:r>
              <w:rPr>
                <w:rFonts w:ascii="Times New Roman" w:cs="Times New Roman" w:eastAsia="Times New Roman" w:hAnsi="Times New Roman"/>
                <w:sz w:val="17"/>
                <w:szCs w:val="17"/>
                <w:b w:val="1"/>
                <w:bCs w:val="1"/>
                <w:color w:val="auto"/>
              </w:rPr>
              <w:t>February 3,</w:t>
            </w:r>
          </w:p>
        </w:tc>
        <w:tc>
          <w:tcPr>
            <w:tcW w:w="200" w:type="dxa"/>
            <w:vAlign w:val="bottom"/>
          </w:tcPr>
          <w:p>
            <w:pPr>
              <w:spacing w:after="0"/>
              <w:rPr>
                <w:sz w:val="15"/>
                <w:szCs w:val="15"/>
                <w:color w:val="auto"/>
              </w:rPr>
            </w:pPr>
          </w:p>
        </w:tc>
        <w:tc>
          <w:tcPr>
            <w:tcW w:w="1320" w:type="dxa"/>
            <w:vAlign w:val="bottom"/>
          </w:tcPr>
          <w:p>
            <w:pPr>
              <w:jc w:val="right"/>
              <w:ind w:right="233"/>
              <w:spacing w:after="0" w:line="181" w:lineRule="exact"/>
              <w:rPr>
                <w:sz w:val="20"/>
                <w:szCs w:val="20"/>
                <w:color w:val="auto"/>
              </w:rPr>
            </w:pPr>
            <w:r>
              <w:rPr>
                <w:rFonts w:ascii="Times New Roman" w:cs="Times New Roman" w:eastAsia="Times New Roman" w:hAnsi="Times New Roman"/>
                <w:sz w:val="17"/>
                <w:szCs w:val="17"/>
                <w:b w:val="1"/>
                <w:bCs w:val="1"/>
                <w:color w:val="auto"/>
              </w:rPr>
              <w:t>January 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51,785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52,805</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47,985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Weighted average number of common shares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 basic</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13,578,587</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14,342,931</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14,940,770</w:t>
            </w: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Dilutive effect of share-based awards:</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42,488</w:t>
            </w: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128,944</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309,049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Weighted average number of common shares</w:t>
            </w:r>
          </w:p>
        </w:tc>
        <w:tc>
          <w:tcPr>
            <w:tcW w:w="2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13,621,075</w:t>
            </w:r>
          </w:p>
        </w:tc>
        <w:tc>
          <w:tcPr>
            <w:tcW w:w="10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14,471,875</w:t>
            </w:r>
          </w:p>
        </w:tc>
        <w:tc>
          <w:tcPr>
            <w:tcW w:w="2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15,249,819</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outstanding - dilutive</w:t>
            </w:r>
          </w:p>
        </w:tc>
        <w:tc>
          <w:tcPr>
            <w:tcW w:w="20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Basic income per common share</w:t>
            </w:r>
          </w:p>
        </w:tc>
        <w:tc>
          <w:tcPr>
            <w:tcW w:w="200" w:type="dxa"/>
            <w:vAlign w:val="bottom"/>
          </w:tcPr>
          <w:p>
            <w:pPr>
              <w:jc w:val="right"/>
              <w:ind w:right="33"/>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80"/>
              <w:spacing w:after="0" w:line="187" w:lineRule="exact"/>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160"/>
              <w:spacing w:after="0" w:line="187" w:lineRule="exact"/>
              <w:rPr>
                <w:sz w:val="20"/>
                <w:szCs w:val="20"/>
                <w:color w:val="auto"/>
              </w:rPr>
            </w:pPr>
            <w:r>
              <w:rPr>
                <w:rFonts w:ascii="Times New Roman" w:cs="Times New Roman" w:eastAsia="Times New Roman" w:hAnsi="Times New Roman"/>
                <w:sz w:val="17"/>
                <w:szCs w:val="17"/>
                <w:color w:val="auto"/>
              </w:rPr>
              <w:t>3.68</w:t>
            </w:r>
          </w:p>
        </w:tc>
        <w:tc>
          <w:tcPr>
            <w:tcW w:w="200" w:type="dxa"/>
            <w:vAlign w:val="bottom"/>
          </w:tcPr>
          <w:p>
            <w:pPr>
              <w:jc w:val="right"/>
              <w:ind w:right="33"/>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line="187" w:lineRule="exact"/>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Diluted income per common share</w:t>
            </w:r>
          </w:p>
        </w:tc>
        <w:tc>
          <w:tcPr>
            <w:tcW w:w="200" w:type="dxa"/>
            <w:vAlign w:val="bottom"/>
            <w:shd w:val="clear" w:color="auto" w:fill="CCEEFF"/>
          </w:tcPr>
          <w:p>
            <w:pPr>
              <w:jc w:val="right"/>
              <w:ind w:right="33"/>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line="187" w:lineRule="exact"/>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160"/>
              <w:spacing w:after="0" w:line="187" w:lineRule="exact"/>
              <w:rPr>
                <w:sz w:val="20"/>
                <w:szCs w:val="20"/>
                <w:color w:val="auto"/>
              </w:rPr>
            </w:pPr>
            <w:r>
              <w:rPr>
                <w:rFonts w:ascii="Times New Roman" w:cs="Times New Roman" w:eastAsia="Times New Roman" w:hAnsi="Times New Roman"/>
                <w:sz w:val="17"/>
                <w:szCs w:val="17"/>
                <w:color w:val="auto"/>
              </w:rPr>
              <w:t>3.65</w:t>
            </w:r>
          </w:p>
        </w:tc>
        <w:tc>
          <w:tcPr>
            <w:tcW w:w="200" w:type="dxa"/>
            <w:vAlign w:val="bottom"/>
            <w:shd w:val="clear" w:color="auto" w:fill="CCEEFF"/>
          </w:tcPr>
          <w:p>
            <w:pPr>
              <w:jc w:val="right"/>
              <w:ind w:right="33"/>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line="187" w:lineRule="exact"/>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468"/>
        <w:spacing w:after="0" w:line="274" w:lineRule="auto"/>
        <w:rPr>
          <w:sz w:val="20"/>
          <w:szCs w:val="20"/>
          <w:color w:val="auto"/>
        </w:rPr>
      </w:pPr>
      <w:r>
        <w:rPr>
          <w:rFonts w:ascii="Times New Roman" w:cs="Times New Roman" w:eastAsia="Times New Roman" w:hAnsi="Times New Roman"/>
          <w:sz w:val="17"/>
          <w:szCs w:val="17"/>
          <w:color w:val="auto"/>
        </w:rPr>
        <w:t>In calculating diluted earnings per share for fiscal 2024, 2023 and 2022, there were 21,828, 23,324, and 46,543 shares of common stock, respectively, that were outstanding at the end of the period that were not included in the computation of diluted income per share due to their anti-dilutive effect under provisions of ASC 260-10.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 Incentive Plans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2017, the Company adopted the Build-A-Bear Workshop, Inc. 2017 Omnibus Incentive Plan (the "2017 Plan").</w:t>
      </w:r>
    </w:p>
    <w:p>
      <w:pPr>
        <w:spacing w:after="0" w:line="221"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“Annual Meeting”),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2017 Plan that on or after April 14, 2020 may be forfeited, expire or be settled for cash.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jc w:val="both"/>
        <w:ind w:firstLine="468"/>
        <w:spacing w:after="0" w:line="268" w:lineRule="auto"/>
        <w:rPr>
          <w:sz w:val="20"/>
          <w:szCs w:val="20"/>
          <w:color w:val="auto"/>
        </w:rPr>
      </w:pPr>
      <w:r>
        <w:rPr>
          <w:rFonts w:ascii="Times New Roman" w:cs="Times New Roman" w:eastAsia="Times New Roman" w:hAnsi="Times New Roman"/>
          <w:sz w:val="17"/>
          <w:szCs w:val="17"/>
          <w:color w:val="auto"/>
        </w:rPr>
        <w:t>For the years ended February 1, 2025, February 3, 2024 and January 28, 2023, Selling, general and administrative expense included stock-based compensation expense of $2.2 million, $2.1 million and $2.6 million, respectively. As of February 1, 2025, there was $2.7 million of total unrecognized compensation expense related to unvested stock awards which is expected to be recognized over a weighted-average period of 1.6 years. Future total shares available for options, non-vested stock and restricted stock grants were 857,838, 1,010,666 and 186,624 at the end of 2024, 2023 and 2022, respectively.</w:t>
      </w:r>
    </w:p>
    <w:p>
      <w:pPr>
        <w:spacing w:after="0" w:line="164" w:lineRule="exact"/>
        <w:rPr>
          <w:sz w:val="20"/>
          <w:szCs w:val="20"/>
          <w:color w:val="auto"/>
        </w:rPr>
      </w:pPr>
    </w:p>
    <w:p>
      <w:pPr>
        <w:ind w:left="840" w:hanging="407"/>
        <w:spacing w:after="0"/>
        <w:tabs>
          <w:tab w:leader="none" w:pos="840" w:val="left"/>
        </w:tabs>
        <w:numPr>
          <w:ilvl w:val="0"/>
          <w:numId w:val="2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 Options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is a summary of the balance and activity for the Plans related to stock options for the periods presented:</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860" w:type="dxa"/>
            <w:vAlign w:val="bottom"/>
            <w:gridSpan w:val="5"/>
          </w:tcPr>
          <w:p>
            <w:pPr>
              <w:ind w:left="10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81"/>
        </w:trPr>
        <w:tc>
          <w:tcPr>
            <w:tcW w:w="426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 Term</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28, 2023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177,519</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14.20</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(165,144)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13.93</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Canceled or expired</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February 3, 2024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17.84</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(12,375)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17.84</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Canceled or expired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February 1, 2025</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Options Exercisable as of:</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February 1, 2025</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There were no stock options granted during fiscal 2024, 2023 or 2022. The expense recorded related to options granted was determined using the Black-Scholes option pricing model and the provisions of SAB 107 and 110, which allow the use of a simplified method to estimate the expected term of “plain vanilla” options.</w:t>
      </w:r>
    </w:p>
    <w:p>
      <w:pPr>
        <w:spacing w:after="0" w:line="163"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 total grant date fair value of options exercised in fiscal 2024 was $0.1 million and the total intrinsic value was $0.1 million. The total grant date fair value of options exercised in fiscal 2023 was $1.2 million and the total intrinsic value was $1.2 million. The Company generally issues new shares to satisfy option exercises.</w:t>
      </w:r>
    </w:p>
    <w:p>
      <w:pPr>
        <w:spacing w:after="0" w:line="159" w:lineRule="exact"/>
        <w:rPr>
          <w:sz w:val="20"/>
          <w:szCs w:val="20"/>
          <w:color w:val="auto"/>
        </w:rPr>
      </w:pPr>
    </w:p>
    <w:p>
      <w:pPr>
        <w:ind w:left="840" w:hanging="407"/>
        <w:spacing w:after="0"/>
        <w:tabs>
          <w:tab w:leader="none" w:pos="840" w:val="left"/>
        </w:tabs>
        <w:numPr>
          <w:ilvl w:val="0"/>
          <w:numId w:val="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Restricted Stock</w:t>
      </w:r>
    </w:p>
    <w:p>
      <w:pPr>
        <w:spacing w:after="0" w:line="225" w:lineRule="exact"/>
        <w:rPr>
          <w:sz w:val="20"/>
          <w:szCs w:val="20"/>
          <w:color w:val="auto"/>
        </w:rPr>
      </w:pPr>
    </w:p>
    <w:p>
      <w:pPr>
        <w:jc w:val="both"/>
        <w:ind w:firstLine="425"/>
        <w:spacing w:after="0" w:line="265" w:lineRule="auto"/>
        <w:rPr>
          <w:sz w:val="20"/>
          <w:szCs w:val="20"/>
          <w:color w:val="auto"/>
        </w:rPr>
      </w:pPr>
      <w:r>
        <w:rPr>
          <w:rFonts w:ascii="Times New Roman" w:cs="Times New Roman" w:eastAsia="Times New Roman" w:hAnsi="Times New Roman"/>
          <w:sz w:val="17"/>
          <w:szCs w:val="17"/>
          <w:color w:val="auto"/>
        </w:rPr>
        <w:t>The Company granted restricted stock awards that typically vest over a one to three-year period. Recipients of time-based restricted stock awards have the right to vote and receive dividends as to all unvested shares, however, the receipt of such dividends is contingent on such time-based awards vesting.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Performance-Based Restricted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56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Time-Based Restricted Stock</w:t>
            </w:r>
          </w:p>
        </w:tc>
        <w:tc>
          <w:tcPr>
            <w:tcW w:w="200" w:type="dxa"/>
            <w:vAlign w:val="bottom"/>
          </w:tcPr>
          <w:p>
            <w:pPr>
              <w:spacing w:after="0"/>
              <w:rPr>
                <w:sz w:val="19"/>
                <w:szCs w:val="19"/>
                <w:color w:val="auto"/>
              </w:rPr>
            </w:pPr>
          </w:p>
        </w:tc>
        <w:tc>
          <w:tcPr>
            <w:tcW w:w="1540" w:type="dxa"/>
            <w:vAlign w:val="bottom"/>
            <w:tcBorders>
              <w:bottom w:val="single" w:sz="8" w:color="auto"/>
            </w:tcBorders>
            <w:gridSpan w:val="4"/>
          </w:tcPr>
          <w:p>
            <w:pPr>
              <w:jc w:val="center"/>
              <w:ind w:left="91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53"/>
              <w:spacing w:after="0" w:line="181"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53"/>
              <w:spacing w:after="0" w:line="181"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Average Grant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Average Grant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1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Date Fair Value</w:t>
            </w:r>
          </w:p>
        </w:tc>
        <w:tc>
          <w:tcPr>
            <w:tcW w:w="20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28,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287,983</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295,048</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(208,621)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(215,130)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Adjusted for performance achievement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Canceled or expired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(22,512)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(17,846)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Outstanding, February 3,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185,082</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64,619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(81,561)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(106,190)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Adjusted for performance achievement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53,095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Canceled or expired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February 1,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97,538</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193,273</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5" w:lineRule="exact"/>
        <w:rPr>
          <w:sz w:val="20"/>
          <w:szCs w:val="20"/>
          <w:color w:val="auto"/>
        </w:rPr>
      </w:pPr>
    </w:p>
    <w:p>
      <w:pPr>
        <w:jc w:val="both"/>
        <w:ind w:left="40" w:firstLine="468"/>
        <w:spacing w:after="0" w:line="265" w:lineRule="auto"/>
        <w:rPr>
          <w:sz w:val="20"/>
          <w:szCs w:val="20"/>
          <w:color w:val="auto"/>
        </w:rPr>
      </w:pPr>
      <w:r>
        <w:rPr>
          <w:rFonts w:ascii="Times New Roman" w:cs="Times New Roman" w:eastAsia="Times New Roman" w:hAnsi="Times New Roman"/>
          <w:sz w:val="17"/>
          <w:szCs w:val="17"/>
          <w:color w:val="auto"/>
        </w:rPr>
        <w:t>In fiscal 2024</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awarded three-year performance-based restricted stock, established specific profitability and revenue objectives for fiscal 2024, 2025, and 2026, and assigned a weighting to each objective. Profitability is measured by the Company’s achievement of established cumulative consolidated EBITDA. Revenue will be measured by the Company's achievement of cumulative total revenue. The target number of shares awarded was 64,619 with a weighted average grant date fair value of $27.61 per share. If profitability and revenue exceed the threshold objectives, the performance-based restricted stock award has a payout opportunity ranging from 25% to 200% of the target number of shares.</w:t>
      </w:r>
    </w:p>
    <w:p>
      <w:pPr>
        <w:spacing w:after="0" w:line="170" w:lineRule="exact"/>
        <w:rPr>
          <w:sz w:val="20"/>
          <w:szCs w:val="20"/>
          <w:color w:val="auto"/>
        </w:rPr>
      </w:pPr>
    </w:p>
    <w:p>
      <w:pPr>
        <w:jc w:val="both"/>
        <w:ind w:left="40" w:firstLine="468"/>
        <w:spacing w:after="0" w:line="263" w:lineRule="auto"/>
        <w:rPr>
          <w:sz w:val="20"/>
          <w:szCs w:val="20"/>
          <w:color w:val="auto"/>
        </w:rPr>
      </w:pPr>
      <w:r>
        <w:rPr>
          <w:rFonts w:ascii="Times New Roman" w:cs="Times New Roman" w:eastAsia="Times New Roman" w:hAnsi="Times New Roman"/>
          <w:sz w:val="17"/>
          <w:szCs w:val="17"/>
          <w:color w:val="auto"/>
        </w:rPr>
        <w:t>In fiscal 2023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awarded three-year performance-based restricted stock, established specific profitability and revenue objectives for fiscal 2023, 2024, and 2025,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65,254 with a weighted average grant date fair value of $24.75 per share. If profitability and revenue exceed the threshold objectives, the performance-based restricted stock award has a payout opportunity ranging from 25% to 200% of the target number of shares.</w:t>
      </w:r>
    </w:p>
    <w:p>
      <w:pPr>
        <w:spacing w:after="0" w:line="172" w:lineRule="exact"/>
        <w:rPr>
          <w:sz w:val="20"/>
          <w:szCs w:val="20"/>
          <w:color w:val="auto"/>
        </w:rPr>
      </w:pPr>
    </w:p>
    <w:p>
      <w:pPr>
        <w:jc w:val="both"/>
        <w:ind w:left="40" w:firstLine="468"/>
        <w:spacing w:after="0" w:line="263" w:lineRule="auto"/>
        <w:rPr>
          <w:sz w:val="20"/>
          <w:szCs w:val="20"/>
          <w:color w:val="auto"/>
        </w:rPr>
      </w:pPr>
      <w:r>
        <w:rPr>
          <w:rFonts w:ascii="Times New Roman" w:cs="Times New Roman" w:eastAsia="Times New Roman" w:hAnsi="Times New Roman"/>
          <w:sz w:val="17"/>
          <w:szCs w:val="17"/>
          <w:color w:val="auto"/>
        </w:rPr>
        <w:t>In fiscal 2022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awarded three-year performance-based restricted stock, established specific profitability and revenue objectives for fiscal 2022, 2023, and 2024,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84,579 with a weighted average grant date fair value of $18.03 per share. If profitability and revenue exceed the threshold objectives, the performance-based restricted stock award has a payout opportunity ranging from 25% to 200% of the target number of shares.</w:t>
      </w:r>
    </w:p>
    <w:p>
      <w:pPr>
        <w:spacing w:after="0" w:line="174" w:lineRule="exact"/>
        <w:rPr>
          <w:sz w:val="20"/>
          <w:szCs w:val="20"/>
          <w:color w:val="auto"/>
        </w:rPr>
      </w:pPr>
    </w:p>
    <w:p>
      <w:pPr>
        <w:ind w:right="120" w:firstLine="468"/>
        <w:spacing w:after="0" w:line="293" w:lineRule="auto"/>
        <w:rPr>
          <w:sz w:val="20"/>
          <w:szCs w:val="20"/>
          <w:color w:val="auto"/>
        </w:rPr>
      </w:pPr>
      <w:r>
        <w:rPr>
          <w:rFonts w:ascii="Times New Roman" w:cs="Times New Roman" w:eastAsia="Times New Roman" w:hAnsi="Times New Roman"/>
          <w:sz w:val="17"/>
          <w:szCs w:val="17"/>
          <w:color w:val="auto"/>
        </w:rPr>
        <w:t>As of February 1, 2025, the Company had recorded aggregate expense for the fiscal 2022, 2023, and 2024 three-year performance-based restricted stock awards of $0.8 million.</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vesting date fair value of shares that vested in fiscal 2024, 2023 and 2022 was $2.2 million, $2.1 million and $2.0 million, respectively.</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(13)  Stockholders’ Equity</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6"/>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changes in outstanding shares of common stock for fiscal 2024 and fiscal 2023:</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6"/>
        </w:trPr>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12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120" w:type="dxa"/>
            <w:vAlign w:val="bottom"/>
          </w:tcPr>
          <w:p>
            <w:pPr>
              <w:spacing w:after="0"/>
              <w:rPr>
                <w:sz w:val="19"/>
                <w:szCs w:val="19"/>
                <w:color w:val="auto"/>
              </w:rPr>
            </w:pPr>
          </w:p>
        </w:tc>
      </w:tr>
      <w:tr>
        <w:trPr>
          <w:trHeight w:val="201"/>
        </w:trPr>
        <w:tc>
          <w:tcPr>
            <w:tcW w:w="11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8"/>
        </w:trPr>
        <w:tc>
          <w:tcPr>
            <w:tcW w:w="11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as of January 28, 2023</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14,802,338</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 under employee stock plans, net of shares withheld in lieu of tax withholding</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266,627</w:t>
            </w:r>
          </w:p>
        </w:tc>
        <w:tc>
          <w:tcPr>
            <w:tcW w:w="11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repurchase</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(896,603)</w:t>
            </w:r>
          </w:p>
        </w:tc>
        <w:tc>
          <w:tcPr>
            <w:tcW w:w="1120" w:type="dxa"/>
            <w:vAlign w:val="bottom"/>
          </w:tcPr>
          <w:p>
            <w:pPr>
              <w:spacing w:after="0"/>
              <w:rPr>
                <w:sz w:val="18"/>
                <w:szCs w:val="18"/>
                <w:color w:val="auto"/>
              </w:rPr>
            </w:pPr>
          </w:p>
        </w:tc>
      </w:tr>
      <w:tr>
        <w:trPr>
          <w:trHeight w:val="201"/>
        </w:trPr>
        <w:tc>
          <w:tcPr>
            <w:tcW w:w="1120" w:type="dxa"/>
            <w:vAlign w:val="bottom"/>
          </w:tcPr>
          <w:p>
            <w:pPr>
              <w:spacing w:after="0"/>
              <w:rPr>
                <w:sz w:val="17"/>
                <w:szCs w:val="17"/>
                <w:color w:val="auto"/>
              </w:rPr>
            </w:pPr>
          </w:p>
        </w:tc>
        <w:tc>
          <w:tcPr>
            <w:tcW w:w="7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Shares as of February 3,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14,172,362</w:t>
            </w:r>
          </w:p>
        </w:tc>
        <w:tc>
          <w:tcPr>
            <w:tcW w:w="80" w:type="dxa"/>
            <w:vAlign w:val="bottom"/>
            <w:tcBorders>
              <w:top w:val="single" w:sz="8" w:color="CCEEFF"/>
            </w:tcBorders>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7"/>
        </w:trPr>
        <w:tc>
          <w:tcPr>
            <w:tcW w:w="1120" w:type="dxa"/>
            <w:vAlign w:val="bottom"/>
          </w:tcPr>
          <w:p>
            <w:pPr>
              <w:spacing w:after="0"/>
              <w:rPr>
                <w:sz w:val="16"/>
                <w:szCs w:val="16"/>
                <w:color w:val="auto"/>
              </w:rPr>
            </w:pPr>
          </w:p>
        </w:tc>
        <w:tc>
          <w:tcPr>
            <w:tcW w:w="75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Shares issued under employee stock plans, net of shares withheld in lieu of tax withholding</w:t>
            </w:r>
          </w:p>
        </w:tc>
        <w:tc>
          <w:tcPr>
            <w:tcW w:w="1440" w:type="dxa"/>
            <w:vAlign w:val="bottom"/>
            <w:gridSpan w:val="2"/>
            <w:shd w:val="clear" w:color="auto" w:fill="CCEEFF"/>
          </w:tcPr>
          <w:p>
            <w:pPr>
              <w:jc w:val="right"/>
              <w:ind w:right="80"/>
              <w:spacing w:after="0" w:line="187" w:lineRule="exact"/>
              <w:rPr>
                <w:sz w:val="20"/>
                <w:szCs w:val="20"/>
                <w:color w:val="auto"/>
              </w:rPr>
            </w:pPr>
            <w:r>
              <w:rPr>
                <w:rFonts w:ascii="Times New Roman" w:cs="Times New Roman" w:eastAsia="Times New Roman" w:hAnsi="Times New Roman"/>
                <w:sz w:val="17"/>
                <w:szCs w:val="17"/>
                <w:color w:val="auto"/>
              </w:rPr>
              <w:t>105,773</w:t>
            </w:r>
          </w:p>
        </w:tc>
        <w:tc>
          <w:tcPr>
            <w:tcW w:w="1120" w:type="dxa"/>
            <w:vAlign w:val="bottom"/>
          </w:tcPr>
          <w:p>
            <w:pPr>
              <w:spacing w:after="0"/>
              <w:rPr>
                <w:sz w:val="16"/>
                <w:szCs w:val="16"/>
                <w:color w:val="auto"/>
              </w:rPr>
            </w:pPr>
          </w:p>
        </w:tc>
      </w:tr>
      <w:tr>
        <w:trPr>
          <w:trHeight w:val="208"/>
        </w:trPr>
        <w:tc>
          <w:tcPr>
            <w:tcW w:w="11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Share repurchase</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(1,021,004)</w:t>
            </w:r>
          </w:p>
        </w:tc>
        <w:tc>
          <w:tcPr>
            <w:tcW w:w="1120" w:type="dxa"/>
            <w:vAlign w:val="bottom"/>
          </w:tcPr>
          <w:p>
            <w:pPr>
              <w:spacing w:after="0"/>
              <w:rPr>
                <w:sz w:val="18"/>
                <w:szCs w:val="18"/>
                <w:color w:val="auto"/>
              </w:rPr>
            </w:pPr>
          </w:p>
        </w:tc>
      </w:tr>
      <w:tr>
        <w:trPr>
          <w:trHeight w:val="241"/>
        </w:trPr>
        <w:tc>
          <w:tcPr>
            <w:tcW w:w="1120" w:type="dxa"/>
            <w:vAlign w:val="bottom"/>
          </w:tcPr>
          <w:p>
            <w:pPr>
              <w:spacing w:after="0"/>
              <w:rPr>
                <w:sz w:val="20"/>
                <w:szCs w:val="20"/>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as of February 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13,257,131</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r>
      <w:tr>
        <w:trPr>
          <w:trHeight w:val="812"/>
        </w:trPr>
        <w:tc>
          <w:tcPr>
            <w:tcW w:w="8680" w:type="dxa"/>
            <w:vAlign w:val="bottom"/>
            <w:gridSpan w:val="2"/>
          </w:tcPr>
          <w:p>
            <w:pPr>
              <w:jc w:val="right"/>
              <w:ind w:right="2873"/>
              <w:spacing w:after="0"/>
              <w:rPr>
                <w:sz w:val="20"/>
                <w:szCs w:val="20"/>
                <w:color w:val="auto"/>
              </w:rPr>
            </w:pPr>
            <w:r>
              <w:rPr>
                <w:rFonts w:ascii="Times New Roman" w:cs="Times New Roman" w:eastAsia="Times New Roman" w:hAnsi="Times New Roman"/>
                <w:sz w:val="17"/>
                <w:szCs w:val="17"/>
                <w:color w:val="auto"/>
              </w:rPr>
              <w:t>63</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75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80"/>
          </w:cols>
          <w:pgMar w:left="28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Major Vendors</w:t>
      </w:r>
    </w:p>
    <w:p>
      <w:pPr>
        <w:spacing w:after="0" w:line="223" w:lineRule="exact"/>
        <w:rPr>
          <w:sz w:val="20"/>
          <w:szCs w:val="20"/>
          <w:color w:val="auto"/>
        </w:rPr>
      </w:pPr>
    </w:p>
    <w:p>
      <w:pPr>
        <w:jc w:val="both"/>
        <w:ind w:firstLine="468"/>
        <w:spacing w:after="0" w:line="293" w:lineRule="auto"/>
        <w:rPr>
          <w:sz w:val="20"/>
          <w:szCs w:val="20"/>
          <w:color w:val="auto"/>
        </w:rPr>
      </w:pPr>
      <w:r>
        <w:rPr>
          <w:rFonts w:ascii="Times New Roman" w:cs="Times New Roman" w:eastAsia="Times New Roman" w:hAnsi="Times New Roman"/>
          <w:sz w:val="17"/>
          <w:szCs w:val="17"/>
          <w:color w:val="auto"/>
        </w:rPr>
        <w:t>Five vendors, each of whose primary manufacturing facilities are located in Asia, accounted for approximately 69% of inventory purchases in 2024 and 73% in 2023.</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223"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7"/>
          <w:szCs w:val="17"/>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the Republic of Ireland and the U.K., including the Company’s e-commerce sites and temporary stores. The commercial segment includes the Company’s transactions with other businesses, mainly comprised of wholesale activities, licensing the Company’s intellectual properties for third party use, and entertainment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Executive Officer, who is also the Chief Operating Decision Maker ("CODM"), regularly evaluates the business in assessing performance, determining the allocation of resources and the pursuit of future growth opportunities. The CODM uses contribution margin to allocate resources across the reportable segments as part of the Company's long-range and annual planning processes, and to evaluate planned versus actual results when assessing segment operating performance. Accordingly, the Company has determined that each of its operating segments represent a reportable segment. The three reportable segments follow the same accounting policies used for the Company’s consolidated financial statements.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Following is a summary of the financial information for the Company’s reporting segments (in thousands):</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Direct-to-</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International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Consumer</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220" w:type="dxa"/>
            <w:vAlign w:val="bottom"/>
          </w:tcPr>
          <w:p>
            <w:pPr>
              <w:spacing w:after="0"/>
              <w:rPr>
                <w:sz w:val="19"/>
                <w:szCs w:val="19"/>
                <w:color w:val="auto"/>
              </w:rPr>
            </w:pPr>
          </w:p>
        </w:tc>
        <w:tc>
          <w:tcPr>
            <w:tcW w:w="10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Franchising</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Fifty-two weeks ended February 1, 2025</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460,325</w:t>
            </w:r>
          </w:p>
        </w:tc>
        <w:tc>
          <w:tcPr>
            <w:tcW w:w="5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31,387</w:t>
            </w:r>
          </w:p>
        </w:tc>
        <w:tc>
          <w:tcPr>
            <w:tcW w:w="5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207,200</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253,125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&amp; Administrative</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134,076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Contribution Margin</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119,049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28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Fifty-three weeks ended February 3, 2024</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456,163</w:t>
            </w:r>
          </w:p>
        </w:tc>
        <w:tc>
          <w:tcPr>
            <w:tcW w:w="5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25,413</w:t>
            </w:r>
          </w:p>
        </w:tc>
        <w:tc>
          <w:tcPr>
            <w:tcW w:w="5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206,815</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12,091</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249,348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&amp; Administrative</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127,722</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Contribution Margin</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121,626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428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Fifty-two weeks ended January 28, 2023</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446,181</w:t>
            </w:r>
          </w:p>
        </w:tc>
        <w:tc>
          <w:tcPr>
            <w:tcW w:w="5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18,523</w:t>
            </w:r>
          </w:p>
        </w:tc>
        <w:tc>
          <w:tcPr>
            <w:tcW w:w="5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211,489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8,591</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234,692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&amp; Administrative</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118,550</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Contribution Margin</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116,142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 Overhead expenses contain selling, general and administrative expenses not attributable to a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assets, depreciation and amortization, and capital expenditures for the Company's segments, as well as for Corporate and support, are as follows:</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Direct-to-</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International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Consumer</w:t>
            </w: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Franchising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Fifty-two weeks ended February 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170,132</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11,712</w:t>
            </w:r>
          </w:p>
        </w:tc>
        <w:tc>
          <w:tcPr>
            <w:tcW w:w="5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105,541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ind w:left="2440"/>
              <w:spacing w:after="0" w:line="189" w:lineRule="exact"/>
              <w:rPr>
                <w:sz w:val="20"/>
                <w:szCs w:val="20"/>
                <w:color w:val="auto"/>
              </w:rPr>
            </w:pPr>
            <w:r>
              <w:rPr>
                <w:rFonts w:ascii="Times New Roman" w:cs="Times New Roman" w:eastAsia="Times New Roman" w:hAnsi="Times New Roman"/>
                <w:sz w:val="17"/>
                <w:szCs w:val="17"/>
                <w:color w:val="auto"/>
              </w:rPr>
              <w:t>Depreciation and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Fifty-three weeks ended February</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3, 2024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195,373</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w:t>
            </w:r>
          </w:p>
        </w:tc>
        <w:tc>
          <w:tcPr>
            <w:tcW w:w="5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66,926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ind w:left="2440"/>
              <w:spacing w:after="0" w:line="189" w:lineRule="exact"/>
              <w:rPr>
                <w:sz w:val="20"/>
                <w:szCs w:val="20"/>
                <w:color w:val="auto"/>
              </w:rPr>
            </w:pPr>
            <w:r>
              <w:rPr>
                <w:rFonts w:ascii="Times New Roman" w:cs="Times New Roman" w:eastAsia="Times New Roman" w:hAnsi="Times New Roman"/>
                <w:sz w:val="17"/>
                <w:szCs w:val="17"/>
                <w:color w:val="auto"/>
              </w:rPr>
              <w:t>Depreciation and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Fifty-two weeks ended January 28,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84,233</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5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187,988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shd w:val="clear" w:color="auto" w:fill="CCEEFF"/>
          </w:tcPr>
          <w:p>
            <w:pPr>
              <w:ind w:left="2440"/>
              <w:spacing w:after="0" w:line="189" w:lineRule="exact"/>
              <w:rPr>
                <w:sz w:val="20"/>
                <w:szCs w:val="20"/>
                <w:color w:val="auto"/>
              </w:rPr>
            </w:pPr>
            <w:r>
              <w:rPr>
                <w:rFonts w:ascii="Times New Roman" w:cs="Times New Roman" w:eastAsia="Times New Roman" w:hAnsi="Times New Roman"/>
                <w:sz w:val="17"/>
                <w:szCs w:val="17"/>
                <w:color w:val="auto"/>
              </w:rPr>
              <w:t>Depreciation and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tcPr>
          <w:p>
            <w:pPr>
              <w:ind w:left="24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(in thousands):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North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4"/>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America </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35"/>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Europe </w:t>
            </w:r>
            <w:r>
              <w:rPr>
                <w:rFonts w:ascii="Times New Roman" w:cs="Times New Roman" w:eastAsia="Times New Roman" w:hAnsi="Times New Roman"/>
                <w:sz w:val="26"/>
                <w:szCs w:val="26"/>
                <w:b w:val="1"/>
                <w:bCs w:val="1"/>
                <w:color w:val="auto"/>
                <w:vertAlign w:val="superscript"/>
              </w:rPr>
              <w:t>(2)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75"/>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6"/>
                <w:szCs w:val="26"/>
                <w:b w:val="1"/>
                <w:bCs w:val="1"/>
                <w:color w:val="auto"/>
                <w:vertAlign w:val="superscript"/>
              </w:rPr>
              <w:t>(3)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Fifty-two weeks ended February 1, 2025</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425,139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65,233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Fifty-three weeks ended February 3, 2024</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426,244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56,141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Fifty-two weeks ended January 28, 2023</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sales to external customers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408,881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For purposes of this table only:</w:t>
      </w:r>
    </w:p>
    <w:p>
      <w:pPr>
        <w:spacing w:after="0" w:line="221" w:lineRule="exact"/>
        <w:rPr>
          <w:sz w:val="20"/>
          <w:szCs w:val="20"/>
          <w:color w:val="auto"/>
        </w:rPr>
      </w:pPr>
    </w:p>
    <w:p>
      <w:pPr>
        <w:ind w:left="700" w:hanging="415"/>
        <w:spacing w:after="0"/>
        <w:tabs>
          <w:tab w:leader="none" w:pos="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 America includes corporately-managed stores in the United States and Canada.</w:t>
      </w:r>
    </w:p>
    <w:p>
      <w:pPr>
        <w:spacing w:after="0" w:line="31" w:lineRule="exact"/>
        <w:rPr>
          <w:rFonts w:ascii="Times New Roman" w:cs="Times New Roman" w:eastAsia="Times New Roman" w:hAnsi="Times New Roman"/>
          <w:sz w:val="17"/>
          <w:szCs w:val="17"/>
          <w:color w:val="auto"/>
        </w:rPr>
      </w:pPr>
    </w:p>
    <w:p>
      <w:pPr>
        <w:ind w:left="700" w:hanging="415"/>
        <w:spacing w:after="0"/>
        <w:tabs>
          <w:tab w:leader="none" w:pos="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Europe includes corporately-managed stores in the U.K. and Ireland.</w:t>
      </w:r>
    </w:p>
    <w:p>
      <w:pPr>
        <w:spacing w:after="0" w:line="12" w:lineRule="exact"/>
        <w:rPr>
          <w:rFonts w:ascii="Times New Roman" w:cs="Times New Roman" w:eastAsia="Times New Roman" w:hAnsi="Times New Roman"/>
          <w:sz w:val="17"/>
          <w:szCs w:val="17"/>
          <w:color w:val="auto"/>
        </w:rPr>
      </w:pPr>
    </w:p>
    <w:p>
      <w:pPr>
        <w:ind w:left="700" w:hanging="415"/>
        <w:spacing w:after="0"/>
        <w:tabs>
          <w:tab w:leader="none" w:pos="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includes franchise businesses outside of North America and Europe.</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(a)(2) </w:t>
      </w:r>
      <w:r>
        <w:rPr>
          <w:rFonts w:ascii="Times New Roman" w:cs="Times New Roman" w:eastAsia="Times New Roman" w:hAnsi="Times New Roman"/>
          <w:sz w:val="17"/>
          <w:szCs w:val="17"/>
          <w:i w:val="1"/>
          <w:iCs w:val="1"/>
          <w:color w:val="auto"/>
        </w:rPr>
        <w:t>Financial Statement Schedules</w:t>
      </w:r>
    </w:p>
    <w:p>
      <w:pPr>
        <w:spacing w:after="0" w:line="200" w:lineRule="exact"/>
        <w:rPr>
          <w:sz w:val="20"/>
          <w:szCs w:val="20"/>
          <w:color w:val="auto"/>
        </w:rPr>
      </w:pPr>
    </w:p>
    <w:p>
      <w:pPr>
        <w:spacing w:after="0" w:line="255"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96"/>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Deductions to</w:t>
            </w: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8"/>
        </w:trPr>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154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cost and</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54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60" w:type="dxa"/>
            <w:vAlign w:val="bottom"/>
          </w:tcPr>
          <w:p>
            <w:pPr>
              <w:jc w:val="right"/>
              <w:ind w:right="315"/>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6"/>
                <w:szCs w:val="26"/>
                <w:b w:val="1"/>
                <w:bCs w:val="1"/>
                <w:color w:val="auto"/>
                <w:vertAlign w:val="superscript"/>
              </w:rPr>
              <w:t>(1)</w:t>
            </w:r>
          </w:p>
        </w:tc>
        <w:tc>
          <w:tcPr>
            <w:tcW w:w="14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Ending Balance</w:t>
            </w:r>
          </w:p>
        </w:tc>
      </w:tr>
      <w:tr>
        <w:trPr>
          <w:trHeight w:val="208"/>
        </w:trPr>
        <w:tc>
          <w:tcPr>
            <w:tcW w:w="4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4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1,546</w:t>
            </w: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5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1,533</w:t>
            </w:r>
          </w:p>
        </w:tc>
      </w:tr>
      <w:tr>
        <w:trPr>
          <w:trHeight w:val="208"/>
        </w:trPr>
        <w:tc>
          <w:tcPr>
            <w:tcW w:w="4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8,000</w:t>
            </w: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(5,500)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1,546</w:t>
            </w:r>
          </w:p>
        </w:tc>
      </w:tr>
      <w:tr>
        <w:trPr>
          <w:trHeight w:val="227"/>
        </w:trPr>
        <w:tc>
          <w:tcPr>
            <w:tcW w:w="4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9,795</w:t>
            </w: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(478)</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54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8,000</w:t>
            </w:r>
          </w:p>
        </w:tc>
      </w:tr>
    </w:tbl>
    <w:p>
      <w:pPr>
        <w:spacing w:after="0" w:line="171" w:lineRule="exact"/>
        <w:rPr>
          <w:sz w:val="20"/>
          <w:szCs w:val="20"/>
          <w:color w:val="auto"/>
        </w:rPr>
      </w:pPr>
    </w:p>
    <w:p>
      <w:pPr>
        <w:jc w:val="center"/>
        <w:ind w:left="5540" w:right="1640" w:hanging="4443"/>
        <w:spacing w:after="0" w:line="804" w:lineRule="auto"/>
        <w:tabs>
          <w:tab w:leader="none" w:pos="134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deferred tax asset valuation allowance changes represent reserves utilized and the impact of currency translation.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-224790</wp:posOffset>
            </wp:positionV>
            <wp:extent cx="713740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(a)(3) </w:t>
      </w:r>
      <w:r>
        <w:rPr>
          <w:rFonts w:ascii="Times New Roman" w:cs="Times New Roman" w:eastAsia="Times New Roman" w:hAnsi="Times New Roman"/>
          <w:sz w:val="17"/>
          <w:szCs w:val="17"/>
          <w:i w:val="1"/>
          <w:iCs w:val="1"/>
          <w:color w:val="auto"/>
        </w:rPr>
        <w:t>Exhibits.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is a list of exhibits filed as a part of the Annual Report on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20" w:type="dxa"/>
            <w:vAlign w:val="bottom"/>
          </w:tcPr>
          <w:p>
            <w:pPr>
              <w:spacing w:after="0"/>
              <w:rPr>
                <w:sz w:val="19"/>
                <w:szCs w:val="19"/>
                <w:color w:val="auto"/>
              </w:rPr>
            </w:pPr>
          </w:p>
        </w:tc>
        <w:tc>
          <w:tcPr>
            <w:tcW w:w="102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7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24"/>
                <w:szCs w:val="24"/>
                <w:color w:val="auto"/>
              </w:rPr>
            </w:pPr>
          </w:p>
        </w:tc>
        <w:tc>
          <w:tcPr>
            <w:tcW w:w="10220" w:type="dxa"/>
            <w:vAlign w:val="bottom"/>
            <w:gridSpan w:val="18"/>
          </w:tcPr>
          <w:p>
            <w:pPr>
              <w:spacing w:after="0"/>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Agreement and Plan of Merger dated April 3, 2000 between Build-A-Bear Workshop, L.L.C. and the Registrant (incorporated by reference from</w:t>
              </w:r>
            </w:hyperlink>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760" w:type="dxa"/>
            <w:vAlign w:val="bottom"/>
            <w:tcBorders>
              <w:top w:val="single" w:sz="8" w:color="0000EE"/>
              <w:bottom w:val="single" w:sz="8" w:color="0000EE"/>
            </w:tcBorders>
            <w:gridSpan w:val="7"/>
          </w:tcPr>
          <w:p>
            <w:pPr>
              <w:spacing w:after="0" w:line="188"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Exhibit 2.1 to our Registration Statement on Form S-1, filed on August 12, 2004, Registration No. 333-118142)</w:t>
              </w:r>
            </w:hyperlink>
          </w:p>
        </w:tc>
        <w:tc>
          <w:tcPr>
            <w:tcW w:w="2260" w:type="dxa"/>
            <w:vAlign w:val="bottom"/>
            <w:tcBorders>
              <w:top w:val="single" w:sz="8" w:color="0000EE"/>
            </w:tcBorders>
            <w:gridSpan w:val="6"/>
          </w:tcPr>
          <w:p>
            <w:pPr>
              <w:spacing w:after="0"/>
              <w:rPr>
                <w:sz w:val="16"/>
                <w:szCs w:val="16"/>
                <w:color w:val="auto"/>
              </w:rPr>
            </w:pPr>
          </w:p>
        </w:tc>
        <w:tc>
          <w:tcPr>
            <w:tcW w:w="200" w:type="dxa"/>
            <w:vAlign w:val="bottom"/>
            <w:gridSpan w:val="5"/>
          </w:tcPr>
          <w:p>
            <w:pPr>
              <w:spacing w:after="0"/>
              <w:rPr>
                <w:sz w:val="16"/>
                <w:szCs w:val="16"/>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24"/>
                <w:szCs w:val="24"/>
                <w:color w:val="auto"/>
              </w:rPr>
            </w:pPr>
          </w:p>
        </w:tc>
        <w:tc>
          <w:tcPr>
            <w:tcW w:w="10220" w:type="dxa"/>
            <w:vAlign w:val="bottom"/>
            <w:gridSpan w:val="18"/>
          </w:tcPr>
          <w:p>
            <w:pPr>
              <w:spacing w:after="0"/>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Third Amended and Restated Certificate of Incorporation (incorporated by reference from Exhibit 3.1 of our Current Report on Form 8-K, filed on</w:t>
              </w:r>
            </w:hyperlink>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2"/>
          </w:tcPr>
          <w:p>
            <w:pPr>
              <w:spacing w:after="0" w:line="188"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November 8, 2004)</w:t>
              </w:r>
            </w:hyperlink>
          </w:p>
        </w:tc>
        <w:tc>
          <w:tcPr>
            <w:tcW w:w="8820" w:type="dxa"/>
            <w:vAlign w:val="bottom"/>
            <w:tcBorders>
              <w:top w:val="single" w:sz="8" w:color="0000EE"/>
            </w:tcBorders>
            <w:gridSpan w:val="15"/>
          </w:tcPr>
          <w:p>
            <w:pPr>
              <w:spacing w:after="0"/>
              <w:rPr>
                <w:sz w:val="16"/>
                <w:szCs w:val="16"/>
                <w:color w:val="auto"/>
              </w:rPr>
            </w:pPr>
          </w:p>
        </w:tc>
        <w:tc>
          <w:tcPr>
            <w:tcW w:w="40" w:type="dxa"/>
            <w:vAlign w:val="bottom"/>
          </w:tcPr>
          <w:p>
            <w:pPr>
              <w:spacing w:after="0"/>
              <w:rPr>
                <w:sz w:val="16"/>
                <w:szCs w:val="16"/>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24"/>
                <w:szCs w:val="24"/>
                <w:color w:val="auto"/>
              </w:rPr>
            </w:pPr>
          </w:p>
        </w:tc>
        <w:tc>
          <w:tcPr>
            <w:tcW w:w="100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Amended and Restated Bylaws, as amended through January 4, 2018 (incorporated by reference from Exhibit 3.1 to our Current Report on Form</w:t>
              </w:r>
            </w:hyperlink>
          </w:p>
        </w:tc>
        <w:tc>
          <w:tcPr>
            <w:tcW w:w="160" w:type="dxa"/>
            <w:vAlign w:val="bottom"/>
            <w:gridSpan w:val="3"/>
          </w:tcPr>
          <w:p>
            <w:pPr>
              <w:spacing w:after="0"/>
              <w:rPr>
                <w:sz w:val="24"/>
                <w:szCs w:val="24"/>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Borders>
              <w:bottom w:val="single" w:sz="8" w:color="0000EE"/>
            </w:tcBorders>
            <w:gridSpan w:val="3"/>
          </w:tcPr>
          <w:p>
            <w:pPr>
              <w:spacing w:after="0" w:line="188" w:lineRule="exact"/>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8-K, filed on January 4, 2018)</w:t>
              </w:r>
            </w:hyperlink>
          </w:p>
        </w:tc>
        <w:tc>
          <w:tcPr>
            <w:tcW w:w="8120" w:type="dxa"/>
            <w:vAlign w:val="bottom"/>
            <w:gridSpan w:val="15"/>
          </w:tcPr>
          <w:p>
            <w:pPr>
              <w:spacing w:after="0"/>
              <w:rPr>
                <w:sz w:val="16"/>
                <w:szCs w:val="16"/>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24"/>
                <w:szCs w:val="24"/>
                <w:color w:val="auto"/>
              </w:rPr>
            </w:pPr>
          </w:p>
        </w:tc>
        <w:tc>
          <w:tcPr>
            <w:tcW w:w="10220" w:type="dxa"/>
            <w:vAlign w:val="bottom"/>
            <w:gridSpan w:val="18"/>
          </w:tcPr>
          <w:p>
            <w:pPr>
              <w:spacing w:after="0"/>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Specimen Stock Certificate (incorporated by reference from Exhibit 4.1 to Amendment No. 3 to our Registration Statement on Form S-1, filed on</w:t>
              </w:r>
            </w:hyperlink>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tcBorders>
              <w:top w:val="single" w:sz="8" w:color="0000EE"/>
            </w:tcBorders>
            <w:gridSpan w:val="16"/>
          </w:tcPr>
          <w:p>
            <w:pPr>
              <w:spacing w:after="0" w:line="188" w:lineRule="exact"/>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October 1, 2004, Registration No. 333-118142)</w:t>
              </w:r>
            </w:hyperlink>
          </w:p>
        </w:tc>
        <w:tc>
          <w:tcPr>
            <w:tcW w:w="120" w:type="dxa"/>
            <w:vAlign w:val="bottom"/>
            <w:gridSpan w:val="2"/>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24"/>
                <w:szCs w:val="24"/>
                <w:color w:val="auto"/>
              </w:rPr>
            </w:pPr>
          </w:p>
        </w:tc>
        <w:tc>
          <w:tcPr>
            <w:tcW w:w="98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Description of Registrant's Securities Registered Pursuant to Section 12 of the Securities Exchange Act of 1934, as amended (incorporated by</w:t>
              </w:r>
            </w:hyperlink>
          </w:p>
        </w:tc>
        <w:tc>
          <w:tcPr>
            <w:tcW w:w="380" w:type="dxa"/>
            <w:vAlign w:val="bottom"/>
            <w:gridSpan w:val="6"/>
          </w:tcPr>
          <w:p>
            <w:pPr>
              <w:spacing w:after="0"/>
              <w:rPr>
                <w:sz w:val="24"/>
                <w:szCs w:val="24"/>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40" w:type="dxa"/>
            <w:vAlign w:val="bottom"/>
            <w:tcBorders>
              <w:bottom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reference from Exhibit 4.2 to our Annual Report on Form 10-K, filed on April 14, 2021)</w:t>
              </w:r>
            </w:hyperlink>
          </w:p>
        </w:tc>
        <w:tc>
          <w:tcPr>
            <w:tcW w:w="4080" w:type="dxa"/>
            <w:vAlign w:val="bottom"/>
            <w:gridSpan w:val="12"/>
          </w:tcPr>
          <w:p>
            <w:pPr>
              <w:spacing w:after="0"/>
              <w:rPr>
                <w:sz w:val="16"/>
                <w:szCs w:val="16"/>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Third Amended and Restated Build-A-Bear Workshop, Inc. 2004 Stock Incentive Plan (incorporated by reference from Exhibit 10.1 on our</w:t>
              </w:r>
            </w:hyperlink>
          </w:p>
        </w:tc>
        <w:tc>
          <w:tcPr>
            <w:tcW w:w="560" w:type="dxa"/>
            <w:vAlign w:val="bottom"/>
            <w:gridSpan w:val="7"/>
          </w:tcPr>
          <w:p>
            <w:pPr>
              <w:spacing w:after="0"/>
              <w:rPr>
                <w:sz w:val="24"/>
                <w:szCs w:val="24"/>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18"/>
          </w:tcPr>
          <w:p>
            <w:pPr>
              <w:spacing w:after="0" w:line="188"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Current Report on Form 8-K, filed on May 12, 2014)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220" w:type="dxa"/>
            <w:vAlign w:val="bottom"/>
          </w:tcPr>
          <w:p>
            <w:pPr>
              <w:spacing w:after="0"/>
              <w:rPr>
                <w:sz w:val="24"/>
                <w:szCs w:val="24"/>
                <w:color w:val="auto"/>
              </w:rPr>
            </w:pPr>
          </w:p>
        </w:tc>
        <w:tc>
          <w:tcPr>
            <w:tcW w:w="10220" w:type="dxa"/>
            <w:vAlign w:val="bottom"/>
            <w:gridSpan w:val="18"/>
          </w:tcPr>
          <w:p>
            <w:pPr>
              <w:spacing w:after="0"/>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Form of the Restricted Stock and Non-Qualified Stock Option Agreement under the Registrant’s Third Amended and Restated 2004 Stock</w:t>
              </w:r>
            </w:hyperlink>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20" w:type="dxa"/>
            <w:vAlign w:val="bottom"/>
            <w:tcBorders>
              <w:top w:val="single" w:sz="8" w:color="0000EE"/>
              <w:bottom w:val="single" w:sz="8" w:color="0000EE"/>
            </w:tcBorders>
            <w:gridSpan w:val="9"/>
          </w:tcPr>
          <w:p>
            <w:pPr>
              <w:spacing w:after="0" w:line="188"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Incentive Plan (incorporated by reference from Exhibit 10.1 on our Current Report on Form 8-K, filed on March 20, 2015)</w:t>
              </w:r>
            </w:hyperlink>
          </w:p>
        </w:tc>
        <w:tc>
          <w:tcPr>
            <w:tcW w:w="1080" w:type="dxa"/>
            <w:vAlign w:val="bottom"/>
            <w:tcBorders>
              <w:top w:val="single" w:sz="8" w:color="0000EE"/>
            </w:tcBorders>
          </w:tcPr>
          <w:p>
            <w:pPr>
              <w:spacing w:after="0"/>
              <w:rPr>
                <w:sz w:val="16"/>
                <w:szCs w:val="16"/>
                <w:color w:val="auto"/>
              </w:rPr>
            </w:pPr>
          </w:p>
        </w:tc>
        <w:tc>
          <w:tcPr>
            <w:tcW w:w="620" w:type="dxa"/>
            <w:vAlign w:val="bottom"/>
            <w:gridSpan w:val="8"/>
          </w:tcPr>
          <w:p>
            <w:pPr>
              <w:spacing w:after="0"/>
              <w:rPr>
                <w:sz w:val="16"/>
                <w:szCs w:val="16"/>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22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Form of Restricted Stock and Non-Qualified Stock Option Agreement under the Registrant’s Third Amended and Restated 2004 Stock Incentive</w:t>
              </w:r>
            </w:hyperlink>
          </w:p>
        </w:tc>
        <w:tc>
          <w:tcPr>
            <w:tcW w:w="180" w:type="dxa"/>
            <w:vAlign w:val="bottom"/>
            <w:gridSpan w:val="4"/>
          </w:tcPr>
          <w:p>
            <w:pPr>
              <w:spacing w:after="0"/>
              <w:rPr>
                <w:sz w:val="24"/>
                <w:szCs w:val="24"/>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20" w:type="dxa"/>
            <w:vAlign w:val="bottom"/>
            <w:tcBorders>
              <w:bottom w:val="single" w:sz="8" w:color="0000EE"/>
            </w:tcBorders>
            <w:gridSpan w:val="8"/>
          </w:tcPr>
          <w:p>
            <w:pPr>
              <w:spacing w:after="0" w:line="188"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Plan (incorporated by reference from Exhibit 10.7 on our Current Report on Form 8-K, filed on March 11, 2016)</w:t>
              </w:r>
            </w:hyperlink>
          </w:p>
        </w:tc>
        <w:tc>
          <w:tcPr>
            <w:tcW w:w="2400" w:type="dxa"/>
            <w:vAlign w:val="bottom"/>
            <w:gridSpan w:val="10"/>
          </w:tcPr>
          <w:p>
            <w:pPr>
              <w:spacing w:after="0"/>
              <w:rPr>
                <w:sz w:val="16"/>
                <w:szCs w:val="16"/>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22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Form of Restricted Stock and Non-Qualified Stock Option Agreement under the Registrant’s Third Amended and Restated 2004 Stock Incentive</w:t>
              </w:r>
            </w:hyperlink>
          </w:p>
        </w:tc>
        <w:tc>
          <w:tcPr>
            <w:tcW w:w="180" w:type="dxa"/>
            <w:vAlign w:val="bottom"/>
            <w:gridSpan w:val="4"/>
          </w:tcPr>
          <w:p>
            <w:pPr>
              <w:spacing w:after="0"/>
              <w:rPr>
                <w:sz w:val="24"/>
                <w:szCs w:val="24"/>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18"/>
          </w:tcPr>
          <w:p>
            <w:pPr>
              <w:spacing w:after="0" w:line="188"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Plan (incorporated by reference from Exhibit 10.2 on our Current Report on Form 8-K, filed on March 17, 2017)</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580" w:type="dxa"/>
            <w:vAlign w:val="bottom"/>
            <w:gridSpan w:val="7"/>
            <w:shd w:val="clear" w:color="auto" w:fill="0000EE"/>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r>
      <w:tr>
        <w:trPr>
          <w:trHeight w:val="39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220" w:type="dxa"/>
            <w:vAlign w:val="bottom"/>
          </w:tcPr>
          <w:p>
            <w:pPr>
              <w:spacing w:after="0"/>
              <w:rPr>
                <w:sz w:val="24"/>
                <w:szCs w:val="24"/>
                <w:color w:val="auto"/>
              </w:rPr>
            </w:pPr>
          </w:p>
        </w:tc>
        <w:tc>
          <w:tcPr>
            <w:tcW w:w="1022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Build-A-Bear Workshop, Inc. 2017 Omnibus Incentive Plan (incorporated by reference from Exhibit 10.1 to our Current Report on Form 8-K, filed</w:t>
              </w:r>
            </w:hyperlink>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18"/>
          </w:tcPr>
          <w:p>
            <w:pPr>
              <w:spacing w:after="0" w:line="188"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on May 12, 2017)</w:t>
              </w:r>
            </w:hyperlink>
          </w:p>
        </w:tc>
      </w:tr>
      <w:tr>
        <w:trPr>
          <w:trHeight w:val="435"/>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900" w:type="dxa"/>
            <w:vAlign w:val="bottom"/>
            <w:gridSpan w:val="5"/>
          </w:tcPr>
          <w:p>
            <w:pPr>
              <w:jc w:val="right"/>
              <w:ind w:right="1440"/>
              <w:spacing w:after="0"/>
              <w:rPr>
                <w:sz w:val="20"/>
                <w:szCs w:val="20"/>
                <w:color w:val="auto"/>
              </w:rPr>
            </w:pPr>
            <w:r>
              <w:rPr>
                <w:rFonts w:ascii="Times New Roman" w:cs="Times New Roman" w:eastAsia="Times New Roman" w:hAnsi="Times New Roman"/>
                <w:sz w:val="17"/>
                <w:szCs w:val="17"/>
                <w:color w:val="auto"/>
              </w:rPr>
              <w:t>66</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10220" w:type="dxa"/>
            <w:vAlign w:val="bottom"/>
            <w:gridSpan w:val="26"/>
          </w:tcPr>
          <w:p>
            <w:pPr>
              <w:spacing w:after="0"/>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Form of Restricted Stock and Non-Qualified Stock Option Award Agreement under Registrant's 2017 Omnibus Incentive Plan (incorporated by</w:t>
              </w:r>
            </w:hyperlink>
          </w:p>
        </w:tc>
      </w:tr>
      <w:tr>
        <w:trPr>
          <w:trHeight w:val="188"/>
        </w:trPr>
        <w:tc>
          <w:tcPr>
            <w:tcW w:w="1020" w:type="dxa"/>
            <w:vAlign w:val="bottom"/>
          </w:tcPr>
          <w:p>
            <w:pPr>
              <w:spacing w:after="0"/>
              <w:rPr>
                <w:sz w:val="16"/>
                <w:szCs w:val="16"/>
                <w:color w:val="auto"/>
              </w:rPr>
            </w:pPr>
          </w:p>
        </w:tc>
        <w:tc>
          <w:tcPr>
            <w:tcW w:w="6280" w:type="dxa"/>
            <w:vAlign w:val="bottom"/>
            <w:tcBorders>
              <w:top w:val="single" w:sz="8" w:color="0000EE"/>
              <w:bottom w:val="single" w:sz="8" w:color="0000EE"/>
            </w:tcBorders>
            <w:gridSpan w:val="9"/>
          </w:tcPr>
          <w:p>
            <w:pPr>
              <w:spacing w:after="0" w:line="188"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reference from Exhibit 10.2 on our Current Report on Form 8-K, filed on March 21, 2018)</w:t>
              </w:r>
            </w:hyperlink>
          </w:p>
        </w:tc>
        <w:tc>
          <w:tcPr>
            <w:tcW w:w="3680" w:type="dxa"/>
            <w:vAlign w:val="bottom"/>
            <w:tcBorders>
              <w:top w:val="single" w:sz="8" w:color="0000EE"/>
            </w:tcBorders>
            <w:gridSpan w:val="7"/>
          </w:tcPr>
          <w:p>
            <w:pPr>
              <w:spacing w:after="0"/>
              <w:rPr>
                <w:sz w:val="16"/>
                <w:szCs w:val="16"/>
                <w:color w:val="auto"/>
              </w:rPr>
            </w:pPr>
          </w:p>
        </w:tc>
        <w:tc>
          <w:tcPr>
            <w:tcW w:w="260" w:type="dxa"/>
            <w:vAlign w:val="bottom"/>
            <w:gridSpan w:val="10"/>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10220" w:type="dxa"/>
            <w:vAlign w:val="bottom"/>
            <w:tcBorders>
              <w:bottom w:val="single" w:sz="8" w:color="0000EE"/>
            </w:tcBorders>
            <w:gridSpan w:val="26"/>
          </w:tcPr>
          <w:p>
            <w:pPr>
              <w:spacing w:after="0"/>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Build-A-Bear Workshop, Inc. 2020 Omnibus Incentive Plan (incorporated by reference from Exhibit 10.1 to our Current Report on Form 8-K, filed</w:t>
              </w:r>
            </w:hyperlink>
          </w:p>
        </w:tc>
      </w:tr>
      <w:tr>
        <w:trPr>
          <w:trHeight w:val="188"/>
        </w:trPr>
        <w:tc>
          <w:tcPr>
            <w:tcW w:w="1020" w:type="dxa"/>
            <w:vAlign w:val="bottom"/>
          </w:tcPr>
          <w:p>
            <w:pPr>
              <w:spacing w:after="0"/>
              <w:rPr>
                <w:sz w:val="16"/>
                <w:szCs w:val="16"/>
                <w:color w:val="auto"/>
              </w:rPr>
            </w:pPr>
          </w:p>
        </w:tc>
        <w:tc>
          <w:tcPr>
            <w:tcW w:w="10220" w:type="dxa"/>
            <w:vAlign w:val="bottom"/>
            <w:gridSpan w:val="26"/>
          </w:tcPr>
          <w:p>
            <w:pPr>
              <w:spacing w:after="0" w:line="188"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on June 12, 2020)</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98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Form of Restricted Stock Agreement under the Registrant’s 2020 Omnibus Incentive Plan (incorporated by reference from Exhibit 10.3 of our</w:t>
              </w:r>
            </w:hyperlink>
          </w:p>
        </w:tc>
        <w:tc>
          <w:tcPr>
            <w:tcW w:w="360" w:type="dxa"/>
            <w:vAlign w:val="bottom"/>
            <w:gridSpan w:val="11"/>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3740" w:type="dxa"/>
            <w:vAlign w:val="bottom"/>
            <w:tcBorders>
              <w:bottom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Current Report on Form 8-K, filed on April 16, 2021)</w:t>
              </w:r>
            </w:hyperlink>
          </w:p>
        </w:tc>
        <w:tc>
          <w:tcPr>
            <w:tcW w:w="6480" w:type="dxa"/>
            <w:vAlign w:val="bottom"/>
            <w:gridSpan w:val="20"/>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101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Description of Build-A-Bear Work, Inc. Cash Bonus Program for C-Level Employees (incorporated by reference from Exhibit 10.1 of our Current</w:t>
              </w:r>
            </w:hyperlink>
          </w:p>
        </w:tc>
        <w:tc>
          <w:tcPr>
            <w:tcW w:w="60" w:type="dxa"/>
            <w:vAlign w:val="bottom"/>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316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Report on Form 8-K, filed on April 14, 2023)</w:t>
              </w:r>
            </w:hyperlink>
          </w:p>
        </w:tc>
        <w:tc>
          <w:tcPr>
            <w:tcW w:w="7060" w:type="dxa"/>
            <w:vAlign w:val="bottom"/>
            <w:gridSpan w:val="21"/>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1004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Build-A-Bear Workshop, Inc. Amended and Restated 2020 Omnibus Incentive Plan (incorporated by reference from Exhibit 10.1 of our Current</w:t>
              </w:r>
            </w:hyperlink>
          </w:p>
        </w:tc>
        <w:tc>
          <w:tcPr>
            <w:tcW w:w="180" w:type="dxa"/>
            <w:vAlign w:val="bottom"/>
            <w:gridSpan w:val="6"/>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26"/>
          </w:tcPr>
          <w:p>
            <w:pPr>
              <w:spacing w:after="0" w:line="188"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Report on Form 8-K, filed on June 9, 2023)</w:t>
              </w:r>
            </w:hyperlink>
          </w:p>
        </w:tc>
      </w:tr>
      <w:tr>
        <w:trPr>
          <w:trHeight w:val="20"/>
        </w:trPr>
        <w:tc>
          <w:tcPr>
            <w:tcW w:w="10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10.1.10*</w:t>
            </w:r>
          </w:p>
        </w:tc>
        <w:tc>
          <w:tcPr>
            <w:tcW w:w="100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Form of Non-Employee Director Restricted Stock Agreement (incorporated by reference from Exhibit 10.2 of our Current Report on Form 8-K,</w:t>
              </w:r>
            </w:hyperlink>
          </w:p>
        </w:tc>
        <w:tc>
          <w:tcPr>
            <w:tcW w:w="220" w:type="dxa"/>
            <w:vAlign w:val="bottom"/>
            <w:gridSpan w:val="8"/>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520" w:type="dxa"/>
            <w:vAlign w:val="bottom"/>
            <w:tcBorders>
              <w:bottom w:val="single" w:sz="8" w:color="0000EE"/>
            </w:tcBorders>
            <w:gridSpan w:val="3"/>
          </w:tcPr>
          <w:p>
            <w:pPr>
              <w:spacing w:after="0" w:line="188"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filed on June 9, 2023)</w:t>
              </w:r>
            </w:hyperlink>
          </w:p>
        </w:tc>
        <w:tc>
          <w:tcPr>
            <w:tcW w:w="8700" w:type="dxa"/>
            <w:vAlign w:val="bottom"/>
            <w:gridSpan w:val="23"/>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10.1.11*</w:t>
            </w:r>
          </w:p>
        </w:tc>
        <w:tc>
          <w:tcPr>
            <w:tcW w:w="10220" w:type="dxa"/>
            <w:vAlign w:val="bottom"/>
            <w:gridSpan w:val="26"/>
          </w:tcPr>
          <w:p>
            <w:pPr>
              <w:spacing w:after="0"/>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Description of Build-A-Bear Workshop, Inc. Cash Bonus Program for Executive Officers (incorporated by reference from Exhibit 10.1 of our</w:t>
              </w:r>
            </w:hyperlink>
          </w:p>
        </w:tc>
      </w:tr>
      <w:tr>
        <w:trPr>
          <w:trHeight w:val="188"/>
        </w:trPr>
        <w:tc>
          <w:tcPr>
            <w:tcW w:w="102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Current Report on Form 8-K, filed on April 19, 2024)</w:t>
              </w:r>
            </w:hyperlink>
          </w:p>
        </w:tc>
        <w:tc>
          <w:tcPr>
            <w:tcW w:w="6080" w:type="dxa"/>
            <w:vAlign w:val="bottom"/>
            <w:tcBorders>
              <w:top w:val="single" w:sz="8" w:color="0000EE"/>
            </w:tcBorders>
            <w:gridSpan w:val="8"/>
          </w:tcPr>
          <w:p>
            <w:pPr>
              <w:spacing w:after="0"/>
              <w:rPr>
                <w:sz w:val="16"/>
                <w:szCs w:val="16"/>
                <w:color w:val="auto"/>
              </w:rPr>
            </w:pPr>
          </w:p>
        </w:tc>
        <w:tc>
          <w:tcPr>
            <w:tcW w:w="400" w:type="dxa"/>
            <w:vAlign w:val="bottom"/>
            <w:gridSpan w:val="12"/>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10.1.12*</w:t>
            </w:r>
          </w:p>
        </w:tc>
        <w:tc>
          <w:tcPr>
            <w:tcW w:w="101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Form of Restricted Stock Agreement under the Registrant’s Amended and Restated 2020 Omnibus Incentive Plan (incorporated by reference from</w:t>
              </w:r>
            </w:hyperlink>
          </w:p>
        </w:tc>
        <w:tc>
          <w:tcPr>
            <w:tcW w:w="60" w:type="dxa"/>
            <w:vAlign w:val="bottom"/>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5100" w:type="dxa"/>
            <w:vAlign w:val="bottom"/>
            <w:tcBorders>
              <w:bottom w:val="single" w:sz="8" w:color="0000EE"/>
            </w:tcBorders>
            <w:gridSpan w:val="7"/>
          </w:tcPr>
          <w:p>
            <w:pPr>
              <w:spacing w:after="0" w:line="188"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Exhibit 10.2 of our Current Report on Form 8-K, filed on April 19, 2024)</w:t>
              </w:r>
            </w:hyperlink>
          </w:p>
        </w:tc>
        <w:tc>
          <w:tcPr>
            <w:tcW w:w="5120" w:type="dxa"/>
            <w:vAlign w:val="bottom"/>
            <w:gridSpan w:val="19"/>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10.2 *</w:t>
            </w:r>
          </w:p>
        </w:tc>
        <w:tc>
          <w:tcPr>
            <w:tcW w:w="101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Nonqualified Deferred Compensation Plan (incorporated by reference from Exhibit 10.42 to our Annual Report on Form 10-K, for the year ended</w:t>
              </w:r>
            </w:hyperlink>
          </w:p>
        </w:tc>
        <w:tc>
          <w:tcPr>
            <w:tcW w:w="100" w:type="dxa"/>
            <w:vAlign w:val="bottom"/>
            <w:gridSpan w:val="3"/>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420" w:type="dxa"/>
            <w:vAlign w:val="bottom"/>
            <w:tcBorders>
              <w:bottom w:val="single" w:sz="8" w:color="0000EE"/>
            </w:tcBorders>
            <w:gridSpan w:val="2"/>
          </w:tcPr>
          <w:p>
            <w:pPr>
              <w:spacing w:after="0" w:line="188"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December 30, 2006)</w:t>
              </w:r>
            </w:hyperlink>
          </w:p>
        </w:tc>
        <w:tc>
          <w:tcPr>
            <w:tcW w:w="8800" w:type="dxa"/>
            <w:vAlign w:val="bottom"/>
            <w:gridSpan w:val="24"/>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1014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Amended and Restated Employment, Confidentiality and Noncompete Agreement, dated March 7, 2016, by and between Eric Fencl and Build-A-</w:t>
              </w:r>
            </w:hyperlink>
          </w:p>
        </w:tc>
        <w:tc>
          <w:tcPr>
            <w:tcW w:w="80" w:type="dxa"/>
            <w:vAlign w:val="bottom"/>
            <w:gridSpan w:val="2"/>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8940" w:type="dxa"/>
            <w:vAlign w:val="bottom"/>
            <w:tcBorders>
              <w:bottom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Bear Workshop, Inc. (incorporated by reference from Exhibit 10.1 on our Current Report on Form 8-K, filed on March 11, 2016)</w:t>
              </w:r>
            </w:hyperlink>
          </w:p>
        </w:tc>
        <w:tc>
          <w:tcPr>
            <w:tcW w:w="1280" w:type="dxa"/>
            <w:vAlign w:val="bottom"/>
            <w:gridSpan w:val="15"/>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220" w:type="dxa"/>
            <w:vAlign w:val="bottom"/>
            <w:gridSpan w:val="26"/>
          </w:tcPr>
          <w:p>
            <w:pPr>
              <w:spacing w:after="0"/>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Amended and Restated Employment, Confidentiality and Noncompete Agreement, dated March 7, 2016, by and between J. Christopher Hurt and</w:t>
              </w:r>
            </w:hyperlink>
          </w:p>
        </w:tc>
      </w:tr>
      <w:tr>
        <w:trPr>
          <w:trHeight w:val="188"/>
        </w:trPr>
        <w:tc>
          <w:tcPr>
            <w:tcW w:w="1020" w:type="dxa"/>
            <w:vAlign w:val="bottom"/>
          </w:tcPr>
          <w:p>
            <w:pPr>
              <w:spacing w:after="0"/>
              <w:rPr>
                <w:sz w:val="16"/>
                <w:szCs w:val="16"/>
                <w:color w:val="auto"/>
              </w:rPr>
            </w:pPr>
          </w:p>
        </w:tc>
        <w:tc>
          <w:tcPr>
            <w:tcW w:w="10080" w:type="dxa"/>
            <w:vAlign w:val="bottom"/>
            <w:tcBorders>
              <w:top w:val="single" w:sz="8" w:color="0000EE"/>
            </w:tcBorders>
            <w:gridSpan w:val="21"/>
          </w:tcPr>
          <w:p>
            <w:pPr>
              <w:spacing w:after="0" w:line="188" w:lineRule="exact"/>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Build-A-Bear Workshop, Inc. (incorporated by reference from Exhibit 10.2 on our Current Report on Form 8-K, filed on March 11, 2016)</w:t>
              </w:r>
            </w:hyperlink>
          </w:p>
        </w:tc>
        <w:tc>
          <w:tcPr>
            <w:tcW w:w="140" w:type="dxa"/>
            <w:vAlign w:val="bottom"/>
            <w:gridSpan w:val="5"/>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640" w:type="dxa"/>
            <w:vAlign w:val="bottom"/>
            <w:gridSpan w:val="8"/>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1002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106">
              <w:r>
                <w:rPr>
                  <w:rFonts w:ascii="Times New Roman" w:cs="Times New Roman" w:eastAsia="Times New Roman" w:hAnsi="Times New Roman"/>
                  <w:sz w:val="17"/>
                  <w:szCs w:val="17"/>
                  <w:color w:val="0000EE"/>
                </w:rPr>
                <w:t>Amended and Restated Employment, Confidentiality and Noncompete Agreement, dated March 7, 2016, by and between Sharon Price John and</w:t>
              </w:r>
            </w:hyperlink>
          </w:p>
        </w:tc>
        <w:tc>
          <w:tcPr>
            <w:tcW w:w="200" w:type="dxa"/>
            <w:vAlign w:val="bottom"/>
            <w:gridSpan w:val="7"/>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26"/>
          </w:tcPr>
          <w:p>
            <w:pPr>
              <w:spacing w:after="0" w:line="188" w:lineRule="exact"/>
              <w:rPr>
                <w:rFonts w:ascii="Times New Roman" w:cs="Times New Roman" w:eastAsia="Times New Roman" w:hAnsi="Times New Roman"/>
                <w:sz w:val="17"/>
                <w:szCs w:val="17"/>
                <w:color w:val="0000EE"/>
              </w:rPr>
            </w:pPr>
            <w:hyperlink r:id="rId106">
              <w:r>
                <w:rPr>
                  <w:rFonts w:ascii="Times New Roman" w:cs="Times New Roman" w:eastAsia="Times New Roman" w:hAnsi="Times New Roman"/>
                  <w:sz w:val="17"/>
                  <w:szCs w:val="17"/>
                  <w:color w:val="0000EE"/>
                </w:rPr>
                <w:t>Build-A-Bear Workshop, Inc. (incorporated by reference from Exhibit 10.3 on our Current Report on Form 8-K, filed on March 11, 2016)</w:t>
              </w:r>
            </w:hyperlink>
          </w:p>
        </w:tc>
      </w:tr>
      <w:tr>
        <w:trPr>
          <w:trHeight w:val="20"/>
        </w:trPr>
        <w:tc>
          <w:tcPr>
            <w:tcW w:w="1020" w:type="dxa"/>
            <w:vAlign w:val="bottom"/>
          </w:tcPr>
          <w:p>
            <w:pPr>
              <w:spacing w:after="0" w:line="20" w:lineRule="exact"/>
              <w:rPr>
                <w:sz w:val="1"/>
                <w:szCs w:val="1"/>
                <w:color w:val="auto"/>
              </w:rPr>
            </w:pPr>
          </w:p>
        </w:tc>
        <w:tc>
          <w:tcPr>
            <w:tcW w:w="5640" w:type="dxa"/>
            <w:vAlign w:val="bottom"/>
            <w:gridSpan w:val="8"/>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10.6.1*</w:t>
            </w:r>
          </w:p>
        </w:tc>
        <w:tc>
          <w:tcPr>
            <w:tcW w:w="1010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107">
              <w:r>
                <w:rPr>
                  <w:rFonts w:ascii="Times New Roman" w:cs="Times New Roman" w:eastAsia="Times New Roman" w:hAnsi="Times New Roman"/>
                  <w:sz w:val="17"/>
                  <w:szCs w:val="17"/>
                  <w:color w:val="0000EE"/>
                </w:rPr>
                <w:t>Amended and Restated Employment, Confidentiality and Noncompete Agreement, dated March 7, 2016, by and between Jennifer Kretchmar and</w:t>
              </w:r>
            </w:hyperlink>
          </w:p>
        </w:tc>
        <w:tc>
          <w:tcPr>
            <w:tcW w:w="120" w:type="dxa"/>
            <w:vAlign w:val="bottom"/>
            <w:gridSpan w:val="4"/>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26"/>
          </w:tcPr>
          <w:p>
            <w:pPr>
              <w:spacing w:after="0" w:line="188" w:lineRule="exact"/>
              <w:rPr>
                <w:rFonts w:ascii="Times New Roman" w:cs="Times New Roman" w:eastAsia="Times New Roman" w:hAnsi="Times New Roman"/>
                <w:sz w:val="17"/>
                <w:szCs w:val="17"/>
                <w:color w:val="0000EE"/>
              </w:rPr>
            </w:pPr>
            <w:hyperlink r:id="rId107">
              <w:r>
                <w:rPr>
                  <w:rFonts w:ascii="Times New Roman" w:cs="Times New Roman" w:eastAsia="Times New Roman" w:hAnsi="Times New Roman"/>
                  <w:sz w:val="17"/>
                  <w:szCs w:val="17"/>
                  <w:color w:val="0000EE"/>
                </w:rPr>
                <w:t>Build-A-Bear Workshop, Inc. (incorporated by reference from Exhibit 10.4 on our Current Report on Form 8-K, filed on March 11, 2016)</w:t>
              </w:r>
            </w:hyperlink>
          </w:p>
        </w:tc>
      </w:tr>
      <w:tr>
        <w:trPr>
          <w:trHeight w:val="20"/>
        </w:trPr>
        <w:tc>
          <w:tcPr>
            <w:tcW w:w="1020" w:type="dxa"/>
            <w:vAlign w:val="bottom"/>
          </w:tcPr>
          <w:p>
            <w:pPr>
              <w:spacing w:after="0" w:line="20" w:lineRule="exact"/>
              <w:rPr>
                <w:sz w:val="1"/>
                <w:szCs w:val="1"/>
                <w:color w:val="auto"/>
              </w:rPr>
            </w:pPr>
          </w:p>
        </w:tc>
        <w:tc>
          <w:tcPr>
            <w:tcW w:w="5640" w:type="dxa"/>
            <w:vAlign w:val="bottom"/>
            <w:gridSpan w:val="8"/>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10.6.2*</w:t>
            </w:r>
          </w:p>
        </w:tc>
        <w:tc>
          <w:tcPr>
            <w:tcW w:w="10220" w:type="dxa"/>
            <w:vAlign w:val="bottom"/>
            <w:gridSpan w:val="26"/>
          </w:tcPr>
          <w:p>
            <w:pPr>
              <w:spacing w:after="0"/>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Separation Agreement and General Release by and between Jennifer Kretchmar and Build-A-Bear Workshop, Inc. dated February 4, 2024</w:t>
              </w:r>
            </w:hyperlink>
          </w:p>
        </w:tc>
      </w:tr>
      <w:tr>
        <w:trPr>
          <w:trHeight w:val="188"/>
        </w:trPr>
        <w:tc>
          <w:tcPr>
            <w:tcW w:w="1020" w:type="dxa"/>
            <w:vAlign w:val="bottom"/>
          </w:tcPr>
          <w:p>
            <w:pPr>
              <w:spacing w:after="0"/>
              <w:rPr>
                <w:sz w:val="16"/>
                <w:szCs w:val="16"/>
                <w:color w:val="auto"/>
              </w:rPr>
            </w:pPr>
          </w:p>
        </w:tc>
        <w:tc>
          <w:tcPr>
            <w:tcW w:w="7520" w:type="dxa"/>
            <w:vAlign w:val="bottom"/>
            <w:tcBorders>
              <w:top w:val="single" w:sz="8" w:color="0000EE"/>
              <w:bottom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(incorporated by reference from Exhibit 10.1 on our Current Report on Form 8-K filed on February 5, 2024)</w:t>
              </w:r>
            </w:hyperlink>
          </w:p>
        </w:tc>
        <w:tc>
          <w:tcPr>
            <w:tcW w:w="2060" w:type="dxa"/>
            <w:vAlign w:val="bottom"/>
            <w:tcBorders>
              <w:top w:val="single" w:sz="8" w:color="0000EE"/>
            </w:tcBorders>
            <w:gridSpan w:val="3"/>
          </w:tcPr>
          <w:p>
            <w:pPr>
              <w:spacing w:after="0"/>
              <w:rPr>
                <w:sz w:val="16"/>
                <w:szCs w:val="16"/>
                <w:color w:val="auto"/>
              </w:rPr>
            </w:pPr>
          </w:p>
        </w:tc>
        <w:tc>
          <w:tcPr>
            <w:tcW w:w="640" w:type="dxa"/>
            <w:vAlign w:val="bottom"/>
            <w:gridSpan w:val="13"/>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10.6.3*</w:t>
            </w:r>
          </w:p>
        </w:tc>
        <w:tc>
          <w:tcPr>
            <w:tcW w:w="998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109">
              <w:r>
                <w:rPr>
                  <w:rFonts w:ascii="Times New Roman" w:cs="Times New Roman" w:eastAsia="Times New Roman" w:hAnsi="Times New Roman"/>
                  <w:sz w:val="17"/>
                  <w:szCs w:val="17"/>
                  <w:color w:val="0000EE"/>
                </w:rPr>
                <w:t>Consulting Agreement by and between Jennifer Kretchmar and Build-A-Bear Workshop, Inc., dated February 4, 2024 (incorporate by reference</w:t>
              </w:r>
            </w:hyperlink>
          </w:p>
        </w:tc>
        <w:tc>
          <w:tcPr>
            <w:tcW w:w="240" w:type="dxa"/>
            <w:vAlign w:val="bottom"/>
            <w:gridSpan w:val="9"/>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26"/>
          </w:tcPr>
          <w:p>
            <w:pPr>
              <w:spacing w:after="0" w:line="188" w:lineRule="exact"/>
              <w:rPr>
                <w:rFonts w:ascii="Times New Roman" w:cs="Times New Roman" w:eastAsia="Times New Roman" w:hAnsi="Times New Roman"/>
                <w:sz w:val="17"/>
                <w:szCs w:val="17"/>
                <w:color w:val="0000EE"/>
              </w:rPr>
            </w:pPr>
            <w:hyperlink r:id="rId109">
              <w:r>
                <w:rPr>
                  <w:rFonts w:ascii="Times New Roman" w:cs="Times New Roman" w:eastAsia="Times New Roman" w:hAnsi="Times New Roman"/>
                  <w:sz w:val="17"/>
                  <w:szCs w:val="17"/>
                  <w:color w:val="0000EE"/>
                </w:rPr>
                <w:t>from Exhibit 10.2 on our Current Report on Form 8-K filed on February 5, 2024)</w:t>
              </w:r>
            </w:hyperlink>
          </w:p>
        </w:tc>
      </w:tr>
      <w:tr>
        <w:trPr>
          <w:trHeight w:val="435"/>
        </w:trPr>
        <w:tc>
          <w:tcPr>
            <w:tcW w:w="1020" w:type="dxa"/>
            <w:vAlign w:val="bottom"/>
          </w:tcPr>
          <w:p>
            <w:pPr>
              <w:spacing w:after="0"/>
              <w:rPr>
                <w:sz w:val="24"/>
                <w:szCs w:val="24"/>
                <w:color w:val="auto"/>
              </w:rPr>
            </w:pPr>
          </w:p>
        </w:tc>
        <w:tc>
          <w:tcPr>
            <w:tcW w:w="5100" w:type="dxa"/>
            <w:vAlign w:val="bottom"/>
            <w:tcBorders>
              <w:top w:val="single" w:sz="8" w:color="0000EE"/>
            </w:tcBorders>
            <w:gridSpan w:val="7"/>
          </w:tcPr>
          <w:p>
            <w:pPr>
              <w:ind w:left="4520"/>
              <w:spacing w:after="0"/>
              <w:rPr>
                <w:sz w:val="20"/>
                <w:szCs w:val="20"/>
                <w:color w:val="auto"/>
              </w:rPr>
            </w:pPr>
            <w:r>
              <w:rPr>
                <w:rFonts w:ascii="Times New Roman" w:cs="Times New Roman" w:eastAsia="Times New Roman" w:hAnsi="Times New Roman"/>
                <w:sz w:val="17"/>
                <w:szCs w:val="17"/>
                <w:color w:val="auto"/>
              </w:rPr>
              <w:t>67</w:t>
            </w:r>
          </w:p>
        </w:tc>
        <w:tc>
          <w:tcPr>
            <w:tcW w:w="5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10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88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Amended and Restated Employment, Confidentiality and Noncompete Agreement, dated March 7, 2016, by and between Vojin Todorovic and</w:t>
              </w:r>
            </w:hyperlink>
          </w:p>
        </w:tc>
        <w:tc>
          <w:tcPr>
            <w:tcW w:w="340" w:type="dxa"/>
            <w:vAlign w:val="bottom"/>
            <w:gridSpan w:val="10"/>
          </w:tcPr>
          <w:p>
            <w:pPr>
              <w:spacing w:after="0"/>
              <w:rPr>
                <w:sz w:val="17"/>
                <w:szCs w:val="17"/>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30"/>
          </w:tcPr>
          <w:p>
            <w:pPr>
              <w:spacing w:after="0" w:line="188" w:lineRule="exact"/>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Build-A-Bear Workshop, Inc. (incorporated by reference from Exhibit 10.5 on our Current Report on Form 8-K, filed on March 11,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10.8*</w:t>
            </w:r>
          </w:p>
        </w:tc>
        <w:tc>
          <w:tcPr>
            <w:tcW w:w="10220" w:type="dxa"/>
            <w:vAlign w:val="bottom"/>
            <w:gridSpan w:val="30"/>
          </w:tcPr>
          <w:p>
            <w:pPr>
              <w:spacing w:after="0"/>
              <w:rPr>
                <w:rFonts w:ascii="Times New Roman" w:cs="Times New Roman" w:eastAsia="Times New Roman" w:hAnsi="Times New Roman"/>
                <w:sz w:val="17"/>
                <w:szCs w:val="17"/>
                <w:color w:val="0000EE"/>
              </w:rPr>
            </w:pPr>
            <w:hyperlink r:id="rId111">
              <w:r>
                <w:rPr>
                  <w:rFonts w:ascii="Times New Roman" w:cs="Times New Roman" w:eastAsia="Times New Roman" w:hAnsi="Times New Roman"/>
                  <w:sz w:val="17"/>
                  <w:szCs w:val="17"/>
                  <w:color w:val="0000EE"/>
                </w:rPr>
                <w:t>Employment, Confidentiality and Noncompete Agreement, effective as of September 16, 2024 by and between David Henderson and Build-A-</w:t>
              </w:r>
            </w:hyperlink>
          </w:p>
        </w:tc>
      </w:tr>
      <w:tr>
        <w:trPr>
          <w:trHeight w:val="188"/>
        </w:trPr>
        <w:tc>
          <w:tcPr>
            <w:tcW w:w="1020" w:type="dxa"/>
            <w:vAlign w:val="bottom"/>
          </w:tcPr>
          <w:p>
            <w:pPr>
              <w:spacing w:after="0"/>
              <w:rPr>
                <w:sz w:val="16"/>
                <w:szCs w:val="16"/>
                <w:color w:val="auto"/>
              </w:rPr>
            </w:pPr>
          </w:p>
        </w:tc>
        <w:tc>
          <w:tcPr>
            <w:tcW w:w="9240" w:type="dxa"/>
            <w:vAlign w:val="bottom"/>
            <w:tcBorders>
              <w:top w:val="single" w:sz="8" w:color="0000EE"/>
              <w:bottom w:val="single" w:sz="8" w:color="0000EE"/>
            </w:tcBorders>
            <w:gridSpan w:val="13"/>
          </w:tcPr>
          <w:p>
            <w:pPr>
              <w:spacing w:after="0" w:line="188" w:lineRule="exact"/>
              <w:rPr>
                <w:rFonts w:ascii="Times New Roman" w:cs="Times New Roman" w:eastAsia="Times New Roman" w:hAnsi="Times New Roman"/>
                <w:sz w:val="17"/>
                <w:szCs w:val="17"/>
                <w:color w:val="0000EE"/>
              </w:rPr>
            </w:pPr>
            <w:hyperlink r:id="rId111">
              <w:r>
                <w:rPr>
                  <w:rFonts w:ascii="Times New Roman" w:cs="Times New Roman" w:eastAsia="Times New Roman" w:hAnsi="Times New Roman"/>
                  <w:sz w:val="17"/>
                  <w:szCs w:val="17"/>
                  <w:color w:val="0000EE"/>
                </w:rPr>
                <w:t>Bear Workshop, Inc. (incorporated by reference from Exhibit 10.1 on our Current Report on Form 8-K, filed on September 12, 2024)</w:t>
              </w:r>
            </w:hyperlink>
          </w:p>
        </w:tc>
        <w:tc>
          <w:tcPr>
            <w:tcW w:w="680" w:type="dxa"/>
            <w:vAlign w:val="bottom"/>
            <w:tcBorders>
              <w:top w:val="single" w:sz="8" w:color="0000EE"/>
            </w:tcBorders>
            <w:gridSpan w:val="8"/>
          </w:tcPr>
          <w:p>
            <w:pPr>
              <w:spacing w:after="0"/>
              <w:rPr>
                <w:sz w:val="16"/>
                <w:szCs w:val="16"/>
                <w:color w:val="auto"/>
              </w:rPr>
            </w:pPr>
          </w:p>
        </w:tc>
        <w:tc>
          <w:tcPr>
            <w:tcW w:w="300" w:type="dxa"/>
            <w:vAlign w:val="bottom"/>
            <w:gridSpan w:val="9"/>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10140" w:type="dxa"/>
            <w:vAlign w:val="bottom"/>
            <w:tcBorders>
              <w:bottom w:val="single" w:sz="8" w:color="0000EE"/>
            </w:tcBorders>
            <w:gridSpan w:val="28"/>
          </w:tcPr>
          <w:p>
            <w:pPr>
              <w:spacing w:after="0"/>
              <w:rPr>
                <w:rFonts w:ascii="Times New Roman" w:cs="Times New Roman" w:eastAsia="Times New Roman" w:hAnsi="Times New Roman"/>
                <w:sz w:val="17"/>
                <w:szCs w:val="17"/>
                <w:color w:val="0000EE"/>
              </w:rPr>
            </w:pPr>
            <w:hyperlink r:id="rId112">
              <w:r>
                <w:rPr>
                  <w:rFonts w:ascii="Times New Roman" w:cs="Times New Roman" w:eastAsia="Times New Roman" w:hAnsi="Times New Roman"/>
                  <w:sz w:val="17"/>
                  <w:szCs w:val="17"/>
                  <w:color w:val="0000EE"/>
                </w:rPr>
                <w:t>Form of Indemnification Agreement between the Registrant and its directors and executive officers (incorporated by reference from Exhibit 10.11</w:t>
              </w:r>
            </w:hyperlink>
          </w:p>
        </w:tc>
        <w:tc>
          <w:tcPr>
            <w:tcW w:w="80" w:type="dxa"/>
            <w:vAlign w:val="bottom"/>
            <w:gridSpan w:val="2"/>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6940" w:type="dxa"/>
            <w:vAlign w:val="bottom"/>
            <w:tcBorders>
              <w:bottom w:val="single" w:sz="8" w:color="0000EE"/>
            </w:tcBorders>
            <w:gridSpan w:val="8"/>
          </w:tcPr>
          <w:p>
            <w:pPr>
              <w:spacing w:after="0" w:line="188" w:lineRule="exact"/>
              <w:rPr>
                <w:rFonts w:ascii="Times New Roman" w:cs="Times New Roman" w:eastAsia="Times New Roman" w:hAnsi="Times New Roman"/>
                <w:sz w:val="17"/>
                <w:szCs w:val="17"/>
                <w:color w:val="0000EE"/>
              </w:rPr>
            </w:pPr>
            <w:hyperlink r:id="rId112">
              <w:r>
                <w:rPr>
                  <w:rFonts w:ascii="Times New Roman" w:cs="Times New Roman" w:eastAsia="Times New Roman" w:hAnsi="Times New Roman"/>
                  <w:sz w:val="17"/>
                  <w:szCs w:val="17"/>
                  <w:color w:val="0000EE"/>
                </w:rPr>
                <w:t>to our Registration Statement on Form S-1, filed on August 12, 2004, Registration No. 333-118142)</w:t>
              </w:r>
            </w:hyperlink>
          </w:p>
        </w:tc>
        <w:tc>
          <w:tcPr>
            <w:tcW w:w="3280" w:type="dxa"/>
            <w:vAlign w:val="bottom"/>
            <w:gridSpan w:val="22"/>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97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Revolving Credit and Security Agreement dated as of August 25, 2020 among the Company and Build-A-Bear Retail Management, Inc., as</w:t>
              </w:r>
            </w:hyperlink>
          </w:p>
        </w:tc>
        <w:tc>
          <w:tcPr>
            <w:tcW w:w="520" w:type="dxa"/>
            <w:vAlign w:val="bottom"/>
            <w:gridSpan w:val="13"/>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0140" w:type="dxa"/>
            <w:vAlign w:val="bottom"/>
            <w:tcBorders>
              <w:bottom w:val="single" w:sz="8" w:color="0000EE"/>
            </w:tcBorders>
            <w:gridSpan w:val="28"/>
          </w:tcPr>
          <w:p>
            <w:pPr>
              <w:spacing w:after="0" w:line="188" w:lineRule="exact"/>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borrowers; Build-A-Bear Workshop Franchise Holdings, Inc., Build-A-Bear Entertainment, LLC, Build-A-Bear Card Services LLC and Build-A-</w:t>
              </w:r>
            </w:hyperlink>
          </w:p>
        </w:tc>
        <w:tc>
          <w:tcPr>
            <w:tcW w:w="80" w:type="dxa"/>
            <w:vAlign w:val="bottom"/>
            <w:gridSpan w:val="2"/>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10120" w:type="dxa"/>
            <w:vAlign w:val="bottom"/>
            <w:tcBorders>
              <w:bottom w:val="single" w:sz="8" w:color="0000EE"/>
            </w:tcBorders>
            <w:gridSpan w:val="27"/>
          </w:tcPr>
          <w:p>
            <w:pPr>
              <w:spacing w:after="0" w:line="188" w:lineRule="exact"/>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Bear Workshop Canada, Ltd., as guarantors; the lenders party thereto; and PNC Bank, National Association, as agent for lenders (incorporated by</w:t>
              </w:r>
            </w:hyperlink>
          </w:p>
        </w:tc>
        <w:tc>
          <w:tcPr>
            <w:tcW w:w="100" w:type="dxa"/>
            <w:vAlign w:val="bottom"/>
            <w:gridSpan w:val="3"/>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30"/>
          </w:tcPr>
          <w:p>
            <w:pPr>
              <w:spacing w:after="0" w:line="188" w:lineRule="exact"/>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reference from Exhibit 10.1 of our Current Report on Form 8-K, filed on August 31, 2020).</w:t>
              </w:r>
            </w:hyperlink>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10.10.1</w:t>
            </w:r>
          </w:p>
        </w:tc>
        <w:tc>
          <w:tcPr>
            <w:tcW w:w="10220" w:type="dxa"/>
            <w:vAlign w:val="bottom"/>
            <w:gridSpan w:val="30"/>
          </w:tcPr>
          <w:p>
            <w:pPr>
              <w:spacing w:after="0"/>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First Amendment to Revolving Credit and Security Agreement dated as of December 17, 2021 among the Company and Build-A-Bear Retail</w:t>
              </w:r>
            </w:hyperlink>
          </w:p>
        </w:tc>
      </w:tr>
      <w:tr>
        <w:trPr>
          <w:trHeight w:val="188"/>
        </w:trPr>
        <w:tc>
          <w:tcPr>
            <w:tcW w:w="1020" w:type="dxa"/>
            <w:vAlign w:val="bottom"/>
          </w:tcPr>
          <w:p>
            <w:pPr>
              <w:spacing w:after="0"/>
              <w:rPr>
                <w:sz w:val="16"/>
                <w:szCs w:val="16"/>
                <w:color w:val="auto"/>
              </w:rPr>
            </w:pPr>
          </w:p>
        </w:tc>
        <w:tc>
          <w:tcPr>
            <w:tcW w:w="9680" w:type="dxa"/>
            <w:vAlign w:val="bottom"/>
            <w:tcBorders>
              <w:top w:val="single" w:sz="8" w:color="0000EE"/>
              <w:bottom w:val="single" w:sz="8" w:color="0000EE"/>
            </w:tcBorders>
            <w:gridSpan w:val="16"/>
          </w:tcPr>
          <w:p>
            <w:pPr>
              <w:spacing w:after="0" w:line="188"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Management, Inc., as borrowers; Build-A-Bear Workshop Franchise Holdings, Inc., Build-A-Bear Entertainment, LLC, Build-A-Bear Card</w:t>
              </w:r>
            </w:hyperlink>
          </w:p>
        </w:tc>
        <w:tc>
          <w:tcPr>
            <w:tcW w:w="120" w:type="dxa"/>
            <w:vAlign w:val="bottom"/>
            <w:tcBorders>
              <w:top w:val="single" w:sz="8" w:color="0000EE"/>
            </w:tcBorders>
            <w:gridSpan w:val="3"/>
          </w:tcPr>
          <w:p>
            <w:pPr>
              <w:spacing w:after="0"/>
              <w:rPr>
                <w:sz w:val="16"/>
                <w:szCs w:val="16"/>
                <w:color w:val="auto"/>
              </w:rPr>
            </w:pPr>
          </w:p>
        </w:tc>
        <w:tc>
          <w:tcPr>
            <w:tcW w:w="420" w:type="dxa"/>
            <w:vAlign w:val="bottom"/>
            <w:gridSpan w:val="11"/>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1004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Services LLC and Build-A-Bear Workshop Canada, Ltd., as guarantors; the lenders party thereto; and PNC Bank, National Association, as agent</w:t>
              </w:r>
            </w:hyperlink>
          </w:p>
        </w:tc>
        <w:tc>
          <w:tcPr>
            <w:tcW w:w="180" w:type="dxa"/>
            <w:vAlign w:val="bottom"/>
            <w:gridSpan w:val="5"/>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8540" w:type="dxa"/>
            <w:vAlign w:val="bottom"/>
            <w:tcBorders>
              <w:bottom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for lenders (incorporated by reference from Exhibit 10.1 on our Current Report on Form 8-K, filed on December 22, 2021)</w:t>
              </w:r>
            </w:hyperlink>
          </w:p>
        </w:tc>
        <w:tc>
          <w:tcPr>
            <w:tcW w:w="1680" w:type="dxa"/>
            <w:vAlign w:val="bottom"/>
            <w:gridSpan w:val="19"/>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10.10.2</w:t>
            </w:r>
          </w:p>
        </w:tc>
        <w:tc>
          <w:tcPr>
            <w:tcW w:w="1002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Second Amendment to Revolving Credit and Security Agreement dated as of November 21, 2022 among the Company and Build-A-Bear Retail</w:t>
              </w:r>
            </w:hyperlink>
          </w:p>
        </w:tc>
        <w:tc>
          <w:tcPr>
            <w:tcW w:w="200" w:type="dxa"/>
            <w:vAlign w:val="bottom"/>
            <w:gridSpan w:val="6"/>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9680" w:type="dxa"/>
            <w:vAlign w:val="bottom"/>
            <w:tcBorders>
              <w:bottom w:val="single" w:sz="8" w:color="0000EE"/>
            </w:tcBorders>
            <w:gridSpan w:val="16"/>
          </w:tcPr>
          <w:p>
            <w:pPr>
              <w:spacing w:after="0" w:line="188"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Management, Inc., as borrowers; Build-A-Bear Workshop Franchise Holdings, Inc., Build-A-Bear Entertainment, LLC, Build-A-Bear Card</w:t>
              </w:r>
            </w:hyperlink>
          </w:p>
        </w:tc>
        <w:tc>
          <w:tcPr>
            <w:tcW w:w="540" w:type="dxa"/>
            <w:vAlign w:val="bottom"/>
            <w:gridSpan w:val="14"/>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1004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Services LLC and Build-A-Bear Workshop Canada, Ltd., as guarantors; the lenders party thereto; and PNC Bank, National Association, as agent</w:t>
              </w:r>
            </w:hyperlink>
          </w:p>
        </w:tc>
        <w:tc>
          <w:tcPr>
            <w:tcW w:w="180" w:type="dxa"/>
            <w:vAlign w:val="bottom"/>
            <w:gridSpan w:val="5"/>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8520" w:type="dxa"/>
            <w:vAlign w:val="bottom"/>
            <w:tcBorders>
              <w:bottom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for lenders (incorporated by reference from Exhibit 10.1 of our Current Report on Form 8-K, filed on November 23, 2022)</w:t>
              </w:r>
            </w:hyperlink>
          </w:p>
        </w:tc>
        <w:tc>
          <w:tcPr>
            <w:tcW w:w="1700" w:type="dxa"/>
            <w:vAlign w:val="bottom"/>
            <w:gridSpan w:val="20"/>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10220" w:type="dxa"/>
            <w:vAlign w:val="bottom"/>
            <w:gridSpan w:val="30"/>
          </w:tcPr>
          <w:p>
            <w:pPr>
              <w:spacing w:after="0"/>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Facility Construction Agreement dated December 22, 2005 between the Registrant and Duke Construction Limited Partnership (incorporated by</w:t>
              </w:r>
            </w:hyperlink>
          </w:p>
        </w:tc>
      </w:tr>
      <w:tr>
        <w:trPr>
          <w:trHeight w:val="188"/>
        </w:trPr>
        <w:tc>
          <w:tcPr>
            <w:tcW w:w="1020" w:type="dxa"/>
            <w:vAlign w:val="bottom"/>
          </w:tcPr>
          <w:p>
            <w:pPr>
              <w:spacing w:after="0"/>
              <w:rPr>
                <w:sz w:val="16"/>
                <w:szCs w:val="16"/>
                <w:color w:val="auto"/>
              </w:rPr>
            </w:pPr>
          </w:p>
        </w:tc>
        <w:tc>
          <w:tcPr>
            <w:tcW w:w="7380" w:type="dxa"/>
            <w:vAlign w:val="bottom"/>
            <w:tcBorders>
              <w:top w:val="single" w:sz="8" w:color="0000EE"/>
              <w:bottom w:val="single" w:sz="8" w:color="0000EE"/>
            </w:tcBorders>
            <w:gridSpan w:val="9"/>
          </w:tcPr>
          <w:p>
            <w:pPr>
              <w:spacing w:after="0" w:line="188"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reference from Exhibit 10.35 to our Annual Report on Form 10-K, for the year ended December 31, 2005)</w:t>
              </w:r>
            </w:hyperlink>
          </w:p>
        </w:tc>
        <w:tc>
          <w:tcPr>
            <w:tcW w:w="2620" w:type="dxa"/>
            <w:vAlign w:val="bottom"/>
            <w:tcBorders>
              <w:top w:val="single" w:sz="8" w:color="0000EE"/>
            </w:tcBorders>
            <w:gridSpan w:val="14"/>
          </w:tcPr>
          <w:p>
            <w:pPr>
              <w:spacing w:after="0"/>
              <w:rPr>
                <w:sz w:val="16"/>
                <w:szCs w:val="16"/>
                <w:color w:val="auto"/>
              </w:rPr>
            </w:pPr>
          </w:p>
        </w:tc>
        <w:tc>
          <w:tcPr>
            <w:tcW w:w="220" w:type="dxa"/>
            <w:vAlign w:val="bottom"/>
            <w:gridSpan w:val="7"/>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10140" w:type="dxa"/>
            <w:vAlign w:val="bottom"/>
            <w:tcBorders>
              <w:bottom w:val="single" w:sz="8" w:color="0000EE"/>
            </w:tcBorders>
            <w:gridSpan w:val="28"/>
          </w:tcPr>
          <w:p>
            <w:pPr>
              <w:spacing w:after="0"/>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Real Estate Purchase Agreement dated December 19, 2005 between Duke Realty Ohio and the Registrant (incorporated by reference from Exhibit</w:t>
              </w:r>
            </w:hyperlink>
          </w:p>
        </w:tc>
        <w:tc>
          <w:tcPr>
            <w:tcW w:w="80" w:type="dxa"/>
            <w:vAlign w:val="bottom"/>
            <w:gridSpan w:val="2"/>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5760" w:type="dxa"/>
            <w:vAlign w:val="bottom"/>
            <w:tcBorders>
              <w:bottom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36</w:t>
              </w:r>
              <w:r>
                <w:rPr>
                  <w:rFonts w:ascii="Times New Roman" w:cs="Times New Roman" w:eastAsia="Times New Roman" w:hAnsi="Times New Roman"/>
                  <w:sz w:val="17"/>
                  <w:szCs w:val="17"/>
                  <w:color w:val="0000EE"/>
                </w:rPr>
                <w:t xml:space="preserve"> to our Annual Report on Form 10-K, for the year ended December 31, 2005)</w:t>
              </w:r>
            </w:hyperlink>
          </w:p>
        </w:tc>
        <w:tc>
          <w:tcPr>
            <w:tcW w:w="4460" w:type="dxa"/>
            <w:vAlign w:val="bottom"/>
            <w:gridSpan w:val="24"/>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11.1</w:t>
            </w:r>
          </w:p>
        </w:tc>
        <w:tc>
          <w:tcPr>
            <w:tcW w:w="101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Statement regarding computation of earnings per share (incorporated by reference from Note 10 of the Registrant’s audited consolidated financial</w:t>
            </w:r>
          </w:p>
        </w:tc>
        <w:tc>
          <w:tcPr>
            <w:tcW w:w="120" w:type="dxa"/>
            <w:vAlign w:val="bottom"/>
            <w:gridSpan w:val="4"/>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10220" w:type="dxa"/>
            <w:vAlign w:val="bottom"/>
            <w:gridSpan w:val="30"/>
          </w:tcPr>
          <w:p>
            <w:pPr>
              <w:spacing w:after="0" w:line="188" w:lineRule="exact"/>
              <w:rPr>
                <w:sz w:val="20"/>
                <w:szCs w:val="20"/>
                <w:color w:val="auto"/>
              </w:rPr>
            </w:pPr>
            <w:r>
              <w:rPr>
                <w:rFonts w:ascii="Times New Roman" w:cs="Times New Roman" w:eastAsia="Times New Roman" w:hAnsi="Times New Roman"/>
                <w:sz w:val="17"/>
                <w:szCs w:val="17"/>
                <w:color w:val="0000EE"/>
              </w:rPr>
              <w:t>statements included herein)</w:t>
            </w: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2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1022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Build-A-Bear Workshop Insider Trading Policy</w:t>
            </w: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3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List of Subsidiaries of the Registrant</w:t>
            </w:r>
          </w:p>
        </w:tc>
        <w:tc>
          <w:tcPr>
            <w:tcW w:w="6920" w:type="dxa"/>
            <w:vAlign w:val="bottom"/>
            <w:gridSpan w:val="25"/>
          </w:tcPr>
          <w:p>
            <w:pPr>
              <w:spacing w:after="0"/>
              <w:rPr>
                <w:sz w:val="24"/>
                <w:szCs w:val="24"/>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22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Consent of Ernst &amp; Young LLP</w:t>
            </w:r>
          </w:p>
        </w:tc>
        <w:tc>
          <w:tcPr>
            <w:tcW w:w="340" w:type="dxa"/>
            <w:vAlign w:val="bottom"/>
            <w:tcBorders>
              <w:top w:val="single" w:sz="8" w:color="0000EE"/>
            </w:tcBorders>
          </w:tcPr>
          <w:p>
            <w:pPr>
              <w:spacing w:after="0"/>
              <w:rPr>
                <w:sz w:val="24"/>
                <w:szCs w:val="24"/>
                <w:color w:val="auto"/>
              </w:rPr>
            </w:pPr>
          </w:p>
        </w:tc>
        <w:tc>
          <w:tcPr>
            <w:tcW w:w="7680" w:type="dxa"/>
            <w:vAlign w:val="bottom"/>
            <w:gridSpan w:val="26"/>
          </w:tcPr>
          <w:p>
            <w:pPr>
              <w:spacing w:after="0"/>
              <w:rPr>
                <w:sz w:val="24"/>
                <w:szCs w:val="24"/>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1022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Rule 13a-14(a)/15d-14(a) certification (pursuant to Section 302 of the Sarbanes-Oxley Act of 2002, executed by the President and Chief Executive</w:t>
            </w:r>
          </w:p>
        </w:tc>
      </w:tr>
      <w:tr>
        <w:trPr>
          <w:trHeight w:val="188"/>
        </w:trPr>
        <w:tc>
          <w:tcPr>
            <w:tcW w:w="1020" w:type="dxa"/>
            <w:vAlign w:val="bottom"/>
          </w:tcPr>
          <w:p>
            <w:pPr>
              <w:spacing w:after="0"/>
              <w:rPr>
                <w:sz w:val="16"/>
                <w:szCs w:val="16"/>
                <w:color w:val="auto"/>
              </w:rPr>
            </w:pPr>
          </w:p>
        </w:tc>
        <w:tc>
          <w:tcPr>
            <w:tcW w:w="560" w:type="dxa"/>
            <w:vAlign w:val="bottom"/>
            <w:tcBorders>
              <w:top w:val="single" w:sz="8" w:color="0000EE"/>
              <w:bottom w:val="single" w:sz="8" w:color="0000EE"/>
            </w:tcBorders>
          </w:tcPr>
          <w:p>
            <w:pPr>
              <w:spacing w:after="0" w:line="188" w:lineRule="exact"/>
              <w:rPr>
                <w:sz w:val="20"/>
                <w:szCs w:val="20"/>
                <w:color w:val="auto"/>
              </w:rPr>
            </w:pPr>
            <w:r>
              <w:rPr>
                <w:rFonts w:ascii="Times New Roman" w:cs="Times New Roman" w:eastAsia="Times New Roman" w:hAnsi="Times New Roman"/>
                <w:sz w:val="17"/>
                <w:szCs w:val="17"/>
                <w:color w:val="0000EE"/>
                <w:w w:val="98"/>
              </w:rPr>
              <w:t>Officer)</w:t>
            </w:r>
          </w:p>
        </w:tc>
        <w:tc>
          <w:tcPr>
            <w:tcW w:w="9620" w:type="dxa"/>
            <w:vAlign w:val="bottom"/>
            <w:tcBorders>
              <w:top w:val="single" w:sz="8" w:color="0000EE"/>
            </w:tcBorders>
            <w:gridSpan w:val="28"/>
          </w:tcPr>
          <w:p>
            <w:pPr>
              <w:spacing w:after="0"/>
              <w:rPr>
                <w:sz w:val="16"/>
                <w:szCs w:val="16"/>
                <w:color w:val="auto"/>
              </w:rPr>
            </w:pPr>
          </w:p>
        </w:tc>
        <w:tc>
          <w:tcPr>
            <w:tcW w:w="40" w:type="dxa"/>
            <w:vAlign w:val="bottom"/>
          </w:tcPr>
          <w:p>
            <w:pPr>
              <w:spacing w:after="0"/>
              <w:rPr>
                <w:sz w:val="16"/>
                <w:szCs w:val="16"/>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7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Rule 13a-14(a)/15d-14(a) certification (pursuant to Section 302 of the Sarbanes-Oxley Act of 2002, executed by the Chief Financial Officer)</w:t>
            </w:r>
          </w:p>
        </w:tc>
        <w:tc>
          <w:tcPr>
            <w:tcW w:w="460" w:type="dxa"/>
            <w:vAlign w:val="bottom"/>
            <w:gridSpan w:val="12"/>
          </w:tcPr>
          <w:p>
            <w:pPr>
              <w:spacing w:after="0"/>
              <w:rPr>
                <w:sz w:val="24"/>
                <w:szCs w:val="24"/>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9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Section 1350 Certification (pursuant to Section 906 of the Sarbanes-Oxley Act of 2002, executed by the President and Chief Executive Officer)</w:t>
            </w:r>
          </w:p>
        </w:tc>
        <w:tc>
          <w:tcPr>
            <w:tcW w:w="260" w:type="dxa"/>
            <w:vAlign w:val="bottom"/>
            <w:gridSpan w:val="8"/>
          </w:tcPr>
          <w:p>
            <w:pPr>
              <w:spacing w:after="0"/>
              <w:rPr>
                <w:sz w:val="24"/>
                <w:szCs w:val="24"/>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1022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Section 1350 Certification (pursuant to Section 906 of the Sarbanes-Oxley Act of 2002, executed by the Chief Financial Officer)</w:t>
            </w:r>
          </w:p>
        </w:tc>
      </w:tr>
      <w:tr>
        <w:trPr>
          <w:trHeight w:val="20"/>
        </w:trPr>
        <w:tc>
          <w:tcPr>
            <w:tcW w:w="1020" w:type="dxa"/>
            <w:vAlign w:val="bottom"/>
          </w:tcPr>
          <w:p>
            <w:pPr>
              <w:spacing w:after="0" w:line="20" w:lineRule="exact"/>
              <w:rPr>
                <w:sz w:val="1"/>
                <w:szCs w:val="1"/>
                <w:color w:val="auto"/>
              </w:rPr>
            </w:pPr>
          </w:p>
        </w:tc>
        <w:tc>
          <w:tcPr>
            <w:tcW w:w="8920" w:type="dxa"/>
            <w:vAlign w:val="bottom"/>
            <w:gridSpan w:val="1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16"/>
          </w:tcPr>
          <w:p>
            <w:pPr>
              <w:spacing w:after="0" w:line="20" w:lineRule="exact"/>
              <w:rPr>
                <w:sz w:val="1"/>
                <w:szCs w:val="1"/>
                <w:color w:val="auto"/>
              </w:rPr>
            </w:pPr>
          </w:p>
        </w:tc>
      </w:tr>
      <w:tr>
        <w:trPr>
          <w:trHeight w:val="39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1022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Clawback Policy (incorporated by reference from Exhibit 97.1 to our Annual Report on Form 10-K for the year ended February 3, 2024</w:t>
            </w:r>
          </w:p>
        </w:tc>
      </w:tr>
      <w:tr>
        <w:trPr>
          <w:trHeight w:val="435"/>
        </w:trPr>
        <w:tc>
          <w:tcPr>
            <w:tcW w:w="1020" w:type="dxa"/>
            <w:vAlign w:val="bottom"/>
          </w:tcPr>
          <w:p>
            <w:pPr>
              <w:spacing w:after="0"/>
              <w:rPr>
                <w:sz w:val="24"/>
                <w:szCs w:val="24"/>
                <w:color w:val="auto"/>
              </w:rPr>
            </w:pPr>
          </w:p>
        </w:tc>
        <w:tc>
          <w:tcPr>
            <w:tcW w:w="5760" w:type="dxa"/>
            <w:vAlign w:val="bottom"/>
            <w:tcBorders>
              <w:top w:val="single" w:sz="8" w:color="0000EE"/>
            </w:tcBorders>
            <w:gridSpan w:val="6"/>
          </w:tcPr>
          <w:p>
            <w:pPr>
              <w:ind w:left="4520"/>
              <w:spacing w:after="0"/>
              <w:rPr>
                <w:sz w:val="20"/>
                <w:szCs w:val="20"/>
                <w:color w:val="auto"/>
              </w:rPr>
            </w:pPr>
            <w:r>
              <w:rPr>
                <w:rFonts w:ascii="Times New Roman" w:cs="Times New Roman" w:eastAsia="Times New Roman" w:hAnsi="Times New Roman"/>
                <w:sz w:val="17"/>
                <w:szCs w:val="17"/>
                <w:color w:val="auto"/>
              </w:rPr>
              <w:t>68</w:t>
            </w:r>
          </w:p>
        </w:tc>
        <w:tc>
          <w:tcPr>
            <w:tcW w:w="5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 within</w:t>
            </w:r>
          </w:p>
        </w:tc>
      </w:tr>
      <w:tr>
        <w:trPr>
          <w:trHeight w:val="227"/>
        </w:trPr>
        <w:tc>
          <w:tcPr>
            <w:tcW w:w="840" w:type="dxa"/>
            <w:vAlign w:val="bottom"/>
          </w:tcPr>
          <w:p>
            <w:pPr>
              <w:spacing w:after="0"/>
              <w:rPr>
                <w:sz w:val="19"/>
                <w:szCs w:val="19"/>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41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41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Extension Calculation Linkbase Document</w:t>
            </w:r>
          </w:p>
        </w:tc>
      </w:tr>
      <w:tr>
        <w:trPr>
          <w:trHeight w:val="41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Extension Definition Linkbase Document</w:t>
            </w:r>
          </w:p>
        </w:tc>
      </w:tr>
      <w:tr>
        <w:trPr>
          <w:trHeight w:val="41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Extension Label Linkbase Document</w:t>
            </w:r>
          </w:p>
        </w:tc>
      </w:tr>
      <w:tr>
        <w:trPr>
          <w:trHeight w:val="41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Extension Presentation Linkbase Document</w:t>
            </w:r>
          </w:p>
        </w:tc>
      </w:tr>
      <w:tr>
        <w:trPr>
          <w:trHeight w:val="41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BUILD-A-BEAR WORKSHOP,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5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BUILD-A-BEAR WORKSHOP, INC.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7420" w:type="dxa"/>
            <w:vAlign w:val="bottom"/>
            <w:gridSpan w:val="2"/>
          </w:tcPr>
          <w:p>
            <w:pPr>
              <w:ind w:left="2360"/>
              <w:spacing w:after="0"/>
              <w:rPr>
                <w:sz w:val="20"/>
                <w:szCs w:val="20"/>
                <w:color w:val="auto"/>
              </w:rPr>
            </w:pPr>
            <w:r>
              <w:rPr>
                <w:rFonts w:ascii="Times New Roman" w:cs="Times New Roman" w:eastAsia="Times New Roman" w:hAnsi="Times New Roman"/>
                <w:sz w:val="17"/>
                <w:szCs w:val="17"/>
                <w:color w:val="auto"/>
              </w:rPr>
              <w:t>(Registrant)</w:t>
            </w:r>
          </w:p>
        </w:tc>
      </w:tr>
      <w:tr>
        <w:trPr>
          <w:trHeight w:val="398"/>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Date: April 17, 2025</w:t>
            </w:r>
          </w:p>
        </w:tc>
        <w:tc>
          <w:tcPr>
            <w:tcW w:w="28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Sharon John</w:t>
            </w:r>
          </w:p>
        </w:tc>
      </w:tr>
      <w:tr>
        <w:trPr>
          <w:trHeight w:val="183"/>
        </w:trPr>
        <w:tc>
          <w:tcPr>
            <w:tcW w:w="3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5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Sharon John</w:t>
            </w:r>
          </w:p>
        </w:tc>
      </w:tr>
      <w:tr>
        <w:trPr>
          <w:trHeight w:val="227"/>
        </w:trPr>
        <w:tc>
          <w:tcPr>
            <w:tcW w:w="3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16"/>
        </w:trPr>
        <w:tc>
          <w:tcPr>
            <w:tcW w:w="3820" w:type="dxa"/>
            <w:vAlign w:val="bottom"/>
          </w:tcPr>
          <w:p>
            <w:pPr>
              <w:spacing w:after="0"/>
              <w:rPr>
                <w:sz w:val="24"/>
                <w:szCs w:val="24"/>
                <w:color w:val="auto"/>
              </w:rPr>
            </w:pPr>
          </w:p>
        </w:tc>
        <w:tc>
          <w:tcPr>
            <w:tcW w:w="284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Voin Todorovic</w:t>
            </w:r>
          </w:p>
        </w:tc>
      </w:tr>
      <w:tr>
        <w:trPr>
          <w:trHeight w:val="183"/>
        </w:trPr>
        <w:tc>
          <w:tcPr>
            <w:tcW w:w="3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5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Voin Todorovic</w:t>
            </w:r>
          </w:p>
        </w:tc>
      </w:tr>
      <w:tr>
        <w:trPr>
          <w:trHeight w:val="227"/>
        </w:trPr>
        <w:tc>
          <w:tcPr>
            <w:tcW w:w="3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90" w:lineRule="exact"/>
        <w:rPr>
          <w:sz w:val="20"/>
          <w:szCs w:val="20"/>
          <w:color w:val="auto"/>
        </w:rPr>
      </w:pPr>
    </w:p>
    <w:p>
      <w:pPr>
        <w:jc w:val="both"/>
        <w:ind w:firstLine="425"/>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February 1, 2025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ind w:firstLine="425"/>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120" w:type="dxa"/>
            <w:vAlign w:val="bottom"/>
          </w:tcPr>
          <w:p>
            <w:pPr>
              <w:spacing w:after="0"/>
              <w:rPr>
                <w:sz w:val="19"/>
                <w:szCs w:val="19"/>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19"/>
                <w:szCs w:val="19"/>
                <w:color w:val="auto"/>
              </w:rPr>
            </w:pPr>
          </w:p>
        </w:tc>
        <w:tc>
          <w:tcPr>
            <w:tcW w:w="22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09"/>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Craig Leavitt</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Non-Executive Chairman</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Craig Leavitt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George Carrara</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George Carrara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Robert L. Dixon, Jr.</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L. Dixon, Jr.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Narayan Iyengar</w:t>
            </w:r>
          </w:p>
        </w:tc>
        <w:tc>
          <w:tcPr>
            <w:tcW w:w="12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Narayan Iyengar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/s/Richard A. Johnson</w:t>
            </w:r>
          </w:p>
        </w:tc>
        <w:tc>
          <w:tcPr>
            <w:tcW w:w="12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A. Johnson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Lesli Rotenberg</w:t>
            </w:r>
          </w:p>
        </w:tc>
        <w:tc>
          <w:tcPr>
            <w:tcW w:w="12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Lesli Rotenberg</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Sharon John</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and President and Chief Executive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Sharon John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Voin Todorovic</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April 17, 2025</w:t>
            </w:r>
          </w:p>
        </w:tc>
      </w:tr>
      <w:tr>
        <w:trPr>
          <w:trHeight w:val="220"/>
        </w:trPr>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Voin Todorovic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8"/>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jc w:val="right"/>
              <w:ind w:right="3093"/>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Build-A-Bear Workshop,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Trades by Company Personnel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(As amended and restated on February 11,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NEED FOR A POLICY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This policy was created to promote compliance with all applicable securities laws by Build-A-Bear Workshop, Inc. (the “</w:t>
      </w:r>
      <w:r>
        <w:rPr>
          <w:rFonts w:ascii="Times New Roman" w:cs="Times New Roman" w:eastAsia="Times New Roman" w:hAnsi="Times New Roman"/>
          <w:sz w:val="17"/>
          <w:szCs w:val="17"/>
          <w:b w:val="1"/>
          <w:bCs w:val="1"/>
          <w:i w:val="1"/>
          <w:iCs w:val="1"/>
          <w:u w:val="single" w:color="auto"/>
          <w:color w:val="auto"/>
        </w:rPr>
        <w:t>Company</w:t>
      </w:r>
      <w:r>
        <w:rPr>
          <w:rFonts w:ascii="Times New Roman" w:cs="Times New Roman" w:eastAsia="Times New Roman" w:hAnsi="Times New Roman"/>
          <w:sz w:val="17"/>
          <w:szCs w:val="17"/>
          <w:color w:val="auto"/>
        </w:rPr>
        <w:t>”) and all directors, officers, and employees of the Company and its subsidiaries. The policy is also intended to avoid even the appearance of improper conduct on the part of anyone employed by or associated with the Company and its subsidiaries, which would damage our reputation for integrity and ethical conduct. Among other things, this policy prohibits directors, officers and employees of the Company and its subsidiaries and their respective Family Members (as defined below) from trading, and causing the trading of, the Company's securities or securities of certain other publicly traded companies while in possession of material nonpublic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WHAT IS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INSIDER TRADING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Insider trading is, in addition to being a violation of this policy, a violation of federal and state securities laws. The penalties for insider trading are discussed below.</w:t>
      </w:r>
    </w:p>
    <w:p>
      <w:pPr>
        <w:spacing w:after="0" w:line="200" w:lineRule="exact"/>
        <w:rPr>
          <w:sz w:val="20"/>
          <w:szCs w:val="20"/>
          <w:color w:val="auto"/>
        </w:rPr>
      </w:pPr>
    </w:p>
    <w:p>
      <w:pPr>
        <w:spacing w:after="0" w:line="20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term “insider trading” generally refers to (1) trading in securities while in possession or aware of material non-public information, or (2) communications of material non-public information to others who may trade while in possession or aware of such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means insiders are prohibited from doing the following:</w:t>
      </w:r>
    </w:p>
    <w:p>
      <w:pPr>
        <w:spacing w:after="0" w:line="221" w:lineRule="exact"/>
        <w:rPr>
          <w:sz w:val="20"/>
          <w:szCs w:val="20"/>
          <w:color w:val="auto"/>
        </w:rPr>
      </w:pPr>
    </w:p>
    <w:p>
      <w:pPr>
        <w:ind w:left="680" w:right="460" w:hanging="221"/>
        <w:spacing w:after="0" w:line="274"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Company Securities (as defined below) or the securities of certain other companies while in possession or aware of material non-public information concerning the Company, its customers, suppliers, business partners, competitors or other companies with which the Company has contractual relationships or may be negotiating transactions;</w:t>
      </w:r>
    </w:p>
    <w:p>
      <w:pPr>
        <w:spacing w:after="0" w:line="163" w:lineRule="exact"/>
        <w:rPr>
          <w:rFonts w:ascii="Times New Roman" w:cs="Times New Roman" w:eastAsia="Times New Roman" w:hAnsi="Times New Roman"/>
          <w:sz w:val="17"/>
          <w:szCs w:val="17"/>
          <w:color w:val="auto"/>
        </w:rPr>
      </w:pPr>
    </w:p>
    <w:p>
      <w:pPr>
        <w:ind w:left="680" w:right="280" w:hanging="221"/>
        <w:spacing w:after="0" w:line="293"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others trade in any such securities on the insider’s behalf while the insider is in possession or aware of such material non-public information; and</w:t>
      </w:r>
    </w:p>
    <w:p>
      <w:pPr>
        <w:spacing w:after="0" w:line="147" w:lineRule="exact"/>
        <w:rPr>
          <w:rFonts w:ascii="Times New Roman" w:cs="Times New Roman" w:eastAsia="Times New Roman" w:hAnsi="Times New Roman"/>
          <w:sz w:val="17"/>
          <w:szCs w:val="17"/>
          <w:color w:val="auto"/>
        </w:rPr>
      </w:pPr>
    </w:p>
    <w:p>
      <w:pPr>
        <w:ind w:left="680" w:right="20" w:hanging="221"/>
        <w:spacing w:after="0" w:line="274"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material non-public information concerning the Company or its customers, suppliers, business partners, competitors or other companies to others who may then trade in Company Securities or such other entities’ stock, or pass on the information to others who may trade in the Company Securities or such other entities’ stock. This conduct is known as “tipping.”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elements of insider trading are discussed below:</w:t>
      </w:r>
    </w:p>
    <w:p>
      <w:pPr>
        <w:spacing w:after="0" w:line="217" w:lineRule="exact"/>
        <w:rPr>
          <w:sz w:val="20"/>
          <w:szCs w:val="20"/>
          <w:color w:val="auto"/>
        </w:rPr>
      </w:pPr>
    </w:p>
    <w:p>
      <w:pPr>
        <w:ind w:left="520" w:hanging="516"/>
        <w:spacing w:after="0"/>
        <w:tabs>
          <w:tab w:leader="none" w:pos="520" w:val="left"/>
        </w:tabs>
        <w:numPr>
          <w:ilvl w:val="0"/>
          <w:numId w:val="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Who is an Insider?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concept of “insider” is broad and generally includes any person who possesses non-public information about the Company and/or its customers, suppliers, business partners, competitors or other companies with which the Company or its subsidiaries have business relationships, and who has a duty to the Company to keep this information confidential. In the case of the Company, “insiders” include officers and directors of the Company and its affiliates and subsidiaries, as well as other employees who routinely have access to material information that is not publicly available or who are working on significant corporate transactions or projects. In addition, a person can be a “temporary insider” if he or she enters into a relationship to serve the Company and as a result is given access to such material nonpublic information in connection with such service. Outsiders who can become temporary insiders include, among others, attorneys, accountants, consultants, investment bankers and the employees of such organizations.</w:t>
      </w:r>
    </w:p>
    <w:p>
      <w:pPr>
        <w:spacing w:after="0" w:line="173" w:lineRule="exact"/>
        <w:rPr>
          <w:sz w:val="20"/>
          <w:szCs w:val="20"/>
          <w:color w:val="auto"/>
        </w:rPr>
      </w:pPr>
    </w:p>
    <w:p>
      <w:pPr>
        <w:ind w:left="520" w:hanging="516"/>
        <w:spacing w:after="0"/>
        <w:tabs>
          <w:tab w:leader="none" w:pos="520"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is Material Information?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Trading while in possession or aware of inside information is not a basis for liability unless the information is “material.” “Material information” generally is defined as information for which there is a substantial likelihood that a reasonable investor would consider such information important in making his or her investment decisions (including whether to buy, sell or hold securities), or information that is reasonably likely to affect the price of such securities. It is important to remember that materiality will always be judged with the benefit of hindsight.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“Inside” information could be material because of its expected effect on the price of the Company’s Securities, the securities of another company, or the securities of several companies. Moreover, the resulting prohibition against the misuse of “inside” information includes not only restrictions on trading in the Company’s Securities but restrictions on trading in the securities of other companies affected by the inside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Examples</w:t>
      </w:r>
      <w:r>
        <w:rPr>
          <w:rFonts w:ascii="Times New Roman" w:cs="Times New Roman" w:eastAsia="Times New Roman" w:hAnsi="Times New Roman"/>
          <w:sz w:val="17"/>
          <w:szCs w:val="17"/>
          <w:color w:val="auto"/>
        </w:rPr>
        <w:t>. Common examples of information that may be regarded as material are:</w:t>
      </w:r>
    </w:p>
    <w:p>
      <w:pPr>
        <w:spacing w:after="0" w:line="221" w:lineRule="exact"/>
        <w:rPr>
          <w:sz w:val="20"/>
          <w:szCs w:val="20"/>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sales results or expectations;</w:t>
      </w:r>
    </w:p>
    <w:p>
      <w:pPr>
        <w:spacing w:after="0" w:line="3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forecasts;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the Company’s prospects;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declaration of a stock split, the offering of additional securities or changes in dividend/distribution policies;</w:t>
      </w:r>
    </w:p>
    <w:p>
      <w:pPr>
        <w:spacing w:after="0" w:line="12" w:lineRule="exact"/>
        <w:rPr>
          <w:rFonts w:ascii="Times New Roman" w:cs="Times New Roman" w:eastAsia="Times New Roman" w:hAnsi="Times New Roman"/>
          <w:sz w:val="17"/>
          <w:szCs w:val="17"/>
          <w:color w:val="auto"/>
        </w:rPr>
      </w:pPr>
    </w:p>
    <w:p>
      <w:pPr>
        <w:ind w:left="940" w:right="440" w:hanging="311"/>
        <w:spacing w:after="0" w:line="255" w:lineRule="auto"/>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Proposals, agreements or news regarding a pending or proposed merger, acquisition, tender offer, joint venture, divestiture, leveraged buy out, significant sale of assets or the disposition of a subsidiary;</w:t>
      </w:r>
    </w:p>
    <w:p>
      <w:pPr>
        <w:ind w:left="940" w:right="120" w:hanging="311"/>
        <w:spacing w:after="0" w:line="255" w:lineRule="auto"/>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or in the prospects of, major customers, or obtaining or losing customers, or entering into a significant contract with any of them;</w:t>
      </w: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write-downs in assets or increases in reserves;</w:t>
      </w:r>
    </w:p>
    <w:p>
      <w:pPr>
        <w:spacing w:after="0" w:line="12" w:lineRule="exact"/>
        <w:rPr>
          <w:rFonts w:ascii="Times New Roman" w:cs="Times New Roman" w:eastAsia="Times New Roman" w:hAnsi="Times New Roman"/>
          <w:sz w:val="17"/>
          <w:szCs w:val="17"/>
          <w:color w:val="auto"/>
        </w:rPr>
      </w:pPr>
    </w:p>
    <w:p>
      <w:pPr>
        <w:ind w:left="940" w:right="240" w:hanging="311"/>
        <w:spacing w:after="0" w:line="255" w:lineRule="auto"/>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cybersecurity incident, such as a data breach, or any other significant disruption in the Company’s operations or loss, potential loss, breach or unauthorized access of customer or supplier information, its property or assets, whether at its retail stores, other facilities or online or otherwise through its information technology infrastructure;</w:t>
      </w:r>
    </w:p>
    <w:p>
      <w:pPr>
        <w:spacing w:after="0" w:line="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continuation or termination of a repurchase program for Company stock;</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marketing changes;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financing developments;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management or other major personnel changes;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indictments or material civil litigation or government investigations;</w:t>
      </w:r>
    </w:p>
    <w:p>
      <w:pPr>
        <w:sectPr>
          <w:pgSz w:w="11900" w:h="16838" w:orient="portrait"/>
          <w:cols w:equalWidth="0" w:num="1">
            <w:col w:w="11240"/>
          </w:cols>
          <w:pgMar w:left="320" w:top="119" w:right="339" w:bottom="0" w:gutter="0" w:footer="0" w:header="0"/>
        </w:sectPr>
      </w:pPr>
    </w:p>
    <w:bookmarkStart w:id="75" w:name="page76"/>
    <w:bookmarkEnd w:id="75"/>
    <w:p>
      <w:pPr>
        <w:ind w:left="940" w:hanging="311"/>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disputes with major suppliers, vendors or customers;</w:t>
      </w:r>
    </w:p>
    <w:p>
      <w:pPr>
        <w:spacing w:after="0" w:line="3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 including strikes or lockouts;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changes in accounting methods;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or liquidity problems;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Impending bankruptcy or insolvency; and</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offerings or private sales of debt or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list above is not exhaustive. Either positive or negative information may be material.</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As noted above, 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7"/>
          <w:szCs w:val="17"/>
          <w:b w:val="1"/>
          <w:bCs w:val="1"/>
          <w:color w:val="auto"/>
        </w:rPr>
        <w:t>If you are unsure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whether information is material, you should either consult the General Counsel before making any decision to disclose such information (other than to persons who need to know it) or to trade in or recommend securities to which that information relates or assume that the information is material.</w:t>
      </w:r>
    </w:p>
    <w:p>
      <w:pPr>
        <w:spacing w:after="0" w:line="173" w:lineRule="exact"/>
        <w:rPr>
          <w:sz w:val="20"/>
          <w:szCs w:val="20"/>
          <w:color w:val="auto"/>
        </w:rPr>
      </w:pPr>
    </w:p>
    <w:p>
      <w:pPr>
        <w:ind w:left="520" w:hanging="516"/>
        <w:spacing w:after="0"/>
        <w:tabs>
          <w:tab w:leader="none" w:pos="520" w:val="left"/>
        </w:tabs>
        <w:numPr>
          <w:ilvl w:val="0"/>
          <w:numId w:val="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is Non-Public Information?</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order for information to qualify as “inside” information it must not only be “material,” it must be “non-public.” “Non-public” information is information which has not been made available to investors generally. At such time as material, non-public information has been released to the investing public, it loses its status as “inside” information.</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However, for “non-public” information to become public information it must be disseminated through recognized channels of distribution designed to reach the securities marketplace, such as disclosure by filing a report with the Securities and Exchange Commission (SEC) or disclosure by release to a national business and financial wire service (such as Dow Jones or Reuters) or a national newspaper (such as </w:t>
      </w:r>
      <w:r>
        <w:rPr>
          <w:rFonts w:ascii="Times New Roman" w:cs="Times New Roman" w:eastAsia="Times New Roman" w:hAnsi="Times New Roman"/>
          <w:sz w:val="17"/>
          <w:szCs w:val="17"/>
          <w:u w:val="single" w:color="auto"/>
          <w:color w:val="auto"/>
        </w:rPr>
        <w:t>The Wall Street Journal</w:t>
      </w:r>
      <w:r>
        <w:rPr>
          <w:rFonts w:ascii="Times New Roman" w:cs="Times New Roman" w:eastAsia="Times New Roman" w:hAnsi="Times New Roman"/>
          <w:sz w:val="17"/>
          <w:szCs w:val="17"/>
          <w:color w:val="auto"/>
        </w:rPr>
        <w:t>). Further, sufficient time must pass in order to provide investors the opportunity to absorb the information. Even after public disclosure of information about the Company, you must wait until the close of business on the second full trading day after the information was publicly disclosed before you can treat the information as public.</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Partial disclosure does not constitute public dissemination. So long as any material component of the “inside” information has yet to be publicly disclosed, the information is deemed “non-public” and may not be misused.</w:t>
      </w:r>
    </w:p>
    <w:p>
      <w:pPr>
        <w:spacing w:after="0" w:line="14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As with questions of materiality, if you are not sure whether information is considered public, you should either consult with the General Counsel or assume that the information is nonpublic and treat it as confidential.</w:t>
      </w:r>
    </w:p>
    <w:p>
      <w:pPr>
        <w:spacing w:after="0" w:line="140" w:lineRule="exact"/>
        <w:rPr>
          <w:sz w:val="20"/>
          <w:szCs w:val="20"/>
          <w:color w:val="auto"/>
        </w:rPr>
      </w:pPr>
    </w:p>
    <w:p>
      <w:pPr>
        <w:ind w:left="520" w:hanging="516"/>
        <w:spacing w:after="0"/>
        <w:tabs>
          <w:tab w:leader="none" w:pos="520" w:val="left"/>
        </w:tabs>
        <w:numPr>
          <w:ilvl w:val="0"/>
          <w:numId w:val="3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is Trading?</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policy applies to transactions in the Company’s securities (collectively referred to in this policy as “</w:t>
      </w:r>
      <w:r>
        <w:rPr>
          <w:rFonts w:ascii="Times New Roman" w:cs="Times New Roman" w:eastAsia="Times New Roman" w:hAnsi="Times New Roman"/>
          <w:sz w:val="17"/>
          <w:szCs w:val="17"/>
          <w:b w:val="1"/>
          <w:bCs w:val="1"/>
          <w:i w:val="1"/>
          <w:iCs w:val="1"/>
          <w:u w:val="single" w:color="auto"/>
          <w:color w:val="auto"/>
        </w:rPr>
        <w:t>Company Securities</w:t>
      </w:r>
      <w:r>
        <w:rPr>
          <w:rFonts w:ascii="Times New Roman" w:cs="Times New Roman" w:eastAsia="Times New Roman" w:hAnsi="Times New Roman"/>
          <w:sz w:val="17"/>
          <w:szCs w:val="17"/>
          <w:color w:val="auto"/>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 include purchases, sales and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gifts of Company Securities.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policy does not apply to the exercise of an employee stock option acquired pursuant to the Company’s plans for cash or the delivery of previously owned Company stock, or the Company withholding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This policy also does not apply to the vesting of restricted stock, or the Company withholding shares of stock to satisfy tax withholding requirements upon the vesting of any restricted stock. This policy does apply, however, to any market sales of restricted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CONSEQUENCES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consequences of insider trading violations can be severe: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For individuals </w:t>
      </w:r>
      <w:r>
        <w:rPr>
          <w:rFonts w:ascii="Times New Roman" w:cs="Times New Roman" w:eastAsia="Times New Roman" w:hAnsi="Times New Roman"/>
          <w:sz w:val="17"/>
          <w:szCs w:val="17"/>
          <w:color w:val="auto"/>
        </w:rPr>
        <w:t>who trade on inside information (or tip such information to others):</w:t>
      </w:r>
    </w:p>
    <w:p>
      <w:pPr>
        <w:spacing w:after="0" w:line="225" w:lineRule="exact"/>
        <w:rPr>
          <w:sz w:val="20"/>
          <w:szCs w:val="20"/>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civil penalty of up to three times the profit gained or loss avoided;</w:t>
      </w:r>
    </w:p>
    <w:p>
      <w:pPr>
        <w:spacing w:after="0" w:line="220"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criminal fine (no matter how small the profit) of up to $5 million;</w:t>
      </w:r>
    </w:p>
    <w:p>
      <w:pPr>
        <w:spacing w:after="0" w:line="220"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jail term of up to 20 years; and</w:t>
      </w:r>
    </w:p>
    <w:p>
      <w:pPr>
        <w:spacing w:after="0" w:line="220"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cease and desist order to stop the violation and penalties for violations of such orders or the federal securities laws.</w:t>
      </w:r>
    </w:p>
    <w:p>
      <w:pPr>
        <w:spacing w:after="0" w:line="21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 the Company </w:t>
      </w:r>
      <w:r>
        <w:rPr>
          <w:rFonts w:ascii="Times New Roman" w:cs="Times New Roman" w:eastAsia="Times New Roman" w:hAnsi="Times New Roman"/>
          <w:sz w:val="17"/>
          <w:szCs w:val="17"/>
          <w:color w:val="auto"/>
        </w:rPr>
        <w:t>(as well as possibly any supervisory person) that fails to take appropriate steps to prevent illegal trading by an employee or tipping of inside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information by an employee:</w:t>
      </w:r>
    </w:p>
    <w:p>
      <w:pPr>
        <w:spacing w:after="0" w:line="143" w:lineRule="exact"/>
        <w:rPr>
          <w:sz w:val="20"/>
          <w:szCs w:val="20"/>
          <w:color w:val="auto"/>
        </w:rPr>
      </w:pPr>
    </w:p>
    <w:p>
      <w:pPr>
        <w:ind w:left="940" w:right="80" w:hanging="311"/>
        <w:spacing w:after="0" w:line="201" w:lineRule="auto"/>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civil penalty of the greater of $2.3 million (as may be further adjusted for inflation)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or three times the profit gained or loss avoided as a result of the employee’s violation; and</w:t>
      </w:r>
    </w:p>
    <w:p>
      <w:pPr>
        <w:spacing w:after="0" w:line="19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criminal penalty of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-417195</wp:posOffset>
            </wp:positionV>
            <wp:extent cx="2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Moreover, if an employee violates this policy or fails to comply with this policy or the Company’s procedures, Company imposed sanctions, including dismissal, could result. Needless to say, any of the above consequences, even an SEC investigation that does not result in prosecution, can tarnish one’s reputation and irreparably damage a career.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STATEMENT</w:t>
      </w:r>
    </w:p>
    <w:p>
      <w:pPr>
        <w:sectPr>
          <w:pgSz w:w="11900" w:h="16838" w:orient="portrait"/>
          <w:cols w:equalWidth="0" w:num="1">
            <w:col w:w="11240"/>
          </w:cols>
          <w:pgMar w:left="320" w:top="121" w:right="339" w:bottom="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Prohibition of Insider Trading</w:t>
      </w:r>
    </w:p>
    <w:p>
      <w:pPr>
        <w:sectPr>
          <w:pgSz w:w="11900" w:h="16838" w:orient="portrait"/>
          <w:cols w:equalWidth="0" w:num="1">
            <w:col w:w="11240"/>
          </w:cols>
          <w:pgMar w:left="320" w:top="121" w:right="339" w:bottom="0" w:gutter="0" w:footer="0" w:header="0"/>
          <w:type w:val="continuous"/>
        </w:sectPr>
      </w:pPr>
    </w:p>
    <w:bookmarkStart w:id="76" w:name="page77"/>
    <w:bookmarkEnd w:id="76"/>
    <w:p>
      <w:pPr>
        <w:jc w:val="both"/>
        <w:spacing w:after="0" w:line="268" w:lineRule="auto"/>
        <w:rPr>
          <w:sz w:val="20"/>
          <w:szCs w:val="20"/>
          <w:color w:val="auto"/>
        </w:rPr>
      </w:pPr>
      <w:r>
        <w:rPr>
          <w:rFonts w:ascii="Times New Roman" w:cs="Times New Roman" w:eastAsia="Times New Roman" w:hAnsi="Times New Roman"/>
          <w:sz w:val="17"/>
          <w:szCs w:val="17"/>
          <w:color w:val="auto"/>
        </w:rPr>
        <w:t>If a director, officer, or any employee has material non-public information relating to the Company, it is our policy that neither that person nor any related person may trade in securities of the Company or engage in any other action to take advantage of, or pass on to others, that information. This policy also applies to material non-public information relating to any other company, including our clients or suppliers, obtained in the course of your employment with the Company or its subsidiaries.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Transactions that may be necessary or justifiable for independent reasons (such as the need to raise money for an emergency expenditure) are not exempted from the insider trading laws or from our policy. The fact that the officer, director or employee may have relied on other factors in purchasing or selling securities, while in possession or aware of material inside information, will not absolve the person from liability under the law.</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When Information is Public</w:t>
      </w:r>
      <w:r>
        <w:rPr>
          <w:rFonts w:ascii="Times New Roman" w:cs="Times New Roman" w:eastAsia="Times New Roman" w:hAnsi="Times New Roman"/>
          <w:sz w:val="17"/>
          <w:szCs w:val="17"/>
          <w:color w:val="auto"/>
        </w:rPr>
        <w:t>. As you can appreciate, it is also improper for an officer, director, or employee to enter a trade immediately after the Company has made a public announcement of material information, including earnings releases. Because the Company’s non-employee stockholders and the investing public should be afforded the time to receive the information and act upon it, you should not engage in any trades until after two full trading days have elapsed after the information has been released. Therefore, if an announcement is made before the commencement of trading on a Monday, an employee who had prior knowledge of that information (before it was made public) may trade in Company Securities starting on Wednesday of that week, because two full trading days would have elapsed (all of Monday and Tuesday). If the announcement is made on Monday after trading begins, the employee may not trade in Company Securities until Thursday. If the announcement is made on Friday after trading begins, the employee may not trade in Company Securities until Wednesday of the following week. Note that this restriction is in addition to any other restrictions that apply under this policy, including the requirement that certain trades by members of the Designated Group be pre-cleared and that they occur during specified “open” trading windows.</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u w:val="single" w:color="auto"/>
          <w:color w:val="auto"/>
        </w:rPr>
        <w:t>Twenty-Twenty Hindsight</w:t>
      </w:r>
      <w:r>
        <w:rPr>
          <w:rFonts w:ascii="Times New Roman" w:cs="Times New Roman" w:eastAsia="Times New Roman" w:hAnsi="Times New Roman"/>
          <w:sz w:val="17"/>
          <w:szCs w:val="17"/>
          <w:color w:val="auto"/>
        </w:rPr>
        <w:t>. If your securities trades become the subject of scrutiny, they will be viewed after-the-fact with the benefit of hindsight. As a result, before engaging in any trade, you should carefully consider how regulators and others might view your trade in hindsight.</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Applicability to Other Companies</w:t>
      </w:r>
      <w:r>
        <w:rPr>
          <w:rFonts w:ascii="Times New Roman" w:cs="Times New Roman" w:eastAsia="Times New Roman" w:hAnsi="Times New Roman"/>
          <w:sz w:val="17"/>
          <w:szCs w:val="17"/>
          <w:color w:val="auto"/>
        </w:rPr>
        <w:t>. During the course of his or her employment, an employee may obtain material non-public information about current or potential customers, suppliers, business partners, competitors or others with which the Company has contractual relationships or may be negotiating transactions. The provisions on confidentiality and the prohibition on trading while in possession or aware of non-public information also apply to the securities of these other companies. Thus, the term “Company Securities” as used in this policy can also mean the securities of those other companies, as the context requires.</w:t>
      </w:r>
    </w:p>
    <w:p>
      <w:pPr>
        <w:spacing w:after="0" w:line="16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u w:val="single" w:color="auto"/>
          <w:color w:val="auto"/>
        </w:rPr>
        <w:t>Trades by Family Members</w:t>
      </w:r>
      <w:r>
        <w:rPr>
          <w:rFonts w:ascii="Times New Roman" w:cs="Times New Roman" w:eastAsia="Times New Roman" w:hAnsi="Times New Roman"/>
          <w:sz w:val="17"/>
          <w:szCs w:val="17"/>
          <w:color w:val="auto"/>
        </w:rPr>
        <w:t>. The same restrictions apply to your family members who reside with you (including a spouse, a child, a child away at college, stepchildren, grandchildren, parents, stepparents, grandparents, siblings and in-laws) and others living in your household,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any family members who do not live in your household but whose transactions in Company Securities are directed by you or are subject to your influence or control, such as parents or children who consult with you before they trade in Company Securities (“</w:t>
      </w:r>
      <w:r>
        <w:rPr>
          <w:rFonts w:ascii="Times New Roman" w:cs="Times New Roman" w:eastAsia="Times New Roman" w:hAnsi="Times New Roman"/>
          <w:sz w:val="17"/>
          <w:szCs w:val="17"/>
          <w:b w:val="1"/>
          <w:bCs w:val="1"/>
          <w:i w:val="1"/>
          <w:iCs w:val="1"/>
          <w:u w:val="single" w:color="auto"/>
          <w:color w:val="auto"/>
        </w:rPr>
        <w:t>Family Members</w:t>
      </w:r>
      <w:r>
        <w:rPr>
          <w:rFonts w:ascii="Times New Roman" w:cs="Times New Roman" w:eastAsia="Times New Roman" w:hAnsi="Times New Roman"/>
          <w:sz w:val="17"/>
          <w:szCs w:val="17"/>
          <w:color w:val="auto"/>
        </w:rPr>
        <w:t>”). Directors, officers and other employees are expected to be responsible for the compliance of their immediate family and personal household.</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Prevention of Insider Trading by Others</w:t>
      </w:r>
      <w:r>
        <w:rPr>
          <w:rFonts w:ascii="Times New Roman" w:cs="Times New Roman" w:eastAsia="Times New Roman" w:hAnsi="Times New Roman"/>
          <w:sz w:val="17"/>
          <w:szCs w:val="17"/>
          <w:color w:val="auto"/>
        </w:rPr>
        <w:t>. The Company, its directors and officers and some supervisory personnel could be deemed “controlling persons” subject to potential liability under the securities laws. Accordingly, it is incumbent on these persons to maintain an awareness of possible insider trading violations by persons under their control and to take measures where appropriate to prevent such violations. Directors, officers and other supervisory personnel who become aware of a potential insider trading violation or a violation of this policy should immediately advise the General Counsel and should take steps where appropriate to prevent persons under their supervision from using inside information for trading purposes.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u w:val="single" w:color="auto"/>
          <w:color w:val="auto"/>
        </w:rPr>
        <w:t>Company Trading</w:t>
      </w:r>
      <w:r>
        <w:rPr>
          <w:rFonts w:ascii="Times New Roman" w:cs="Times New Roman" w:eastAsia="Times New Roman" w:hAnsi="Times New Roman"/>
          <w:sz w:val="17"/>
          <w:szCs w:val="17"/>
          <w:color w:val="auto"/>
        </w:rPr>
        <w:t>. It is also the policy of the Company that the Company will not engage in transactions in Company Securities while aware of material non-public information relating to the Company or Company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Confidentiality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Serious problems could arise for the Company and you by an unauthorized disclosure of internal information about the Company, whether or not for the purpose of facilitating improper trading in the Company’s securities. Generally, securities regulations provide that when a publicly traded company (such as the Company) discloses material, non-public information, it must provide broad, non-exclusionary public access to the information. Violations of these regulations can result in SEC enforcement actions, resulting in injunctions and severe monetary penalties. It is our policy that all directors, officers and other employees must maintain all non-public information about the Company in strict confidence and should not communicate such information to any person unless the person has a need to know the information for legitimate reasons related to the Company’s business. Similarly, you should not discuss Company affairs in public or quasi-public areas where your conversation may be overheard (e.g., restaurants, airplanes and elevators, etc.). This prohibition applies to inquiries about the Company which may be made by the financial press, investment analysts or others in the financial community. It is important that all such communications on behalf of the Company be made only through authorized individuals. If you receive any inquiries of this nature, you should decline comment and refer the inquiry directly to Voin Todorovic, the person responsible for our investor relations.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Tipping Information to Others</w:t>
      </w:r>
      <w:r>
        <w:rPr>
          <w:rFonts w:ascii="Times New Roman" w:cs="Times New Roman" w:eastAsia="Times New Roman" w:hAnsi="Times New Roman"/>
          <w:sz w:val="17"/>
          <w:szCs w:val="17"/>
          <w:color w:val="auto"/>
        </w:rPr>
        <w:t>. Whether the information is proprietary information about the Company or information that could have an impact on our stock price, directors, officers and other employees must not pass the information on to others. Tipping results in liability for the insider who communicated such information, even if such insider does not actually trade himself or herself, and for the person who received the information if the person has reason to know that it was an improper disclosure and acts on such information or passes it on to others who may act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740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Pre-Clearance of All Trades</w:t>
      </w:r>
    </w:p>
    <w:p>
      <w:pPr>
        <w:spacing w:after="0" w:line="22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To provide assistance in preventing inadvertent violations and avoiding even the appearance of an improper trade (which could result, for example, where an officer engages in a trade while unaware of a pending major development), we are implementing the following procedure:</w:t>
      </w:r>
    </w:p>
    <w:p>
      <w:pPr>
        <w:spacing w:after="0" w:line="1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All trades in Company Securities, such as purchases (except purchases of stock under an employee option for cash not involving an open market sale or surrender of shares), sales, transfers, gifts, option exercises involving an open market sale or surrender of shares, etc., by any member of the Designated Group must be pre-cleared by the General Counsel, even if you are not in possession or aware of specific material non-public information. The “</w:t>
      </w:r>
      <w:r>
        <w:rPr>
          <w:rFonts w:ascii="Times New Roman" w:cs="Times New Roman" w:eastAsia="Times New Roman" w:hAnsi="Times New Roman"/>
          <w:sz w:val="17"/>
          <w:szCs w:val="17"/>
          <w:b w:val="1"/>
          <w:bCs w:val="1"/>
          <w:i w:val="1"/>
          <w:iCs w:val="1"/>
          <w:u w:val="single" w:color="auto"/>
          <w:color w:val="auto"/>
        </w:rPr>
        <w:t>Designated Group</w:t>
      </w:r>
      <w:r>
        <w:rPr>
          <w:rFonts w:ascii="Times New Roman" w:cs="Times New Roman" w:eastAsia="Times New Roman" w:hAnsi="Times New Roman"/>
          <w:sz w:val="17"/>
          <w:szCs w:val="17"/>
          <w:color w:val="auto"/>
        </w:rPr>
        <w:t>” means board members, officers, senior vice presidents, senior managing directors, vice presidents, directors, district managers, administrative assistants to the President and CEO, and other associates who may be designated as insiders (collectively, the “Designated Group”). A director, officer or other employee may not trade, even with authorization, if he or she is actually in possession or aware of material non-public information. If you contemplate a trade in the Company’s securities, you should contact the General Counsel in advance. Unless revoked or you otherwise come into possession material inside information, pre-clearance will normally remain valid until the close of trading second full trading day following the day on which it was granted. If the transaction does not occur during the two-day period, pre-clearance of the transaction must be re-requested.</w:t>
      </w:r>
    </w:p>
    <w:p>
      <w:pPr>
        <w:spacing w:after="0" w:line="17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Pre-clearance is not required for purchases and sales of securities under an approved Rule 10b5-1 plan (as described below) once the applicable cooling-off period has expired. No trades may be made under an approved Rule 10b5-1 plan until expiration of the applicable cooling-off period. With respect to any purchase or sale under an approved Rule 10b5-1 plan, the third party effecting transactions on behalf of the Designated Group member should be instructed to send duplicate confirmations of all such transactions to the General Counsel.</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No Trading During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Closed Window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Periods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order to further minimize the possibility of an inadvertent and unintended insider trading violation, all members of the Designated Group of the Company are prohibited from trading in the Company’s securities during the following restricted trading period (a “</w:t>
      </w:r>
      <w:r>
        <w:rPr>
          <w:rFonts w:ascii="Times New Roman" w:cs="Times New Roman" w:eastAsia="Times New Roman" w:hAnsi="Times New Roman"/>
          <w:sz w:val="17"/>
          <w:szCs w:val="17"/>
          <w:b w:val="1"/>
          <w:bCs w:val="1"/>
          <w:i w:val="1"/>
          <w:iCs w:val="1"/>
          <w:u w:val="single" w:color="auto"/>
          <w:color w:val="auto"/>
        </w:rPr>
        <w:t>closed window</w:t>
      </w:r>
      <w:r>
        <w:rPr>
          <w:rFonts w:ascii="Times New Roman" w:cs="Times New Roman" w:eastAsia="Times New Roman" w:hAnsi="Times New Roman"/>
          <w:sz w:val="17"/>
          <w:szCs w:val="17"/>
          <w:color w:val="auto"/>
        </w:rPr>
        <w:t>”): the period after the 15th day of the third month of the quarter through and including the second full trading day following the issuance of the Company’s press release of its quarterly financial results and from December 15th through and including the second full trading day following the issuance of the Company’s press release of its annual financial results. Please realize that the “</w:t>
      </w:r>
      <w:r>
        <w:rPr>
          <w:rFonts w:ascii="Times New Roman" w:cs="Times New Roman" w:eastAsia="Times New Roman" w:hAnsi="Times New Roman"/>
          <w:sz w:val="17"/>
          <w:szCs w:val="17"/>
          <w:b w:val="1"/>
          <w:bCs w:val="1"/>
          <w:i w:val="1"/>
          <w:iCs w:val="1"/>
          <w:u w:val="single" w:color="auto"/>
          <w:color w:val="auto"/>
        </w:rPr>
        <w:t>open window</w:t>
      </w:r>
      <w:r>
        <w:rPr>
          <w:rFonts w:ascii="Times New Roman" w:cs="Times New Roman" w:eastAsia="Times New Roman" w:hAnsi="Times New Roman"/>
          <w:sz w:val="17"/>
          <w:szCs w:val="17"/>
          <w:color w:val="auto"/>
        </w:rPr>
        <w:t xml:space="preserve">” periods are of general applicability only and do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serve to permit otherwise illegal trades. Except if covered by an approved 105-1 plan as described below, trading in the Company’s stock is permitted only during the “open windows,” and all trades by members of the Designated Group must be approved in advance by the General Counsel. Other events or developments during such periods may still cause some Company directors, officers or employees to be in possession or aware of material, non-public information – in such event, you still may not trade. A director, officer or other employee may not trade even during the “open window” periods or with authorization if he or she is actually in possession or aware of material non-public information. Also, trading during the “open window” periods is not a substitute for compliance with required pre-clearance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Trading Periods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may be material inside information available to members of the Designated Group even during the normal open window periods, for example, when a proposed acquisition is pending. In those and other instances, such as where required by securities regulation, the Company will announce a “closed window” or “blackout period” for trading in Company Securities and if appropriate, in securities of another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Standing Orders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Standing orders (except standing orders under approved Rule 10b5-1 plans, see below) should be used only for a very brief period of time. The problem with purchases or sales resulting from standing instructions to a broker is that there is no control over the timing of the trade. The broker could execute a trade when you are in possession or aware of material inside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plans</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Rule 10b5-1 provides a defense from insider trading under SEC Rule 10b-5. To be eligible for this defense, an insider may enter into a “Rule 10b5-1 plan” for trading in the Company’s stock. If the plan meets the requirements of Rule 10b5-1, the Company stock may be purchased or sold without regard to certain insider trading restrictions, including during closed windows. To comply with the Company’s insider trading policy, a Rule 10b5-1 plan must meet the requirements of Rule 10b5-1 and other legal requirements and be approved by General Counsel in advance of being entered into (or, if revised or amended, such proposed revisions or amendments have been reviewed and approved by the General Counsel in advance of being entered into).</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general, a Rule 10b5-1 Plan must be entered into at a time when the person entering into the plan is not aware of material nonpublic information. No Rule 10b5-1 plan may be adopted during a closed window or other blackout period. Once a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 A Rule 10b5-1 plan must include a cooling-off period before trading can commence that, for directors or officers, ends on the later of 90 days after the adoption of such Rule 10b5-1 plan or two business days following the disclosure of the Company’s financial results in an SEC periodic report for the fiscal quarter in which the Rule 10b5-1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considering entering into, modifying or terminating a Rule 10b5-1 plan or have any questions regarding Rule 10b5-1 plans, please contact the General Counsel. You should consult your own legal and tax advisors before entering into, or modifying or terminating, a Rule 10b5-1 plan. A trading plan, contract, instruction or arrangement will not qualify as a Rule 10b5-1 plan without the prior review and approval of the General Counsel as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Prohibited Transactions</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considers it improper and inappropriate for any Company personnel to engage in short-term or speculative transactions involving the Company’s securities. It is therefore the Company’s policy that directors, officers, and other employees, and their Family Members (collectively “</w:t>
      </w:r>
      <w:r>
        <w:rPr>
          <w:rFonts w:ascii="Times New Roman" w:cs="Times New Roman" w:eastAsia="Times New Roman" w:hAnsi="Times New Roman"/>
          <w:sz w:val="17"/>
          <w:szCs w:val="17"/>
          <w:b w:val="1"/>
          <w:bCs w:val="1"/>
          <w:i w:val="1"/>
          <w:iCs w:val="1"/>
          <w:u w:val="single" w:color="auto"/>
          <w:color w:val="auto"/>
        </w:rPr>
        <w:t>Covered Persons</w:t>
      </w:r>
      <w:r>
        <w:rPr>
          <w:rFonts w:ascii="Times New Roman" w:cs="Times New Roman" w:eastAsia="Times New Roman" w:hAnsi="Times New Roman"/>
          <w:sz w:val="17"/>
          <w:szCs w:val="17"/>
          <w:color w:val="auto"/>
        </w:rPr>
        <w:t>”) should</w:t>
      </w:r>
    </w:p>
    <w:p>
      <w:pPr>
        <w:sectPr>
          <w:pgSz w:w="11900" w:h="16852" w:orient="portrait"/>
          <w:cols w:equalWidth="0" w:num="1">
            <w:col w:w="11240"/>
          </w:cols>
          <w:pgMar w:left="320" w:top="770" w:right="339"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not engage in any of the following activities with respect to securities of the Company: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Short Sales</w:t>
      </w:r>
      <w:r>
        <w:rPr>
          <w:rFonts w:ascii="Times New Roman" w:cs="Times New Roman" w:eastAsia="Times New Roman" w:hAnsi="Times New Roman"/>
          <w:sz w:val="17"/>
          <w:szCs w:val="17"/>
          <w:color w:val="auto"/>
        </w:rPr>
        <w:t>. No Covered Person shall engage in selling the Company’s securities “short” – that is, the sale of securities that are not owned by the person. (A person who sells “short” is betting that the price of the security is going down – he or she borrows the security, sells it, and expects to be able to return the securities by repurchasing them at a lower price in the future.) SEC rules already prevent officers and directors from making “short sales” or sales of securities that, if owned, will not be delivered for a period longer than 20 days after the sale. We are simply expanding this rule to all Covered Persons.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Buying or Selling “Derivative Securities.</w:t>
      </w:r>
      <w:r>
        <w:rPr>
          <w:rFonts w:ascii="Times New Roman" w:cs="Times New Roman" w:eastAsia="Times New Roman" w:hAnsi="Times New Roman"/>
          <w:sz w:val="17"/>
          <w:szCs w:val="17"/>
          <w:color w:val="auto"/>
        </w:rPr>
        <w:t>” No Covered Person shall buy or sell puts (i.e., options to sell), calls (i.e., options to purchase), future contracts, or other forms of derivative securities relating to the Company’s securities. For these purposes, a security will be considered a derivative of another security if its value is derived from the value of the other security.</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Margin Accounts and Pledges</w:t>
      </w:r>
      <w:r>
        <w:rPr>
          <w:rFonts w:ascii="Times New Roman" w:cs="Times New Roman" w:eastAsia="Times New Roman" w:hAnsi="Times New Roman"/>
          <w:sz w:val="17"/>
          <w:szCs w:val="17"/>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all members of the Designated Group are prohibited from holding the Company’s securities in a margin account or pledging the Company’s securities as collateral for a loan.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Hedging</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 xml:space="preserve"> Covered Persons may not enter into hedging or monetization transactions or similar arrangements with respect to Company Securities.</w:t>
      </w:r>
    </w:p>
    <w:p>
      <w:pPr>
        <w:spacing w:after="0" w:line="22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u w:val="single" w:color="auto"/>
          <w:color w:val="auto"/>
        </w:rPr>
        <w:t>Short-Term Trading</w:t>
      </w:r>
      <w:r>
        <w:rPr>
          <w:rFonts w:ascii="Times New Roman" w:cs="Times New Roman" w:eastAsia="Times New Roman" w:hAnsi="Times New Roman"/>
          <w:sz w:val="17"/>
          <w:szCs w:val="17"/>
          <w:color w:val="auto"/>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Form 144 Reports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Directors and certain officers designated by the Board of Directors are required to file a Form 144 before making an open market sale of Company Securities. Form 144 notifies the SEC of your intent to sell Company Securities. Although often prepared and filed by your broker, this form and its timely filing is each individual’s personal responsibility and is in addition to the Section 16 reports filed on your behalf by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Post-Transaction Notification</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Section 16(a) of the Exchange Act requires that certain transactions be reported on Form 4s filed within two business days following the date of the transaction, the Company’s policy requires immediate notification of sufficient details of any transaction to allow time to prepare and file the required reports within the two-business-day deadline. Since the Company requires a day to prepare the Form 4 and a day to transmit the form to the SEC, all officers and directors must report the details of any transaction in the Company’s securities to us at least by the close of business of the date the transaction occurred. This includes all purchases, sales, transfers by gift or otherwise, trades pursuant to approved Rule 10b5-1 plans, and option exercises.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Knowledgeable Stockbroker</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Each director, officer and other employee is encouraged to select one stock broker to effect all of his or her transactions in the Company’s securities, and that broker should become familiar with the Company’s insider trading policy and the restrictions that apply to his or her transactions in the Company’s securities. Remember, however, that a broker has no legal responsibility for a client’s Section 16 filings or short-swing profit rule violations. Therefore, the best protection will come from your own awareness the possible pitfalls. However, use of the same broker familiar with this policy will help you constantly monitor your compliance, not only with this policy but also with your other securities laws obligations, such as compliance with Rule 144.</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EVEN IF YOU RECEIVE PRE-CLEARANCE AND IT IS DURING AN OPEN WINDOW PERIOD, YOU, ANY COMPANY, TRUST OR ENTITY CONTROLLED BY YOU, YOUR SPOUSE AND YOUR FAMILY MEMBERS AND OTHERS LIVING IN YOUR HOUSEHOLD MAY NOT TRADE IN SECURITIES OF BUILD-A-BEAR WORKSHOP, INC. IF YOU ARE IN POSSESSION OR AWARE OF MATERIAL, NON-PUBLIC INFORMATION ABOUT BUILD-A-BEAR WORKSHOP, INC. THE PROCEDURES SET FORTH HEREIN ARE IN ADDITION TO THE GENERAL INSIDER TRADING POLICY AND ARE NOT A SUBSTITUTE THEREFOR</w:t>
      </w:r>
      <w:r>
        <w:rPr>
          <w:rFonts w:ascii="Times New Roman" w:cs="Times New Roman" w:eastAsia="Times New Roman" w:hAnsi="Times New Roman"/>
          <w:sz w:val="17"/>
          <w:szCs w:val="17"/>
          <w:color w:val="auto"/>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 OF POLICY</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Any person who has any questions about specific transactions may obtain additional guidance from General Counsel, Eric Fencl, at 314-423-8000 extension 5458. The Company reserves the right to amend and interpret the policy from time to time.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COMPLIANCE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members of the Designated Group will be required to certify their understanding of and compliance with this policy on an annual basis.</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Remember, however, the ultimate responsibility for adhering to the policy and avoiding improper transactions rests with you. In this regard, it is imperative that you use your best judgment.</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color w:val="auto"/>
        </w:rPr>
        <w:t>Exhibit 21.1</w:t>
      </w: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u w:val="single" w:color="auto"/>
          <w:color w:val="auto"/>
        </w:rPr>
        <w:t>Subsidiaries of Build-A-Bear Workshop, Inc.</w:t>
      </w:r>
    </w:p>
    <w:p>
      <w:pPr>
        <w:spacing w:after="0" w:line="200" w:lineRule="exact"/>
        <w:rPr>
          <w:sz w:val="20"/>
          <w:szCs w:val="20"/>
          <w:color w:val="auto"/>
        </w:rPr>
      </w:pP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Subsidiary:</w:t>
            </w:r>
          </w:p>
        </w:tc>
        <w:tc>
          <w:tcPr>
            <w:tcW w:w="4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Jurisdiction of Incorporation/Organization:</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Build-A-Bear Entertainment, LLC</w:t>
            </w:r>
          </w:p>
        </w:tc>
        <w:tc>
          <w:tcPr>
            <w:tcW w:w="46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Build-A-Bear Workshop Franchise Holdings, Inc.</w:t>
            </w:r>
          </w:p>
        </w:tc>
        <w:tc>
          <w:tcPr>
            <w:tcW w:w="4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Build-A-Bear Workshop Canada Ltd.</w:t>
            </w:r>
          </w:p>
        </w:tc>
        <w:tc>
          <w:tcPr>
            <w:tcW w:w="46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New Brunswick</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Build-A-Bear Retail Management, Inc.</w:t>
            </w:r>
          </w:p>
        </w:tc>
        <w:tc>
          <w:tcPr>
            <w:tcW w:w="4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Build-A-Bear UK Holdings Limited</w:t>
            </w:r>
          </w:p>
        </w:tc>
        <w:tc>
          <w:tcPr>
            <w:tcW w:w="46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Build-A-Bear Workshop UK Limited</w:t>
            </w:r>
          </w:p>
        </w:tc>
        <w:tc>
          <w:tcPr>
            <w:tcW w:w="4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Build-A-Bear Trading (Shanghai) Co., Ltd.</w:t>
            </w:r>
          </w:p>
        </w:tc>
        <w:tc>
          <w:tcPr>
            <w:tcW w:w="46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Build-A-Bear Card Services, LLC</w:t>
            </w:r>
          </w:p>
        </w:tc>
        <w:tc>
          <w:tcPr>
            <w:tcW w:w="4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144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21" w:lineRule="exact"/>
        <w:rPr>
          <w:sz w:val="20"/>
          <w:szCs w:val="20"/>
          <w:color w:val="auto"/>
        </w:rPr>
      </w:pPr>
    </w:p>
    <w:p>
      <w:pPr>
        <w:ind w:left="620" w:hanging="304"/>
        <w:spacing w:after="0" w:line="266"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333-159313) pertaining to the Build-A-Bear Workshop, Inc. Second Amended and Restated 2004 Stock Incentive Plan; and</w:t>
      </w:r>
    </w:p>
    <w:p>
      <w:pPr>
        <w:ind w:left="620" w:hanging="304"/>
        <w:spacing w:after="0" w:line="255"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333-195925) pertaining to the Build-A-Bear Workshop, Inc. Third Amended and Restated 2004 Stock Incentive Plan;</w:t>
      </w: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333-218034) pertaining to the Build-A-Bear Workshop, Inc. 2017 Omnibus Incentive Plan;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333-248716) pertaining to the Build-A-Bear Workshop, Inc. 2020 Omnibus Incentive Plan;</w:t>
      </w:r>
    </w:p>
    <w:p>
      <w:pPr>
        <w:spacing w:after="0" w:line="12" w:lineRule="exact"/>
        <w:rPr>
          <w:rFonts w:ascii="Times New Roman" w:cs="Times New Roman" w:eastAsia="Times New Roman" w:hAnsi="Times New Roman"/>
          <w:sz w:val="17"/>
          <w:szCs w:val="17"/>
          <w:color w:val="auto"/>
        </w:rPr>
      </w:pPr>
    </w:p>
    <w:p>
      <w:pPr>
        <w:ind w:left="620" w:right="340" w:hanging="304"/>
        <w:spacing w:after="0" w:line="271"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333-274386) pertaining to the Build-A-Bear Workshop, Inc. Amended and Restated 2020 Omnibus Incentive Plan;</w:t>
      </w:r>
    </w:p>
    <w:p>
      <w:pPr>
        <w:spacing w:after="0" w:line="165" w:lineRule="exact"/>
        <w:rPr>
          <w:sz w:val="20"/>
          <w:szCs w:val="20"/>
          <w:color w:val="auto"/>
        </w:rPr>
      </w:pPr>
    </w:p>
    <w:p>
      <w:pPr>
        <w:jc w:val="both"/>
        <w:ind w:left="120" w:right="120"/>
        <w:spacing w:after="0" w:line="274" w:lineRule="auto"/>
        <w:rPr>
          <w:sz w:val="20"/>
          <w:szCs w:val="20"/>
          <w:color w:val="auto"/>
        </w:rPr>
      </w:pPr>
      <w:r>
        <w:rPr>
          <w:rFonts w:ascii="Times New Roman" w:cs="Times New Roman" w:eastAsia="Times New Roman" w:hAnsi="Times New Roman"/>
          <w:sz w:val="17"/>
          <w:szCs w:val="17"/>
          <w:color w:val="auto"/>
        </w:rPr>
        <w:t>of our reports dated April 17, 2025, with respect to the consolidated financial statements and schedule of Build-A-Bear Workshop, Inc. and Subsidiaries and the effectiveness of internal control over financial reporting of Build-A-Bear Workshop, Inc. and Subsidiaries, included in this Annual Report (Form 10-K) of Build-A-Bear Workshop, Inc. and Subsidiaries for the year-ended February 1, 2025.</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 Louis, Missouri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2025</w:t>
      </w:r>
    </w:p>
    <w:p>
      <w:pPr>
        <w:sectPr>
          <w:pgSz w:w="11900" w:h="16838" w:orient="portrait"/>
          <w:cols w:equalWidth="0" w:num="1">
            <w:col w:w="11240"/>
          </w:cols>
          <w:pgMar w:left="320" w:top="11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Sharon John, certify that:</w:t>
      </w:r>
    </w:p>
    <w:p>
      <w:pPr>
        <w:spacing w:after="0" w:line="221" w:lineRule="exact"/>
        <w:rPr>
          <w:sz w:val="20"/>
          <w:szCs w:val="20"/>
          <w:color w:val="auto"/>
        </w:rPr>
      </w:pPr>
    </w:p>
    <w:p>
      <w:pPr>
        <w:ind w:left="840" w:hanging="407"/>
        <w:spacing w:after="0"/>
        <w:tabs>
          <w:tab w:leader="none" w:pos="8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Build-A-Bear Workshop, Inc.;</w:t>
      </w:r>
    </w:p>
    <w:p>
      <w:pPr>
        <w:spacing w:after="0" w:line="220" w:lineRule="exact"/>
        <w:rPr>
          <w:rFonts w:ascii="Times New Roman" w:cs="Times New Roman" w:eastAsia="Times New Roman" w:hAnsi="Times New Roman"/>
          <w:sz w:val="17"/>
          <w:szCs w:val="17"/>
          <w:color w:val="auto"/>
        </w:rPr>
      </w:pPr>
    </w:p>
    <w:p>
      <w:pPr>
        <w:jc w:val="both"/>
        <w:ind w:left="840" w:hanging="407"/>
        <w:spacing w:after="0" w:line="286" w:lineRule="auto"/>
        <w:tabs>
          <w:tab w:leader="none" w:pos="8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6" w:lineRule="exact"/>
        <w:rPr>
          <w:rFonts w:ascii="Times New Roman" w:cs="Times New Roman" w:eastAsia="Times New Roman" w:hAnsi="Times New Roman"/>
          <w:sz w:val="17"/>
          <w:szCs w:val="17"/>
          <w:color w:val="auto"/>
        </w:rPr>
      </w:pPr>
    </w:p>
    <w:p>
      <w:pPr>
        <w:ind w:left="840" w:hanging="407"/>
        <w:spacing w:after="0" w:line="293" w:lineRule="auto"/>
        <w:tabs>
          <w:tab w:leader="none" w:pos="8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jc w:val="both"/>
        <w:ind w:left="840" w:hanging="407"/>
        <w:spacing w:after="0" w:line="274" w:lineRule="auto"/>
        <w:tabs>
          <w:tab w:leader="none" w:pos="8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jc w:val="both"/>
        <w:ind w:left="1380" w:firstLine="4"/>
        <w:spacing w:after="0" w:line="274" w:lineRule="auto"/>
        <w:tabs>
          <w:tab w:leader="none" w:pos="166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jc w:val="both"/>
        <w:ind w:left="1380" w:firstLine="4"/>
        <w:spacing w:after="0" w:line="274" w:lineRule="auto"/>
        <w:tabs>
          <w:tab w:leader="none" w:pos="163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1380" w:firstLine="4"/>
        <w:spacing w:after="0" w:line="293" w:lineRule="auto"/>
        <w:tabs>
          <w:tab w:leader="none" w:pos="163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jc w:val="both"/>
        <w:ind w:left="1380" w:firstLine="4"/>
        <w:spacing w:after="0" w:line="274" w:lineRule="auto"/>
        <w:tabs>
          <w:tab w:leader="none" w:pos="163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840" w:hanging="407"/>
        <w:spacing w:after="0" w:line="293" w:lineRule="auto"/>
        <w:tabs>
          <w:tab w:leader="none" w:pos="8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1380" w:firstLine="4"/>
        <w:spacing w:after="0" w:line="293" w:lineRule="auto"/>
        <w:tabs>
          <w:tab w:leader="none" w:pos="164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1380" w:firstLine="4"/>
        <w:spacing w:after="0" w:line="293" w:lineRule="auto"/>
        <w:tabs>
          <w:tab w:leader="none" w:pos="163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17, 2025</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 Sharon John</w:t>
            </w:r>
          </w:p>
        </w:tc>
      </w:tr>
      <w:tr>
        <w:trPr>
          <w:trHeight w:val="183"/>
        </w:trPr>
        <w:tc>
          <w:tcPr>
            <w:tcW w:w="5880" w:type="dxa"/>
            <w:vAlign w:val="bottom"/>
          </w:tcPr>
          <w:p>
            <w:pPr>
              <w:spacing w:after="0"/>
              <w:rPr>
                <w:sz w:val="15"/>
                <w:szCs w:val="15"/>
                <w:color w:val="auto"/>
              </w:rPr>
            </w:pPr>
          </w:p>
        </w:tc>
        <w:tc>
          <w:tcPr>
            <w:tcW w:w="536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Sharon John</w:t>
            </w:r>
          </w:p>
        </w:tc>
      </w:tr>
      <w:tr>
        <w:trPr>
          <w:trHeight w:val="208"/>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8"/>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Build-A-Bear Workshop, Inc.</w:t>
            </w:r>
          </w:p>
        </w:tc>
      </w:tr>
      <w:tr>
        <w:trPr>
          <w:trHeight w:val="227"/>
        </w:trPr>
        <w:tc>
          <w:tcPr>
            <w:tcW w:w="5880" w:type="dxa"/>
            <w:vAlign w:val="bottom"/>
          </w:tcPr>
          <w:p>
            <w:pPr>
              <w:spacing w:after="0"/>
              <w:rPr>
                <w:sz w:val="19"/>
                <w:szCs w:val="19"/>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1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Voin Todorovic, certify that:</w:t>
      </w:r>
    </w:p>
    <w:p>
      <w:pPr>
        <w:spacing w:after="0" w:line="221" w:lineRule="exact"/>
        <w:rPr>
          <w:sz w:val="20"/>
          <w:szCs w:val="20"/>
          <w:color w:val="auto"/>
        </w:rPr>
      </w:pPr>
    </w:p>
    <w:p>
      <w:pPr>
        <w:ind w:left="840" w:hanging="407"/>
        <w:spacing w:after="0"/>
        <w:tabs>
          <w:tab w:leader="none" w:pos="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Build-A-Bear Workshop, Inc.;</w:t>
      </w:r>
    </w:p>
    <w:p>
      <w:pPr>
        <w:spacing w:after="0" w:line="220" w:lineRule="exact"/>
        <w:rPr>
          <w:rFonts w:ascii="Times New Roman" w:cs="Times New Roman" w:eastAsia="Times New Roman" w:hAnsi="Times New Roman"/>
          <w:sz w:val="17"/>
          <w:szCs w:val="17"/>
          <w:color w:val="auto"/>
        </w:rPr>
      </w:pPr>
    </w:p>
    <w:p>
      <w:pPr>
        <w:jc w:val="both"/>
        <w:ind w:left="840" w:hanging="407"/>
        <w:spacing w:after="0" w:line="286" w:lineRule="auto"/>
        <w:tabs>
          <w:tab w:leader="none" w:pos="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6" w:lineRule="exact"/>
        <w:rPr>
          <w:rFonts w:ascii="Times New Roman" w:cs="Times New Roman" w:eastAsia="Times New Roman" w:hAnsi="Times New Roman"/>
          <w:sz w:val="17"/>
          <w:szCs w:val="17"/>
          <w:color w:val="auto"/>
        </w:rPr>
      </w:pPr>
    </w:p>
    <w:p>
      <w:pPr>
        <w:ind w:left="840" w:hanging="407"/>
        <w:spacing w:after="0" w:line="293" w:lineRule="auto"/>
        <w:tabs>
          <w:tab w:leader="none" w:pos="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jc w:val="both"/>
        <w:ind w:left="840" w:hanging="407"/>
        <w:spacing w:after="0" w:line="274" w:lineRule="auto"/>
        <w:tabs>
          <w:tab w:leader="none" w:pos="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jc w:val="both"/>
        <w:ind w:left="1380" w:firstLine="4"/>
        <w:spacing w:after="0" w:line="274" w:lineRule="auto"/>
        <w:tabs>
          <w:tab w:leader="none" w:pos="166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jc w:val="both"/>
        <w:ind w:left="1380" w:firstLine="4"/>
        <w:spacing w:after="0" w:line="274" w:lineRule="auto"/>
        <w:tabs>
          <w:tab w:leader="none" w:pos="163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1380" w:firstLine="4"/>
        <w:spacing w:after="0" w:line="293" w:lineRule="auto"/>
        <w:tabs>
          <w:tab w:leader="none" w:pos="163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jc w:val="both"/>
        <w:ind w:left="1380" w:firstLine="4"/>
        <w:spacing w:after="0" w:line="274" w:lineRule="auto"/>
        <w:tabs>
          <w:tab w:leader="none" w:pos="163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840" w:hanging="407"/>
        <w:spacing w:after="0" w:line="293" w:lineRule="auto"/>
        <w:tabs>
          <w:tab w:leader="none" w:pos="8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1380" w:firstLine="4"/>
        <w:spacing w:after="0" w:line="293" w:lineRule="auto"/>
        <w:tabs>
          <w:tab w:leader="none" w:pos="164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1380" w:firstLine="4"/>
        <w:spacing w:after="0" w:line="293" w:lineRule="auto"/>
        <w:tabs>
          <w:tab w:leader="none" w:pos="163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17, 2025</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Voin Todorovic</w:t>
            </w:r>
          </w:p>
        </w:tc>
      </w:tr>
      <w:tr>
        <w:trPr>
          <w:trHeight w:val="183"/>
        </w:trPr>
        <w:tc>
          <w:tcPr>
            <w:tcW w:w="5880" w:type="dxa"/>
            <w:vAlign w:val="bottom"/>
          </w:tcPr>
          <w:p>
            <w:pPr>
              <w:spacing w:after="0"/>
              <w:rPr>
                <w:sz w:val="15"/>
                <w:szCs w:val="15"/>
                <w:color w:val="auto"/>
              </w:rPr>
            </w:pPr>
          </w:p>
        </w:tc>
        <w:tc>
          <w:tcPr>
            <w:tcW w:w="5360" w:type="dxa"/>
            <w:vAlign w:val="bottom"/>
          </w:tcPr>
          <w:p>
            <w:pPr>
              <w:ind w:left="60"/>
              <w:spacing w:after="0" w:line="183" w:lineRule="exact"/>
              <w:rPr>
                <w:sz w:val="20"/>
                <w:szCs w:val="20"/>
                <w:color w:val="auto"/>
              </w:rPr>
            </w:pPr>
            <w:r>
              <w:rPr>
                <w:rFonts w:ascii="Times New Roman" w:cs="Times New Roman" w:eastAsia="Times New Roman" w:hAnsi="Times New Roman"/>
                <w:sz w:val="17"/>
                <w:szCs w:val="17"/>
                <w:color w:val="auto"/>
              </w:rPr>
              <w:t>Voin Todorovic</w:t>
            </w:r>
          </w:p>
        </w:tc>
      </w:tr>
      <w:tr>
        <w:trPr>
          <w:trHeight w:val="208"/>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8"/>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Build-A-Bear Workshop, Inc.</w:t>
            </w:r>
          </w:p>
        </w:tc>
      </w:tr>
      <w:tr>
        <w:trPr>
          <w:trHeight w:val="227"/>
        </w:trPr>
        <w:tc>
          <w:tcPr>
            <w:tcW w:w="588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19"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2" w:lineRule="exact"/>
        <w:rPr>
          <w:sz w:val="20"/>
          <w:szCs w:val="20"/>
          <w:color w:val="auto"/>
        </w:rPr>
      </w:pPr>
    </w:p>
    <w:p>
      <w:pPr>
        <w:jc w:val="both"/>
        <w:ind w:firstLine="425"/>
        <w:spacing w:after="0" w:line="268" w:lineRule="auto"/>
        <w:rPr>
          <w:sz w:val="20"/>
          <w:szCs w:val="20"/>
          <w:color w:val="auto"/>
        </w:rPr>
      </w:pPr>
      <w:r>
        <w:rPr>
          <w:rFonts w:ascii="Times New Roman" w:cs="Times New Roman" w:eastAsia="Times New Roman" w:hAnsi="Times New Roman"/>
          <w:sz w:val="17"/>
          <w:szCs w:val="17"/>
          <w:color w:val="auto"/>
        </w:rPr>
        <w:t>In connection with the Annual Report of Build-A-Bear Workshop, Inc. (the “Company”) on Form 10-K for the period ended February 1, 2025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68" w:lineRule="exact"/>
        <w:rPr>
          <w:sz w:val="20"/>
          <w:szCs w:val="20"/>
          <w:color w:val="auto"/>
        </w:rPr>
      </w:pPr>
    </w:p>
    <w:p>
      <w:pPr>
        <w:ind w:left="680" w:hanging="251"/>
        <w:spacing w:after="0"/>
        <w:tabs>
          <w:tab w:leader="none" w:pos="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7"/>
          <w:szCs w:val="17"/>
          <w:color w:val="auto"/>
        </w:rPr>
      </w:pPr>
    </w:p>
    <w:p>
      <w:pPr>
        <w:ind w:left="680" w:hanging="251"/>
        <w:spacing w:after="0"/>
        <w:tabs>
          <w:tab w:leader="none" w:pos="6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17, 2025</w:t>
            </w:r>
          </w:p>
        </w:tc>
        <w:tc>
          <w:tcPr>
            <w:tcW w:w="5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Sharon John</w:t>
            </w:r>
          </w:p>
        </w:tc>
      </w:tr>
      <w:tr>
        <w:trPr>
          <w:trHeight w:val="183"/>
        </w:trPr>
        <w:tc>
          <w:tcPr>
            <w:tcW w:w="5880" w:type="dxa"/>
            <w:vAlign w:val="bottom"/>
          </w:tcPr>
          <w:p>
            <w:pPr>
              <w:spacing w:after="0"/>
              <w:rPr>
                <w:sz w:val="15"/>
                <w:szCs w:val="15"/>
                <w:color w:val="auto"/>
              </w:rPr>
            </w:pPr>
          </w:p>
        </w:tc>
        <w:tc>
          <w:tcPr>
            <w:tcW w:w="5360" w:type="dxa"/>
            <w:vAlign w:val="bottom"/>
          </w:tcPr>
          <w:p>
            <w:pPr>
              <w:ind w:left="60"/>
              <w:spacing w:after="0" w:line="183" w:lineRule="exact"/>
              <w:rPr>
                <w:sz w:val="20"/>
                <w:szCs w:val="20"/>
                <w:color w:val="auto"/>
              </w:rPr>
            </w:pPr>
            <w:r>
              <w:rPr>
                <w:rFonts w:ascii="Times New Roman" w:cs="Times New Roman" w:eastAsia="Times New Roman" w:hAnsi="Times New Roman"/>
                <w:sz w:val="17"/>
                <w:szCs w:val="17"/>
                <w:color w:val="auto"/>
              </w:rPr>
              <w:t>Sharon John</w:t>
            </w:r>
          </w:p>
        </w:tc>
      </w:tr>
      <w:tr>
        <w:trPr>
          <w:trHeight w:val="208"/>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8"/>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Build-A-Bear Workshop, Inc.</w:t>
            </w:r>
          </w:p>
        </w:tc>
      </w:tr>
      <w:tr>
        <w:trPr>
          <w:trHeight w:val="227"/>
        </w:trPr>
        <w:tc>
          <w:tcPr>
            <w:tcW w:w="588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1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2" w:lineRule="exact"/>
        <w:rPr>
          <w:sz w:val="20"/>
          <w:szCs w:val="20"/>
          <w:color w:val="auto"/>
        </w:rPr>
      </w:pPr>
    </w:p>
    <w:p>
      <w:pPr>
        <w:jc w:val="both"/>
        <w:ind w:right="220" w:firstLine="425"/>
        <w:spacing w:after="0" w:line="268" w:lineRule="auto"/>
        <w:rPr>
          <w:sz w:val="20"/>
          <w:szCs w:val="20"/>
          <w:color w:val="auto"/>
        </w:rPr>
      </w:pPr>
      <w:r>
        <w:rPr>
          <w:rFonts w:ascii="Times New Roman" w:cs="Times New Roman" w:eastAsia="Times New Roman" w:hAnsi="Times New Roman"/>
          <w:sz w:val="17"/>
          <w:szCs w:val="17"/>
          <w:color w:val="auto"/>
        </w:rPr>
        <w:t>In connection with the Annual Report of Build-A-Bear Workshop, Inc. (the “Company”) on Form 10-K for the period ended February 1, 2025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68" w:lineRule="exact"/>
        <w:rPr>
          <w:sz w:val="20"/>
          <w:szCs w:val="20"/>
          <w:color w:val="auto"/>
        </w:rPr>
      </w:pPr>
    </w:p>
    <w:p>
      <w:pPr>
        <w:ind w:left="680" w:hanging="251"/>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7"/>
          <w:szCs w:val="17"/>
          <w:color w:val="auto"/>
        </w:rPr>
      </w:pPr>
    </w:p>
    <w:p>
      <w:pPr>
        <w:ind w:left="680" w:hanging="251"/>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17, 2025</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 Voin Todorovic</w:t>
            </w:r>
          </w:p>
        </w:tc>
      </w:tr>
      <w:tr>
        <w:trPr>
          <w:trHeight w:val="183"/>
        </w:trPr>
        <w:tc>
          <w:tcPr>
            <w:tcW w:w="5880" w:type="dxa"/>
            <w:vAlign w:val="bottom"/>
          </w:tcPr>
          <w:p>
            <w:pPr>
              <w:spacing w:after="0"/>
              <w:rPr>
                <w:sz w:val="15"/>
                <w:szCs w:val="15"/>
                <w:color w:val="auto"/>
              </w:rPr>
            </w:pPr>
          </w:p>
        </w:tc>
        <w:tc>
          <w:tcPr>
            <w:tcW w:w="536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Voin Todorovic</w:t>
            </w:r>
          </w:p>
        </w:tc>
      </w:tr>
      <w:tr>
        <w:trPr>
          <w:trHeight w:val="208"/>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8"/>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Build-A-Bear Workshop, Inc.</w:t>
            </w:r>
          </w:p>
        </w:tc>
      </w:tr>
      <w:tr>
        <w:trPr>
          <w:trHeight w:val="227"/>
        </w:trPr>
        <w:tc>
          <w:tcPr>
            <w:tcW w:w="5880" w:type="dxa"/>
            <w:vAlign w:val="bottom"/>
          </w:tcPr>
          <w:p>
            <w:pPr>
              <w:spacing w:after="0"/>
              <w:rPr>
                <w:sz w:val="19"/>
                <w:szCs w:val="19"/>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ectPr>
          <w:pgSz w:w="11900" w:h="16838" w:orient="portrait"/>
          <w:cols w:equalWidth="0" w:num="1">
            <w:col w:w="11240"/>
          </w:cols>
          <w:pgMar w:left="320" w:top="11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33"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BUILD-A-BEAR WORKSHOP, INC.</w:t>
      </w:r>
    </w:p>
    <w:p>
      <w:pPr>
        <w:spacing w:after="0" w:line="200"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21"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i w:val="1"/>
          <w:iCs w:val="1"/>
          <w:color w:val="auto"/>
        </w:rPr>
        <w:t>Adopted: November 7, 2023</w:t>
      </w:r>
    </w:p>
    <w:p>
      <w:pPr>
        <w:spacing w:after="0" w:line="221" w:lineRule="exact"/>
        <w:rPr>
          <w:sz w:val="20"/>
          <w:szCs w:val="20"/>
          <w:color w:val="auto"/>
        </w:rPr>
      </w:pPr>
    </w:p>
    <w:p>
      <w:pPr>
        <w:ind w:left="305" w:hanging="305"/>
        <w:spacing w:after="0"/>
        <w:tabs>
          <w:tab w:leader="none" w:pos="305"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Purpose. </w:t>
      </w:r>
      <w:r>
        <w:rPr>
          <w:rFonts w:ascii="Times New Roman" w:cs="Times New Roman" w:eastAsia="Times New Roman" w:hAnsi="Times New Roman"/>
          <w:sz w:val="17"/>
          <w:szCs w:val="17"/>
          <w:color w:val="auto"/>
        </w:rPr>
        <w:t>The purpose of this Clawback Policy of the Company (as amended from time to time,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dated as of November 7, 2023 (the</w:t>
      </w:r>
    </w:p>
    <w:p>
      <w:pPr>
        <w:spacing w:after="0" w:line="33" w:lineRule="exact"/>
        <w:rPr>
          <w:sz w:val="20"/>
          <w:szCs w:val="20"/>
          <w:color w:val="auto"/>
        </w:rPr>
      </w:pPr>
    </w:p>
    <w:p>
      <w:pPr>
        <w:ind w:left="5" w:right="14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Adoption Date</w:t>
      </w:r>
      <w:r>
        <w:rPr>
          <w:rFonts w:ascii="Times New Roman" w:cs="Times New Roman" w:eastAsia="Times New Roman" w:hAnsi="Times New Roman"/>
          <w:sz w:val="17"/>
          <w:szCs w:val="17"/>
          <w:color w:val="auto"/>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NYSE listing standards (including Section 303A.14 of the NYSE listing company manual) (such legal requirements, and rules and requirements of NYSE, collectively, the “</w:t>
      </w:r>
      <w:r>
        <w:rPr>
          <w:rFonts w:ascii="Times New Roman" w:cs="Times New Roman" w:eastAsia="Times New Roman" w:hAnsi="Times New Roman"/>
          <w:sz w:val="17"/>
          <w:szCs w:val="17"/>
          <w:u w:val="single" w:color="auto"/>
          <w:color w:val="auto"/>
        </w:rPr>
        <w:t>SEC/NYSE Clawback Rules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5" w:right="200" w:hanging="5"/>
        <w:spacing w:after="0" w:line="265" w:lineRule="auto"/>
        <w:tabs>
          <w:tab w:leader="none" w:pos="299"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Administration. </w:t>
      </w:r>
      <w:r>
        <w:rPr>
          <w:rFonts w:ascii="Times New Roman" w:cs="Times New Roman" w:eastAsia="Times New Roman" w:hAnsi="Times New Roman"/>
          <w:sz w:val="17"/>
          <w:szCs w:val="17"/>
          <w:color w:val="auto"/>
        </w:rPr>
        <w:t>This Policy shall be administered by the Committee. The Committee is authorized to interpret and construe this Policy and to make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NYSE, any determinations of the Committee hereunder need not be uniform with respect to one or more Executive Officers (whether current and/or former).</w:t>
      </w:r>
    </w:p>
    <w:p>
      <w:pPr>
        <w:spacing w:after="0" w:line="169" w:lineRule="exact"/>
        <w:rPr>
          <w:rFonts w:ascii="Times New Roman" w:cs="Times New Roman" w:eastAsia="Times New Roman" w:hAnsi="Times New Roman"/>
          <w:sz w:val="17"/>
          <w:szCs w:val="17"/>
          <w:b w:val="1"/>
          <w:bCs w:val="1"/>
          <w:color w:val="auto"/>
        </w:rPr>
      </w:pPr>
    </w:p>
    <w:p>
      <w:pPr>
        <w:ind w:left="305" w:hanging="305"/>
        <w:spacing w:after="0"/>
        <w:tabs>
          <w:tab w:leader="none" w:pos="30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For purposes of this Policy, the following capitalized terms shall have the meanings set forth below:</w:t>
      </w:r>
    </w:p>
    <w:p>
      <w:pPr>
        <w:spacing w:after="0" w:line="223" w:lineRule="exact"/>
        <w:rPr>
          <w:sz w:val="20"/>
          <w:szCs w:val="20"/>
          <w:color w:val="auto"/>
        </w:rPr>
      </w:pPr>
    </w:p>
    <w:p>
      <w:pPr>
        <w:ind w:left="565" w:right="20"/>
        <w:spacing w:after="0" w:line="268" w:lineRule="auto"/>
        <w:rPr>
          <w:sz w:val="20"/>
          <w:szCs w:val="20"/>
          <w:color w:val="auto"/>
        </w:rPr>
      </w:pPr>
      <w:r>
        <w:rPr>
          <w:rFonts w:ascii="Times New Roman" w:cs="Times New Roman" w:eastAsia="Times New Roman" w:hAnsi="Times New Roman"/>
          <w:sz w:val="17"/>
          <w:szCs w:val="17"/>
          <w:color w:val="auto"/>
        </w:rPr>
        <w:t>(a)“ Accounting Restatement”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-434975</wp:posOffset>
            </wp:positionV>
            <wp:extent cx="11893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140" w:lineRule="exact"/>
        <w:rPr>
          <w:sz w:val="20"/>
          <w:szCs w:val="20"/>
          <w:color w:val="auto"/>
        </w:rPr>
      </w:pPr>
    </w:p>
    <w:tbl>
      <w:tblPr>
        <w:tblLayout w:type="fixed"/>
        <w:tblInd w:w="565" w:type="dxa"/>
        <w:tblCellMar>
          <w:top w:w="0" w:type="dxa"/>
          <w:left w:w="0" w:type="dxa"/>
          <w:bottom w:w="0" w:type="dxa"/>
          <w:right w:w="0" w:type="dxa"/>
        </w:tblCellMar>
      </w:tblPr>
      <w:tr>
        <w:trPr>
          <w:trHeight w:val="195"/>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1012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Board” shall mean the Board of Directors of the Company.</w:t>
            </w:r>
          </w:p>
        </w:tc>
      </w:tr>
      <w:tr>
        <w:trPr>
          <w:trHeight w:val="20"/>
        </w:trPr>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39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w w:val="98"/>
              </w:rPr>
              <w:t>(c)“</w:t>
            </w:r>
          </w:p>
        </w:tc>
        <w:tc>
          <w:tcPr>
            <w:tcW w:w="80" w:type="dxa"/>
            <w:vAlign w:val="bottom"/>
          </w:tcPr>
          <w:p>
            <w:pPr>
              <w:spacing w:after="0"/>
              <w:rPr>
                <w:sz w:val="24"/>
                <w:szCs w:val="24"/>
                <w:color w:val="auto"/>
              </w:rPr>
            </w:pPr>
          </w:p>
        </w:tc>
        <w:tc>
          <w:tcPr>
            <w:tcW w:w="101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Clawback Eligible Incentive Compensation” shall mean all Incentive-Based Compensation Received by any current or former Executive Officer</w:t>
            </w:r>
          </w:p>
        </w:tc>
      </w:tr>
      <w:tr>
        <w:trPr>
          <w:trHeight w:val="20"/>
        </w:trPr>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8"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auto"/>
        </w:rPr>
        <w:t>on or after NYSE Effective Date, provided that:</w:t>
      </w:r>
    </w:p>
    <w:p>
      <w:pPr>
        <w:spacing w:after="0" w:line="221" w:lineRule="exact"/>
        <w:rPr>
          <w:sz w:val="20"/>
          <w:szCs w:val="20"/>
          <w:color w:val="auto"/>
        </w:rPr>
      </w:pPr>
    </w:p>
    <w:p>
      <w:pPr>
        <w:ind w:left="1525" w:hanging="328"/>
        <w:spacing w:after="0"/>
        <w:tabs>
          <w:tab w:leader="none" w:pos="152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Incentive-Based Compensation is Received after such individual began serving as an Executive Officer;</w:t>
      </w:r>
    </w:p>
    <w:p>
      <w:pPr>
        <w:spacing w:after="0" w:line="220" w:lineRule="exact"/>
        <w:rPr>
          <w:rFonts w:ascii="Times New Roman" w:cs="Times New Roman" w:eastAsia="Times New Roman" w:hAnsi="Times New Roman"/>
          <w:sz w:val="17"/>
          <w:szCs w:val="17"/>
          <w:color w:val="auto"/>
        </w:rPr>
      </w:pPr>
    </w:p>
    <w:p>
      <w:pPr>
        <w:ind w:left="1585" w:hanging="388"/>
        <w:spacing w:after="0"/>
        <w:tabs>
          <w:tab w:leader="none" w:pos="158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individual served as an Executive Officer at any time during the performance period for such Incentive-Based Compensation;</w:t>
      </w:r>
    </w:p>
    <w:p>
      <w:pPr>
        <w:spacing w:after="0" w:line="220" w:lineRule="exact"/>
        <w:rPr>
          <w:rFonts w:ascii="Times New Roman" w:cs="Times New Roman" w:eastAsia="Times New Roman" w:hAnsi="Times New Roman"/>
          <w:sz w:val="17"/>
          <w:szCs w:val="17"/>
          <w:color w:val="auto"/>
        </w:rPr>
      </w:pPr>
    </w:p>
    <w:p>
      <w:pPr>
        <w:ind w:left="1205" w:right="360" w:hanging="8"/>
        <w:spacing w:after="0" w:line="293" w:lineRule="auto"/>
        <w:tabs>
          <w:tab w:leader="none" w:pos="163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Incentive-Based Compensation is Received while the Company has a class of securities listed on NYSE or any other national securities exchange or national securities association; and</w:t>
      </w:r>
    </w:p>
    <w:p>
      <w:pPr>
        <w:spacing w:after="0" w:line="147" w:lineRule="exact"/>
        <w:rPr>
          <w:rFonts w:ascii="Times New Roman" w:cs="Times New Roman" w:eastAsia="Times New Roman" w:hAnsi="Times New Roman"/>
          <w:sz w:val="17"/>
          <w:szCs w:val="17"/>
          <w:color w:val="auto"/>
        </w:rPr>
      </w:pPr>
    </w:p>
    <w:p>
      <w:pPr>
        <w:ind w:left="1625" w:hanging="428"/>
        <w:spacing w:after="0"/>
        <w:tabs>
          <w:tab w:leader="none" w:pos="162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Incentive-Based Compensation is Received during the applicable Clawback Period.</w:t>
      </w:r>
    </w:p>
    <w:p>
      <w:pPr>
        <w:spacing w:after="0" w:line="221" w:lineRule="exact"/>
        <w:rPr>
          <w:sz w:val="20"/>
          <w:szCs w:val="20"/>
          <w:color w:val="auto"/>
        </w:rPr>
      </w:pPr>
    </w:p>
    <w:p>
      <w:pPr>
        <w:ind w:left="565" w:right="120"/>
        <w:spacing w:after="0" w:line="274" w:lineRule="auto"/>
        <w:rPr>
          <w:sz w:val="20"/>
          <w:szCs w:val="20"/>
          <w:color w:val="auto"/>
        </w:rPr>
      </w:pPr>
      <w:r>
        <w:rPr>
          <w:rFonts w:ascii="Times New Roman" w:cs="Times New Roman" w:eastAsia="Times New Roman" w:hAnsi="Times New Roman"/>
          <w:sz w:val="17"/>
          <w:szCs w:val="17"/>
          <w:color w:val="auto"/>
        </w:rPr>
        <w:t>(d)“ Clawback Period”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-305435</wp:posOffset>
            </wp:positionV>
            <wp:extent cx="8655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35" w:lineRule="exact"/>
        <w:rPr>
          <w:sz w:val="20"/>
          <w:szCs w:val="20"/>
          <w:color w:val="auto"/>
        </w:rPr>
      </w:pPr>
    </w:p>
    <w:tbl>
      <w:tblPr>
        <w:tblLayout w:type="fixed"/>
        <w:tblInd w:w="565" w:type="dxa"/>
        <w:tblCellMar>
          <w:top w:w="0" w:type="dxa"/>
          <w:left w:w="0" w:type="dxa"/>
          <w:bottom w:w="0" w:type="dxa"/>
          <w:right w:w="0" w:type="dxa"/>
        </w:tblCellMar>
      </w:tblPr>
      <w:tr>
        <w:trPr>
          <w:trHeight w:val="195"/>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w w:val="90"/>
              </w:rPr>
              <w:t>(e)“</w:t>
            </w:r>
          </w:p>
        </w:tc>
        <w:tc>
          <w:tcPr>
            <w:tcW w:w="99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Committee” shall mean the Compensation and Development Committee of the Board.</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9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w w:val="97"/>
              </w:rPr>
              <w:t>(f)“</w:t>
            </w:r>
          </w:p>
        </w:tc>
        <w:tc>
          <w:tcPr>
            <w:tcW w:w="99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Common Stock” shall mean the common stock, par value $0.01 per share, of the Company.</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9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w w:val="87"/>
              </w:rPr>
              <w:t>(g)“</w:t>
            </w:r>
          </w:p>
        </w:tc>
        <w:tc>
          <w:tcPr>
            <w:tcW w:w="996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Company” shall mean Build-A-Bear Workshop, Inc., a Delaware corporation.</w:t>
            </w:r>
          </w:p>
        </w:tc>
      </w:tr>
      <w:tr>
        <w:trPr>
          <w:trHeight w:val="20"/>
        </w:trPr>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9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w w:val="87"/>
              </w:rPr>
              <w:t>(h)“</w:t>
            </w:r>
          </w:p>
        </w:tc>
        <w:tc>
          <w:tcPr>
            <w:tcW w:w="996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Company Group” shall mean the Company, together with each of its direct and indirect subsidiaries.</w:t>
            </w:r>
          </w:p>
        </w:tc>
      </w:tr>
      <w:tr>
        <w:trPr>
          <w:trHeight w:val="20"/>
        </w:trPr>
        <w:tc>
          <w:tcPr>
            <w:tcW w:w="2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9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(i)“</w:t>
            </w:r>
          </w:p>
        </w:tc>
        <w:tc>
          <w:tcPr>
            <w:tcW w:w="9960" w:type="dxa"/>
            <w:vAlign w:val="bottom"/>
            <w:gridSpan w:val="6"/>
          </w:tcPr>
          <w:p>
            <w:pPr>
              <w:ind w:left="140"/>
              <w:spacing w:after="0"/>
              <w:rPr>
                <w:sz w:val="20"/>
                <w:szCs w:val="20"/>
                <w:color w:val="auto"/>
              </w:rPr>
            </w:pPr>
            <w:r>
              <w:rPr>
                <w:rFonts w:ascii="Times New Roman" w:cs="Times New Roman" w:eastAsia="Times New Roman" w:hAnsi="Times New Roman"/>
                <w:sz w:val="17"/>
                <w:szCs w:val="17"/>
                <w:color w:val="auto"/>
              </w:rPr>
              <w:t>Erroneously Awarded Compensation” shall mean, with respect to any current or former Executive Officer in connection with any Accounting</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8" w:lineRule="exact"/>
        <w:rPr>
          <w:sz w:val="20"/>
          <w:szCs w:val="20"/>
          <w:color w:val="auto"/>
        </w:rPr>
      </w:pPr>
    </w:p>
    <w:p>
      <w:pPr>
        <w:ind w:left="565"/>
        <w:spacing w:after="0" w:line="268" w:lineRule="auto"/>
        <w:rPr>
          <w:sz w:val="20"/>
          <w:szCs w:val="20"/>
          <w:color w:val="auto"/>
        </w:rPr>
      </w:pPr>
      <w:r>
        <w:rPr>
          <w:rFonts w:ascii="Times New Roman" w:cs="Times New Roman" w:eastAsia="Times New Roman" w:hAnsi="Times New Roman"/>
          <w:sz w:val="17"/>
          <w:szCs w:val="17"/>
          <w:color w:val="auto"/>
        </w:rPr>
        <w:t>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and computed without regard to any taxes paid.</w:t>
      </w:r>
    </w:p>
    <w:p>
      <w:pPr>
        <w:spacing w:after="0" w:line="160" w:lineRule="exact"/>
        <w:rPr>
          <w:sz w:val="20"/>
          <w:szCs w:val="20"/>
          <w:color w:val="auto"/>
        </w:rPr>
      </w:pPr>
    </w:p>
    <w:tbl>
      <w:tblPr>
        <w:tblLayout w:type="fixed"/>
        <w:tblInd w:w="565" w:type="dxa"/>
        <w:tblCellMar>
          <w:top w:w="0" w:type="dxa"/>
          <w:left w:w="0" w:type="dxa"/>
          <w:bottom w:w="0" w:type="dxa"/>
          <w:right w:w="0" w:type="dxa"/>
        </w:tblCellMar>
      </w:tblPr>
      <w:tr>
        <w:trPr>
          <w:trHeight w:val="195"/>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(j)“</w:t>
            </w:r>
          </w:p>
        </w:tc>
        <w:tc>
          <w:tcPr>
            <w:tcW w:w="9900" w:type="dxa"/>
            <w:vAlign w:val="bottom"/>
            <w:gridSpan w:val="6"/>
          </w:tcPr>
          <w:p>
            <w:pPr>
              <w:ind w:left="14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396"/>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w w:val="87"/>
              </w:rPr>
              <w:t>(k)“</w:t>
            </w:r>
          </w:p>
        </w:tc>
        <w:tc>
          <w:tcPr>
            <w:tcW w:w="99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Executive Officer” shall mean any officer as defined in Rule 10D-1(d) (or any successor provision thereof) under the Exchange Act and any</w:t>
            </w:r>
          </w:p>
        </w:tc>
      </w:tr>
      <w:tr>
        <w:trPr>
          <w:trHeight w:val="20"/>
        </w:trPr>
        <w:tc>
          <w:tcPr>
            <w:tcW w:w="280" w:type="dxa"/>
            <w:vAlign w:val="bottom"/>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27"/>
        </w:trPr>
        <w:tc>
          <w:tcPr>
            <w:tcW w:w="101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executive officer as defined in Section 303A.14(e) (or any successor provision thereof) of the NYSE Listing Company Manual.</w:t>
            </w:r>
          </w:p>
        </w:tc>
      </w:tr>
      <w:tr>
        <w:trPr>
          <w:trHeight w:val="377"/>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(l)“</w:t>
            </w:r>
          </w:p>
        </w:tc>
        <w:tc>
          <w:tcPr>
            <w:tcW w:w="9900" w:type="dxa"/>
            <w:vAlign w:val="bottom"/>
            <w:gridSpan w:val="6"/>
          </w:tcPr>
          <w:p>
            <w:pPr>
              <w:ind w:left="140"/>
              <w:spacing w:after="0"/>
              <w:rPr>
                <w:sz w:val="20"/>
                <w:szCs w:val="20"/>
                <w:color w:val="auto"/>
              </w:rPr>
            </w:pPr>
            <w:r>
              <w:rPr>
                <w:rFonts w:ascii="Times New Roman" w:cs="Times New Roman" w:eastAsia="Times New Roman" w:hAnsi="Times New Roman"/>
                <w:sz w:val="17"/>
                <w:szCs w:val="17"/>
                <w:color w:val="auto"/>
              </w:rPr>
              <w:t>Financial Reporting Measures” shall mean measures that are determined and presented in accordance with the accounting principles used in</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8" w:lineRule="exact"/>
        <w:rPr>
          <w:sz w:val="20"/>
          <w:szCs w:val="20"/>
          <w:color w:val="auto"/>
        </w:rPr>
      </w:pPr>
    </w:p>
    <w:p>
      <w:pPr>
        <w:ind w:left="565" w:right="80"/>
        <w:spacing w:after="0" w:line="268" w:lineRule="auto"/>
        <w:rPr>
          <w:sz w:val="20"/>
          <w:szCs w:val="20"/>
          <w:color w:val="auto"/>
        </w:rPr>
      </w:pPr>
      <w:r>
        <w:rPr>
          <w:rFonts w:ascii="Times New Roman" w:cs="Times New Roman" w:eastAsia="Times New Roman" w:hAnsi="Times New Roman"/>
          <w:sz w:val="17"/>
          <w:szCs w:val="17"/>
          <w:color w:val="auto"/>
        </w:rPr>
        <w:t>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60" w:lineRule="exact"/>
        <w:rPr>
          <w:sz w:val="20"/>
          <w:szCs w:val="20"/>
          <w:color w:val="auto"/>
        </w:rPr>
      </w:pPr>
    </w:p>
    <w:tbl>
      <w:tblPr>
        <w:tblLayout w:type="fixed"/>
        <w:tblInd w:w="565" w:type="dxa"/>
        <w:tblCellMar>
          <w:top w:w="0" w:type="dxa"/>
          <w:left w:w="0" w:type="dxa"/>
          <w:bottom w:w="0" w:type="dxa"/>
          <w:right w:w="0" w:type="dxa"/>
        </w:tblCellMar>
      </w:tblPr>
      <w:tr>
        <w:trPr>
          <w:trHeight w:val="195"/>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93"/>
              </w:rPr>
              <w:t>(m)“</w:t>
            </w:r>
          </w:p>
        </w:tc>
        <w:tc>
          <w:tcPr>
            <w:tcW w:w="101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Incentive-Based Compensation” shall mean any compensation that is granted, earned or vested based wholly or in part upon the attainment of a</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27"/>
        </w:trPr>
        <w:tc>
          <w:tcPr>
            <w:tcW w:w="104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Financial Reporting Measure.</w:t>
            </w:r>
          </w:p>
        </w:tc>
      </w:tr>
      <w:tr>
        <w:trPr>
          <w:trHeight w:val="377"/>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(n)“</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NYSE” shall mean the New York Stock Exchange.</w:t>
            </w: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r>
      <w:tr>
        <w:trPr>
          <w:trHeight w:val="39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(o)“</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NYSE Effective Date” shall mean October 2, 2023 (which is the effective date of the final NYSE listing standards).</w:t>
            </w: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ectPr>
          <w:pgSz w:w="11900" w:h="16838" w:orient="portrait"/>
          <w:cols w:equalWidth="0" w:num="1">
            <w:col w:w="11045"/>
          </w:cols>
          <w:pgMar w:left="515" w:top="327" w:right="339" w:bottom="133" w:gutter="0" w:footer="0" w:header="0"/>
        </w:sectPr>
      </w:pPr>
    </w:p>
    <w:bookmarkStart w:id="86" w:name="page87"/>
    <w:bookmarkEnd w:id="86"/>
    <w:p>
      <w:pPr>
        <w:ind w:left="565" w:right="300"/>
        <w:spacing w:after="0" w:line="274" w:lineRule="auto"/>
        <w:rPr>
          <w:sz w:val="20"/>
          <w:szCs w:val="20"/>
          <w:color w:val="auto"/>
        </w:rPr>
      </w:pPr>
      <w:r>
        <w:rPr>
          <w:rFonts w:ascii="Times New Roman" w:cs="Times New Roman" w:eastAsia="Times New Roman" w:hAnsi="Times New Roman"/>
          <w:sz w:val="17"/>
          <w:szCs w:val="17"/>
          <w:color w:val="auto"/>
        </w:rPr>
        <w:t>(p)“ Received”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-305435</wp:posOffset>
            </wp:positionV>
            <wp:extent cx="519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143" w:lineRule="exact"/>
        <w:rPr>
          <w:sz w:val="20"/>
          <w:szCs w:val="20"/>
          <w:color w:val="auto"/>
        </w:rPr>
      </w:pPr>
    </w:p>
    <w:p>
      <w:pPr>
        <w:ind w:left="565"/>
        <w:spacing w:after="0" w:line="271" w:lineRule="auto"/>
        <w:rPr>
          <w:sz w:val="20"/>
          <w:szCs w:val="20"/>
          <w:color w:val="auto"/>
        </w:rPr>
      </w:pPr>
      <w:r>
        <w:rPr>
          <w:rFonts w:ascii="Times New Roman" w:cs="Times New Roman" w:eastAsia="Times New Roman" w:hAnsi="Times New Roman"/>
          <w:sz w:val="17"/>
          <w:szCs w:val="17"/>
          <w:color w:val="auto"/>
        </w:rPr>
        <w:t>(q)“ Restatement Date”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-300990</wp:posOffset>
            </wp:positionV>
            <wp:extent cx="889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889635" cy="8255"/>
                    </a:xfrm>
                    <a:prstGeom prst="rect">
                      <a:avLst/>
                    </a:prstGeom>
                    <a:noFill/>
                  </pic:spPr>
                </pic:pic>
              </a:graphicData>
            </a:graphic>
          </wp:anchor>
        </w:drawing>
      </w:r>
    </w:p>
    <w:p>
      <w:pPr>
        <w:spacing w:after="0" w:line="359" w:lineRule="exact"/>
        <w:rPr>
          <w:sz w:val="20"/>
          <w:szCs w:val="20"/>
          <w:color w:val="auto"/>
        </w:rPr>
      </w:pPr>
    </w:p>
    <w:p>
      <w:pPr>
        <w:ind w:left="565"/>
        <w:spacing w:after="0"/>
        <w:tabs>
          <w:tab w:leader="none" w:pos="985" w:val="left"/>
        </w:tabs>
        <w:rPr>
          <w:sz w:val="20"/>
          <w:szCs w:val="20"/>
          <w:color w:val="auto"/>
        </w:rPr>
      </w:pPr>
      <w:r>
        <w:rPr>
          <w:rFonts w:ascii="Times New Roman" w:cs="Times New Roman" w:eastAsia="Times New Roman" w:hAnsi="Times New Roman"/>
          <w:sz w:val="17"/>
          <w:szCs w:val="17"/>
          <w:color w:val="auto"/>
        </w:rPr>
        <w:t>(r)“</w:t>
        <w:tab/>
        <w:t>SEC” shall mean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-4445</wp:posOffset>
            </wp:positionV>
            <wp:extent cx="3117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199" w:lineRule="exact"/>
        <w:rPr>
          <w:sz w:val="20"/>
          <w:szCs w:val="20"/>
          <w:color w:val="auto"/>
        </w:rPr>
      </w:pPr>
    </w:p>
    <w:p>
      <w:pPr>
        <w:ind w:left="525" w:hanging="525"/>
        <w:spacing w:after="0"/>
        <w:tabs>
          <w:tab w:leader="none" w:pos="525"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Recovery of Erroneously Awarded Compensation.</w:t>
      </w:r>
    </w:p>
    <w:p>
      <w:pPr>
        <w:spacing w:after="0" w:line="222" w:lineRule="exact"/>
        <w:rPr>
          <w:rFonts w:ascii="Times New Roman" w:cs="Times New Roman" w:eastAsia="Times New Roman" w:hAnsi="Times New Roman"/>
          <w:sz w:val="17"/>
          <w:szCs w:val="17"/>
          <w:b w:val="1"/>
          <w:bCs w:val="1"/>
          <w:color w:val="auto"/>
        </w:rPr>
      </w:pPr>
    </w:p>
    <w:p>
      <w:pPr>
        <w:ind w:left="585" w:firstLine="5"/>
        <w:spacing w:after="0" w:line="263" w:lineRule="auto"/>
        <w:tabs>
          <w:tab w:leader="none" w:pos="951"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17"/>
          <w:szCs w:val="17"/>
          <w:u w:val="single" w:color="auto"/>
          <w:color w:val="auto"/>
        </w:rPr>
        <w:t>Applicable Executives</w:t>
      </w:r>
      <w:r>
        <w:rPr>
          <w:rFonts w:ascii="Times New Roman" w:cs="Times New Roman" w:eastAsia="Times New Roman" w:hAnsi="Times New Roman"/>
          <w:sz w:val="17"/>
          <w:szCs w:val="17"/>
          <w:color w:val="auto"/>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71" w:lineRule="exact"/>
        <w:rPr>
          <w:rFonts w:ascii="Times New Roman" w:cs="Times New Roman" w:eastAsia="Times New Roman" w:hAnsi="Times New Roman"/>
          <w:sz w:val="17"/>
          <w:szCs w:val="17"/>
          <w:color w:val="auto"/>
        </w:rPr>
      </w:pPr>
    </w:p>
    <w:p>
      <w:pPr>
        <w:ind w:left="585" w:right="40" w:firstLine="5"/>
        <w:spacing w:after="0" w:line="265" w:lineRule="auto"/>
        <w:tabs>
          <w:tab w:leader="none" w:pos="961"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NYSE.</w:t>
      </w:r>
    </w:p>
    <w:p>
      <w:pPr>
        <w:spacing w:after="0" w:line="169" w:lineRule="exact"/>
        <w:rPr>
          <w:rFonts w:ascii="Times New Roman" w:cs="Times New Roman" w:eastAsia="Times New Roman" w:hAnsi="Times New Roman"/>
          <w:sz w:val="17"/>
          <w:szCs w:val="17"/>
          <w:color w:val="auto"/>
        </w:rPr>
      </w:pPr>
    </w:p>
    <w:p>
      <w:pPr>
        <w:ind w:left="585" w:right="780" w:firstLine="5"/>
        <w:spacing w:after="0" w:line="293" w:lineRule="auto"/>
        <w:tabs>
          <w:tab w:leader="none" w:pos="948"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determine, in its sole discretion, the method(s) for recovering any Erroneously Awarded Compensation from any Applicable Executive, which may include one or more of the following:</w:t>
      </w:r>
    </w:p>
    <w:p>
      <w:pPr>
        <w:spacing w:after="0" w:line="147" w:lineRule="exact"/>
        <w:rPr>
          <w:rFonts w:ascii="Times New Roman" w:cs="Times New Roman" w:eastAsia="Times New Roman" w:hAnsi="Times New Roman"/>
          <w:sz w:val="17"/>
          <w:szCs w:val="17"/>
          <w:color w:val="auto"/>
        </w:rPr>
      </w:pPr>
    </w:p>
    <w:p>
      <w:pPr>
        <w:ind w:left="1325" w:right="560" w:hanging="7"/>
        <w:spacing w:after="0" w:line="293" w:lineRule="auto"/>
        <w:tabs>
          <w:tab w:leader="none" w:pos="1662"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47" w:lineRule="exact"/>
        <w:rPr>
          <w:rFonts w:ascii="Times New Roman" w:cs="Times New Roman" w:eastAsia="Times New Roman" w:hAnsi="Times New Roman"/>
          <w:sz w:val="17"/>
          <w:szCs w:val="17"/>
          <w:color w:val="auto"/>
        </w:rPr>
      </w:pPr>
    </w:p>
    <w:p>
      <w:pPr>
        <w:ind w:left="1325" w:right="20" w:hanging="7"/>
        <w:spacing w:after="0" w:line="274" w:lineRule="auto"/>
        <w:tabs>
          <w:tab w:leader="none" w:pos="1710"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spacing w:after="0" w:line="163" w:lineRule="exact"/>
        <w:rPr>
          <w:rFonts w:ascii="Times New Roman" w:cs="Times New Roman" w:eastAsia="Times New Roman" w:hAnsi="Times New Roman"/>
          <w:sz w:val="17"/>
          <w:szCs w:val="17"/>
          <w:color w:val="auto"/>
        </w:rPr>
      </w:pPr>
    </w:p>
    <w:p>
      <w:pPr>
        <w:ind w:left="1325" w:right="380" w:hanging="7"/>
        <w:spacing w:after="0" w:line="293" w:lineRule="auto"/>
        <w:tabs>
          <w:tab w:leader="none" w:pos="1759"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47" w:lineRule="exact"/>
        <w:rPr>
          <w:rFonts w:ascii="Times New Roman" w:cs="Times New Roman" w:eastAsia="Times New Roman" w:hAnsi="Times New Roman"/>
          <w:sz w:val="17"/>
          <w:szCs w:val="17"/>
          <w:color w:val="auto"/>
        </w:rPr>
      </w:pPr>
    </w:p>
    <w:p>
      <w:pPr>
        <w:ind w:left="1745" w:hanging="427"/>
        <w:spacing w:after="0"/>
        <w:tabs>
          <w:tab w:leader="none" w:pos="1745"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offsetting amounts against compensation or other amounts otherwise payable by the Company Group to any Applicable Executive;</w:t>
      </w:r>
    </w:p>
    <w:p>
      <w:pPr>
        <w:spacing w:after="0" w:line="220" w:lineRule="exact"/>
        <w:rPr>
          <w:rFonts w:ascii="Times New Roman" w:cs="Times New Roman" w:eastAsia="Times New Roman" w:hAnsi="Times New Roman"/>
          <w:sz w:val="17"/>
          <w:szCs w:val="17"/>
          <w:color w:val="auto"/>
        </w:rPr>
      </w:pPr>
    </w:p>
    <w:p>
      <w:pPr>
        <w:ind w:left="1325" w:right="400" w:hanging="7"/>
        <w:spacing w:after="0" w:line="293" w:lineRule="auto"/>
        <w:tabs>
          <w:tab w:leader="none" w:pos="1701"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adjusting or offsetting against some or all outstanding vested or unvested equity awards of the Company held by such Applicable Executive; and/or</w:t>
      </w:r>
    </w:p>
    <w:p>
      <w:pPr>
        <w:spacing w:after="0" w:line="147" w:lineRule="exact"/>
        <w:rPr>
          <w:rFonts w:ascii="Times New Roman" w:cs="Times New Roman" w:eastAsia="Times New Roman" w:hAnsi="Times New Roman"/>
          <w:sz w:val="17"/>
          <w:szCs w:val="17"/>
          <w:color w:val="auto"/>
        </w:rPr>
      </w:pPr>
    </w:p>
    <w:p>
      <w:pPr>
        <w:ind w:left="1325" w:right="80" w:hanging="7"/>
        <w:spacing w:after="0" w:line="293" w:lineRule="auto"/>
        <w:tabs>
          <w:tab w:leader="none" w:pos="1749"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any other remedial and recovery actions with respect to such Applicable Executive permitted by applicable legal requirements and the rules and regulations of NYSE, as determined by the Committee.</w:t>
      </w:r>
    </w:p>
    <w:p>
      <w:pPr>
        <w:spacing w:after="0" w:line="147" w:lineRule="exact"/>
        <w:rPr>
          <w:rFonts w:ascii="Times New Roman" w:cs="Times New Roman" w:eastAsia="Times New Roman" w:hAnsi="Times New Roman"/>
          <w:sz w:val="17"/>
          <w:szCs w:val="17"/>
          <w:color w:val="auto"/>
        </w:rPr>
      </w:pPr>
    </w:p>
    <w:p>
      <w:pPr>
        <w:ind w:left="585" w:right="100" w:firstLine="5"/>
        <w:spacing w:after="0" w:line="274" w:lineRule="auto"/>
        <w:tabs>
          <w:tab w:leader="none" w:pos="961"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Company must recover Erroneously Awarded Compensation from any Applicable Executive pursuant to the terms of this Policy except to the extent that both (1) the Committee determines that such recovery would be impracticable, and (2) one of the following conditions is met:</w:t>
      </w:r>
    </w:p>
    <w:p>
      <w:pPr>
        <w:spacing w:after="0" w:line="163" w:lineRule="exact"/>
        <w:rPr>
          <w:rFonts w:ascii="Times New Roman" w:cs="Times New Roman" w:eastAsia="Times New Roman" w:hAnsi="Times New Roman"/>
          <w:sz w:val="17"/>
          <w:szCs w:val="17"/>
          <w:color w:val="auto"/>
        </w:rPr>
      </w:pPr>
    </w:p>
    <w:p>
      <w:pPr>
        <w:ind w:left="1325" w:right="420" w:hanging="7"/>
        <w:spacing w:after="0" w:line="268" w:lineRule="auto"/>
        <w:tabs>
          <w:tab w:leader="none" w:pos="1662"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expenses paid to a third party to assist in enforcing this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NYSE;</w:t>
      </w:r>
    </w:p>
    <w:p>
      <w:pPr>
        <w:spacing w:after="0" w:line="167" w:lineRule="exact"/>
        <w:rPr>
          <w:rFonts w:ascii="Times New Roman" w:cs="Times New Roman" w:eastAsia="Times New Roman" w:hAnsi="Times New Roman"/>
          <w:sz w:val="17"/>
          <w:szCs w:val="17"/>
          <w:color w:val="auto"/>
        </w:rPr>
      </w:pPr>
    </w:p>
    <w:p>
      <w:pPr>
        <w:ind w:left="1325" w:right="80" w:hanging="7"/>
        <w:spacing w:after="0" w:line="268" w:lineRule="auto"/>
        <w:tabs>
          <w:tab w:leader="none" w:pos="1710"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has provided copy of the opinion is provided to NYSE; or</w:t>
      </w:r>
    </w:p>
    <w:p>
      <w:pPr>
        <w:spacing w:after="0" w:line="167" w:lineRule="exact"/>
        <w:rPr>
          <w:rFonts w:ascii="Times New Roman" w:cs="Times New Roman" w:eastAsia="Times New Roman" w:hAnsi="Times New Roman"/>
          <w:sz w:val="17"/>
          <w:szCs w:val="17"/>
          <w:color w:val="auto"/>
        </w:rPr>
      </w:pPr>
    </w:p>
    <w:p>
      <w:pPr>
        <w:ind w:left="1325" w:right="200" w:hanging="7"/>
        <w:spacing w:after="0" w:line="274" w:lineRule="auto"/>
        <w:tabs>
          <w:tab w:leader="none" w:pos="1759"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or the Company Group, to fail to meet the requirements of 26 U.S.C. 401(a)(13) or 26 U.S.C. 411(a) and regulations thereunder.</w:t>
      </w:r>
    </w:p>
    <w:p>
      <w:pPr>
        <w:spacing w:after="0" w:line="161" w:lineRule="exact"/>
        <w:rPr>
          <w:rFonts w:ascii="Times New Roman" w:cs="Times New Roman" w:eastAsia="Times New Roman" w:hAnsi="Times New Roman"/>
          <w:sz w:val="17"/>
          <w:szCs w:val="17"/>
          <w:color w:val="auto"/>
        </w:rPr>
      </w:pPr>
    </w:p>
    <w:p>
      <w:pPr>
        <w:ind w:left="65" w:right="200" w:firstLine="4"/>
        <w:spacing w:after="0" w:line="269" w:lineRule="auto"/>
        <w:tabs>
          <w:tab w:leader="none" w:pos="369"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Indemnification, Etc. </w:t>
      </w:r>
      <w:r>
        <w:rPr>
          <w:rFonts w:ascii="Times New Roman" w:cs="Times New Roman" w:eastAsia="Times New Roman" w:hAnsi="Times New Roman"/>
          <w:sz w:val="17"/>
          <w:szCs w:val="17"/>
          <w:color w:val="auto"/>
        </w:rPr>
        <w:t>The Company Group shall not (x) indemnify any current or former Executive Officer against (i) the loss of any Erroneously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164" w:lineRule="exact"/>
        <w:rPr>
          <w:rFonts w:ascii="Times New Roman" w:cs="Times New Roman" w:eastAsia="Times New Roman" w:hAnsi="Times New Roman"/>
          <w:sz w:val="17"/>
          <w:szCs w:val="17"/>
          <w:b w:val="1"/>
          <w:bCs w:val="1"/>
          <w:color w:val="auto"/>
        </w:rPr>
      </w:pPr>
    </w:p>
    <w:p>
      <w:pPr>
        <w:ind w:left="65" w:firstLine="4"/>
        <w:spacing w:after="0" w:line="265" w:lineRule="auto"/>
        <w:tabs>
          <w:tab w:leader="none" w:pos="369"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Supersedure. </w:t>
      </w:r>
      <w:r>
        <w:rPr>
          <w:rFonts w:ascii="Times New Roman" w:cs="Times New Roman" w:eastAsia="Times New Roman" w:hAnsi="Times New Roman"/>
          <w:sz w:val="17"/>
          <w:szCs w:val="17"/>
          <w:color w:val="auto"/>
        </w:rPr>
        <w:t>This Policy will supersede any provisions in (x) any agreement, plan or other arrangement applicable to any member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Group, and (y) any 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above.</w:t>
      </w:r>
    </w:p>
    <w:p>
      <w:pPr>
        <w:spacing w:after="0" w:line="169" w:lineRule="exact"/>
        <w:rPr>
          <w:rFonts w:ascii="Times New Roman" w:cs="Times New Roman" w:eastAsia="Times New Roman" w:hAnsi="Times New Roman"/>
          <w:sz w:val="17"/>
          <w:szCs w:val="17"/>
          <w:b w:val="1"/>
          <w:bCs w:val="1"/>
          <w:color w:val="auto"/>
        </w:rPr>
      </w:pPr>
    </w:p>
    <w:p>
      <w:pPr>
        <w:jc w:val="both"/>
        <w:ind w:left="65" w:right="180" w:firstLine="4"/>
        <w:spacing w:after="0" w:line="275" w:lineRule="auto"/>
        <w:tabs>
          <w:tab w:leader="none" w:pos="359"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Amendment; Termination; Interpretation. </w:t>
      </w:r>
      <w:r>
        <w:rPr>
          <w:rFonts w:ascii="Times New Roman" w:cs="Times New Roman" w:eastAsia="Times New Roman" w:hAnsi="Times New Roman"/>
          <w:sz w:val="17"/>
          <w:szCs w:val="17"/>
          <w:color w:val="auto"/>
        </w:rPr>
        <w:t>The Committee may amend or terminate this Policy at any time, subject to compliance with all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requirements and the rules and requirements of NYSE. It is intended that this Policy be interpreted in a manner that is consistent with the SEC/NYSE Clawback Rules. This Policy is separate from, and in addition to, any other compensation recovery or recoupment policy of the Company or any applicable</w:t>
      </w:r>
    </w:p>
    <w:p>
      <w:pPr>
        <w:sectPr>
          <w:pgSz w:w="11900" w:h="16838" w:orient="portrait"/>
          <w:cols w:equalWidth="0" w:num="1">
            <w:col w:w="11045"/>
          </w:cols>
          <w:pgMar w:left="515" w:top="121" w:right="339" w:bottom="0" w:gutter="0" w:footer="0" w:header="0"/>
        </w:sectPr>
      </w:pPr>
    </w:p>
    <w:bookmarkStart w:id="87" w:name="page88"/>
    <w:bookmarkEnd w:id="87"/>
    <w:p>
      <w:pPr>
        <w:ind w:right="80"/>
        <w:spacing w:after="0" w:line="274" w:lineRule="auto"/>
        <w:rPr>
          <w:sz w:val="20"/>
          <w:szCs w:val="20"/>
          <w:color w:val="auto"/>
        </w:rPr>
      </w:pPr>
      <w:r>
        <w:rPr>
          <w:rFonts w:ascii="Times New Roman" w:cs="Times New Roman" w:eastAsia="Times New Roman" w:hAnsi="Times New Roman"/>
          <w:sz w:val="17"/>
          <w:szCs w:val="17"/>
          <w:color w:val="auto"/>
        </w:rPr>
        <w:t>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SEC/NYSE Clawback Rules.</w:t>
      </w:r>
    </w:p>
    <w:p>
      <w:pPr>
        <w:spacing w:after="0" w:line="161" w:lineRule="exact"/>
        <w:rPr>
          <w:sz w:val="20"/>
          <w:szCs w:val="20"/>
          <w:color w:val="auto"/>
        </w:rPr>
      </w:pPr>
    </w:p>
    <w:p>
      <w:pPr>
        <w:ind w:left="300" w:hanging="296"/>
        <w:spacing w:after="0"/>
        <w:tabs>
          <w:tab w:leader="none" w:pos="3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Recoupment Rights; No Additional Payments.</w:t>
      </w:r>
    </w:p>
    <w:p>
      <w:pPr>
        <w:spacing w:after="0" w:line="222" w:lineRule="exact"/>
        <w:rPr>
          <w:rFonts w:ascii="Times New Roman" w:cs="Times New Roman" w:eastAsia="Times New Roman" w:hAnsi="Times New Roman"/>
          <w:sz w:val="17"/>
          <w:szCs w:val="17"/>
          <w:b w:val="1"/>
          <w:bCs w:val="1"/>
          <w:color w:val="auto"/>
        </w:rPr>
      </w:pPr>
    </w:p>
    <w:p>
      <w:pPr>
        <w:jc w:val="both"/>
        <w:ind w:left="560" w:hanging="1"/>
        <w:spacing w:after="0" w:line="268" w:lineRule="auto"/>
        <w:tabs>
          <w:tab w:leader="none" w:pos="1153"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spacing w:after="0" w:line="167" w:lineRule="exact"/>
        <w:rPr>
          <w:rFonts w:ascii="Times New Roman" w:cs="Times New Roman" w:eastAsia="Times New Roman" w:hAnsi="Times New Roman"/>
          <w:sz w:val="17"/>
          <w:szCs w:val="17"/>
          <w:color w:val="auto"/>
        </w:rPr>
      </w:pPr>
    </w:p>
    <w:p>
      <w:pPr>
        <w:ind w:left="1160" w:hanging="601"/>
        <w:spacing w:after="0"/>
        <w:tabs>
          <w:tab w:leader="none" w:pos="11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to prevent duplicative recovery:</w:t>
      </w:r>
    </w:p>
    <w:p>
      <w:pPr>
        <w:spacing w:after="0" w:line="220" w:lineRule="exact"/>
        <w:rPr>
          <w:rFonts w:ascii="Times New Roman" w:cs="Times New Roman" w:eastAsia="Times New Roman" w:hAnsi="Times New Roman"/>
          <w:sz w:val="17"/>
          <w:szCs w:val="17"/>
          <w:color w:val="auto"/>
        </w:rPr>
      </w:pPr>
    </w:p>
    <w:p>
      <w:pPr>
        <w:ind w:left="1260" w:right="180" w:hanging="7"/>
        <w:spacing w:after="0" w:line="268" w:lineRule="auto"/>
        <w:tabs>
          <w:tab w:leader="none" w:pos="1597"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spacing w:after="0" w:line="167" w:lineRule="exact"/>
        <w:rPr>
          <w:rFonts w:ascii="Times New Roman" w:cs="Times New Roman" w:eastAsia="Times New Roman" w:hAnsi="Times New Roman"/>
          <w:sz w:val="17"/>
          <w:szCs w:val="17"/>
          <w:color w:val="auto"/>
        </w:rPr>
      </w:pPr>
    </w:p>
    <w:p>
      <w:pPr>
        <w:jc w:val="both"/>
        <w:ind w:left="1260" w:right="20" w:hanging="7"/>
        <w:spacing w:after="0" w:line="268" w:lineRule="auto"/>
        <w:tabs>
          <w:tab w:leader="none" w:pos="1645"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17"/>
          <w:szCs w:val="17"/>
          <w:u w:val="single" w:color="auto"/>
          <w:color w:val="auto"/>
        </w:rPr>
        <w:t>Applicable SOX Recoupment Amount</w:t>
      </w:r>
      <w:r>
        <w:rPr>
          <w:rFonts w:ascii="Times New Roman" w:cs="Times New Roman" w:eastAsia="Times New Roman" w:hAnsi="Times New Roman"/>
          <w:sz w:val="17"/>
          <w:szCs w:val="17"/>
          <w:color w:val="auto"/>
        </w:rPr>
        <w:t>”), the amount of any Erroneously Awarded Compensation to be recovered from any such Applicable Executive shall be reduced by the Applicable SOX Recoupment Amount.</w:t>
      </w:r>
    </w:p>
    <w:p>
      <w:pPr>
        <w:spacing w:after="0" w:line="165" w:lineRule="exact"/>
        <w:rPr>
          <w:rFonts w:ascii="Times New Roman" w:cs="Times New Roman" w:eastAsia="Times New Roman" w:hAnsi="Times New Roman"/>
          <w:sz w:val="17"/>
          <w:szCs w:val="17"/>
          <w:color w:val="auto"/>
        </w:rPr>
      </w:pPr>
    </w:p>
    <w:p>
      <w:pPr>
        <w:ind w:right="460" w:firstLine="4"/>
        <w:spacing w:after="0" w:line="296" w:lineRule="auto"/>
        <w:tabs>
          <w:tab w:leader="none" w:pos="303"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Successors. </w:t>
      </w:r>
      <w:r>
        <w:rPr>
          <w:rFonts w:ascii="Times New Roman" w:cs="Times New Roman" w:eastAsia="Times New Roman" w:hAnsi="Times New Roman"/>
          <w:sz w:val="17"/>
          <w:szCs w:val="17"/>
          <w:color w:val="auto"/>
        </w:rPr>
        <w:t>This Policy shall be binding and enforceable against all current and former Executive Officers and their beneficiaries, heirs, executors,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administrators or other legal representatives.</w:t>
      </w:r>
    </w:p>
    <w:sectPr>
      <w:pgSz w:w="11900" w:h="16838" w:orient="portrait"/>
      <w:cols w:equalWidth="0" w:num="1">
        <w:col w:w="10980"/>
      </w:cols>
      <w:pgMar w:left="58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2"/>
    </w:lvl>
  </w:abstractNum>
  <w:abstractNum w:abstractNumId="16">
    <w:nsid w:val="4516DDE9"/>
    <w:multiLevelType w:val="hybridMultilevel"/>
    <w:lvl w:ilvl="0">
      <w:lvlJc w:val="left"/>
      <w:lvlText w:val="(%1)"/>
      <w:numFmt w:val="decimal"/>
      <w:start w:val="3"/>
    </w:lvl>
  </w:abstractNum>
  <w:abstractNum w:abstractNumId="17">
    <w:nsid w:val="3006C83E"/>
    <w:multiLevelType w:val="hybridMultilevel"/>
    <w:lvl w:ilvl="0">
      <w:lvlJc w:val="left"/>
      <w:lvlText w:val="(%1)"/>
      <w:numFmt w:val="decimal"/>
      <w:start w:val="4"/>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5"/>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7"/>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9"/>
    </w:lvl>
  </w:abstractNum>
  <w:abstractNum w:abstractNumId="25">
    <w:nsid w:val="7724C67E"/>
    <w:multiLevelType w:val="hybridMultilevel"/>
    <w:lvl w:ilvl="0">
      <w:lvlJc w:val="left"/>
      <w:lvlText w:val="(%1)"/>
      <w:numFmt w:val="decimal"/>
      <w:start w:val="10"/>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2"/>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3"/>
    </w:lvl>
  </w:abstractNum>
  <w:abstractNum w:abstractNumId="36">
    <w:nsid w:val="2A487CB0"/>
    <w:multiLevelType w:val="hybridMultilevel"/>
    <w:lvl w:ilvl="0">
      <w:lvlJc w:val="left"/>
      <w:lvlText w:val="%1."/>
      <w:numFmt w:val="decimal"/>
      <w:start w:val="4"/>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lvl w:ilvl="1">
      <w:lvlJc w:val="left"/>
      <w:lvlText w:val="(%2)"/>
      <w:numFmt w:val="lowerLetter"/>
      <w:start w:val="1"/>
    </w:lvl>
  </w:abstractNum>
  <w:abstractNum w:abstractNumId="41">
    <w:nsid w:val="7A6D8D3C"/>
    <w:multiLevelType w:val="hybridMultilevel"/>
    <w:lvl w:ilvl="0">
      <w:lvlJc w:val="left"/>
      <w:lvlText w:val="%1."/>
      <w:numFmt w:val="decimal"/>
      <w:start w:val="1"/>
    </w:lvl>
    <w:lvl w:ilvl="1">
      <w:lvlJc w:val="left"/>
      <w:lvlText w:val="(%2)"/>
      <w:numFmt w:val="lowerLetter"/>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2"/>
    </w:lvl>
  </w:abstractNum>
  <w:abstractNum w:abstractNumId="46">
    <w:nsid w:val="7644A45C"/>
    <w:multiLevelType w:val="hybridMultilevel"/>
    <w:lvl w:ilvl="0">
      <w:lvlJc w:val="left"/>
      <w:lvlText w:val="(%1)"/>
      <w:numFmt w:val="lowerRoman"/>
      <w:start w:val="1"/>
    </w:lvl>
  </w:abstractNum>
  <w:abstractNum w:abstractNumId="47">
    <w:nsid w:val="32FFF902"/>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48">
    <w:nsid w:val="684A481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85" Type="http://schemas.openxmlformats.org/officeDocument/2006/relationships/hyperlink" Target="http://www.sec.gov/Archives/edgar/data/1113809/000095013704006634/c86750exv2w1.txt" TargetMode="External"/><Relationship Id="rId86" Type="http://schemas.openxmlformats.org/officeDocument/2006/relationships/hyperlink" Target="http://www.sec.gov/Archives/edgar/data/1113809/000095013804000748/exh3-1.htm" TargetMode="External"/><Relationship Id="rId87" Type="http://schemas.openxmlformats.org/officeDocument/2006/relationships/hyperlink" Target="http://www.sec.gov/Archives/edgar/data/1113809/000115752318000029/a51738867_ex31.htm" TargetMode="External"/><Relationship Id="rId88" Type="http://schemas.openxmlformats.org/officeDocument/2006/relationships/hyperlink" Target="http://www.sec.gov/Archives/edgar/data/1113809/000095013704008227/c86750a3exv4w1.txt" TargetMode="External"/><Relationship Id="rId89" Type="http://schemas.openxmlformats.org/officeDocument/2006/relationships/hyperlink" Target="http://www.sec.gov/Archives/edgar/data/1113809/000143774921009026/ex_221494.htm" TargetMode="External"/><Relationship Id="rId90" Type="http://schemas.openxmlformats.org/officeDocument/2006/relationships/hyperlink" Target="http://www.sec.gov/Archives/edgar/data/1113809/000143774914008741/ex10-1.htm" TargetMode="External"/><Relationship Id="rId91" Type="http://schemas.openxmlformats.org/officeDocument/2006/relationships/hyperlink" Target="http://www.sec.gov/Archives/edgar/data/1113809/000143774915005657/ex10-1.htm" TargetMode="External"/><Relationship Id="rId92" Type="http://schemas.openxmlformats.org/officeDocument/2006/relationships/hyperlink" Target="http://www.sec.gov/Archives/edgar/data/1113809/000143774916027470/ex10-7.htm" TargetMode="External"/><Relationship Id="rId93" Type="http://schemas.openxmlformats.org/officeDocument/2006/relationships/hyperlink" Target="http://www.sec.gov/Archives/edgar/data/1113809/000143774917004827/ex10-2.htm" TargetMode="External"/><Relationship Id="rId94" Type="http://schemas.openxmlformats.org/officeDocument/2006/relationships/hyperlink" Target="http://www.sec.gov/Archives/edgar/data/1113809/000143774917008832/ex10-1.htm" TargetMode="External"/><Relationship Id="rId95" Type="http://schemas.openxmlformats.org/officeDocument/2006/relationships/hyperlink" Target="http://www.sec.gov/Archives/edgar/data/1113809/000143774918005168/ex_108426.htm" TargetMode="External"/><Relationship Id="rId96" Type="http://schemas.openxmlformats.org/officeDocument/2006/relationships/hyperlink" Target="http://www.sec.gov/Archives/edgar/data/1113809/000143774920013031/ex_190164.htm" TargetMode="External"/><Relationship Id="rId97" Type="http://schemas.openxmlformats.org/officeDocument/2006/relationships/hyperlink" Target="http://www.sec.gov/Archives/edgar/data/1113809/000143774921009143/ex_241551.htm" TargetMode="External"/><Relationship Id="rId98" Type="http://schemas.openxmlformats.org/officeDocument/2006/relationships/hyperlink" Target="http://www.sec.gov/Archives/edgar/data/1113809/000143774923010337/ex_500619.htm" TargetMode="External"/><Relationship Id="rId99" Type="http://schemas.openxmlformats.org/officeDocument/2006/relationships/hyperlink" Target="http://www.sec.gov/Archives/edgar/data/1113809/000143774923017061/ex_531708.htm" TargetMode="External"/><Relationship Id="rId100" Type="http://schemas.openxmlformats.org/officeDocument/2006/relationships/hyperlink" Target="http://www.sec.gov/Archives/edgar/data/1113809/000143774923017061/ex_531709.htm" TargetMode="External"/><Relationship Id="rId101" Type="http://schemas.openxmlformats.org/officeDocument/2006/relationships/hyperlink" Target="http://www.sec.gov/Archives/edgar/data/1113809/000143774924012573/ex_656233.htm" TargetMode="External"/><Relationship Id="rId102" Type="http://schemas.openxmlformats.org/officeDocument/2006/relationships/hyperlink" Target="http://www.sec.gov/Archives/edgar/data/1113809/000143774924012573/ex_656234.htm" TargetMode="External"/><Relationship Id="rId103" Type="http://schemas.openxmlformats.org/officeDocument/2006/relationships/hyperlink" Target="http://www.sec.gov/Archives/edgar/data/1113809/000095013707003883/n13023exv10w42.htm" TargetMode="External"/><Relationship Id="rId104" Type="http://schemas.openxmlformats.org/officeDocument/2006/relationships/hyperlink" Target="http://www.sec.gov/Archives/edgar/data/1113809/000143774916027470/ex10-1.htm" TargetMode="External"/><Relationship Id="rId105" Type="http://schemas.openxmlformats.org/officeDocument/2006/relationships/hyperlink" Target="http://www.sec.gov/Archives/edgar/data/1113809/000143774916027470/ex10-2.htm" TargetMode="External"/><Relationship Id="rId106" Type="http://schemas.openxmlformats.org/officeDocument/2006/relationships/hyperlink" Target="http://www.sec.gov/Archives/edgar/data/1113809/000143774916027470/ex10-3.htm" TargetMode="External"/><Relationship Id="rId107" Type="http://schemas.openxmlformats.org/officeDocument/2006/relationships/hyperlink" Target="http://www.sec.gov/Archives/edgar/data/1113809/000143774916027470/ex10-4.htm" TargetMode="External"/><Relationship Id="rId108" Type="http://schemas.openxmlformats.org/officeDocument/2006/relationships/hyperlink" Target="http://www.sec.gov/Archives/edgar/data/1113809/000143774924003129/ex_622486.htm" TargetMode="External"/><Relationship Id="rId109" Type="http://schemas.openxmlformats.org/officeDocument/2006/relationships/hyperlink" Target="http://www.sec.gov/Archives/edgar/data/1113809/000143774924003129/ex_622487.htm" TargetMode="External"/><Relationship Id="rId110" Type="http://schemas.openxmlformats.org/officeDocument/2006/relationships/hyperlink" Target="http://www.sec.gov/Archives/edgar/data/1113809/000143774916027470/ex10-5.htm" TargetMode="External"/><Relationship Id="rId111" Type="http://schemas.openxmlformats.org/officeDocument/2006/relationships/hyperlink" Target="http://www.sec.gov/Archives/edgar/data/1113809/000143774924029061/ex_723317.htm" TargetMode="External"/><Relationship Id="rId112" Type="http://schemas.openxmlformats.org/officeDocument/2006/relationships/hyperlink" Target="http://www.sec.gov/Archives/edgar/data/1113809/000095013704006634/c86750exv10w11.txt" TargetMode="External"/><Relationship Id="rId113" Type="http://schemas.openxmlformats.org/officeDocument/2006/relationships/hyperlink" Target="http://www.sec.gov/Archives/edgar/data/1113809/000143774920019030/ex_201997.htm" TargetMode="External"/><Relationship Id="rId114" Type="http://schemas.openxmlformats.org/officeDocument/2006/relationships/hyperlink" Target="http://www.sec.gov/Archives/edgar/data/1113809/000143774921029063/ex_318451.htm" TargetMode="External"/><Relationship Id="rId115" Type="http://schemas.openxmlformats.org/officeDocument/2006/relationships/hyperlink" Target="http://www.sec.gov/Archives/edgar/data/1113809/000143774922027942/ex_449670.htm" TargetMode="External"/><Relationship Id="rId116" Type="http://schemas.openxmlformats.org/officeDocument/2006/relationships/hyperlink" Target="http://www.sec.gov/Archives/edgar/data/1113809/000095013706003138/c02747exv10w35.htm" TargetMode="External"/><Relationship Id="rId117" Type="http://schemas.openxmlformats.org/officeDocument/2006/relationships/hyperlink" Target="http://www.sec.gov/Archives/edgar/data/1113809/000095013706003138/c02747exv10w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2025-04-17T08:21:06Z</dcterms:created>
  <dcterms:modified xsi:type="dcterms:W3CDTF">2025-04-17T08:21:06Z</dcterms:modified>
</cp:coreProperties>
</file>