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210820</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100965</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020" w:hanging="432"/>
        <w:spacing w:after="0" w:line="493"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4, 2015</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257810</wp:posOffset>
            </wp:positionV>
            <wp:extent cx="7289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BUILD-A-BEAR WORKSHOP, INC.</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210820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1140" w:type="dxa"/>
        <w:tblCellMar>
          <w:top w:w="0" w:type="dxa"/>
          <w:left w:w="0" w:type="dxa"/>
          <w:bottom w:w="0" w:type="dxa"/>
          <w:right w:w="0" w:type="dxa"/>
        </w:tblCellMar>
      </w:tblPr>
      <w:tr>
        <w:trPr>
          <w:trHeight w:val="266"/>
        </w:trPr>
        <w:tc>
          <w:tcPr>
            <w:tcW w:w="6720" w:type="dxa"/>
            <w:vAlign w:val="bottom"/>
            <w:gridSpan w:val="3"/>
          </w:tcPr>
          <w:p>
            <w:pPr>
              <w:jc w:val="center"/>
              <w:ind w:right="3280"/>
              <w:spacing w:after="0"/>
              <w:rPr>
                <w:sz w:val="20"/>
                <w:szCs w:val="20"/>
                <w:color w:val="auto"/>
              </w:rPr>
            </w:pPr>
            <w:r>
              <w:rPr>
                <w:rFonts w:ascii="Arial" w:cs="Arial" w:eastAsia="Arial" w:hAnsi="Arial"/>
                <w:sz w:val="22"/>
                <w:szCs w:val="22"/>
                <w:b w:val="1"/>
                <w:bCs w:val="1"/>
                <w:color w:val="auto"/>
                <w:w w:val="91"/>
              </w:rPr>
              <w:t>Delaware</w:t>
            </w:r>
          </w:p>
        </w:tc>
        <w:tc>
          <w:tcPr>
            <w:tcW w:w="1420" w:type="dxa"/>
            <w:vAlign w:val="bottom"/>
          </w:tcPr>
          <w:p>
            <w:pPr>
              <w:jc w:val="right"/>
              <w:ind w:right="83"/>
              <w:spacing w:after="0"/>
              <w:rPr>
                <w:sz w:val="20"/>
                <w:szCs w:val="20"/>
                <w:color w:val="auto"/>
              </w:rPr>
            </w:pPr>
            <w:r>
              <w:rPr>
                <w:rFonts w:ascii="Arial" w:cs="Arial" w:eastAsia="Arial" w:hAnsi="Arial"/>
                <w:sz w:val="22"/>
                <w:szCs w:val="22"/>
                <w:b w:val="1"/>
                <w:bCs w:val="1"/>
                <w:color w:val="auto"/>
              </w:rPr>
              <w:t>43-1883836</w:t>
            </w:r>
          </w:p>
        </w:tc>
      </w:tr>
      <w:tr>
        <w:trPr>
          <w:trHeight w:val="216"/>
        </w:trPr>
        <w:tc>
          <w:tcPr>
            <w:tcW w:w="672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72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88"/>
        </w:trPr>
        <w:tc>
          <w:tcPr>
            <w:tcW w:w="6720" w:type="dxa"/>
            <w:vAlign w:val="bottom"/>
            <w:gridSpan w:val="3"/>
          </w:tcPr>
          <w:p>
            <w:pPr>
              <w:jc w:val="center"/>
              <w:ind w:right="3260"/>
              <w:spacing w:after="0"/>
              <w:rPr>
                <w:sz w:val="20"/>
                <w:szCs w:val="20"/>
                <w:color w:val="auto"/>
              </w:rPr>
            </w:pPr>
            <w:r>
              <w:rPr>
                <w:rFonts w:ascii="Arial" w:cs="Arial" w:eastAsia="Arial" w:hAnsi="Arial"/>
                <w:sz w:val="22"/>
                <w:szCs w:val="22"/>
                <w:b w:val="1"/>
                <w:bCs w:val="1"/>
                <w:color w:val="auto"/>
                <w:w w:val="88"/>
              </w:rPr>
              <w:t>1954 Innerbelt Business Center Drive</w:t>
            </w:r>
          </w:p>
        </w:tc>
        <w:tc>
          <w:tcPr>
            <w:tcW w:w="1420" w:type="dxa"/>
            <w:vAlign w:val="bottom"/>
          </w:tcPr>
          <w:p>
            <w:pPr>
              <w:spacing w:after="0"/>
              <w:rPr>
                <w:sz w:val="24"/>
                <w:szCs w:val="24"/>
                <w:color w:val="auto"/>
              </w:rPr>
            </w:pPr>
          </w:p>
        </w:tc>
      </w:tr>
      <w:tr>
        <w:trPr>
          <w:trHeight w:val="266"/>
        </w:trPr>
        <w:tc>
          <w:tcPr>
            <w:tcW w:w="6720" w:type="dxa"/>
            <w:vAlign w:val="bottom"/>
            <w:gridSpan w:val="3"/>
          </w:tcPr>
          <w:p>
            <w:pPr>
              <w:jc w:val="center"/>
              <w:ind w:right="3260"/>
              <w:spacing w:after="0"/>
              <w:rPr>
                <w:sz w:val="20"/>
                <w:szCs w:val="20"/>
                <w:color w:val="auto"/>
              </w:rPr>
            </w:pPr>
            <w:r>
              <w:rPr>
                <w:rFonts w:ascii="Arial" w:cs="Arial" w:eastAsia="Arial" w:hAnsi="Arial"/>
                <w:sz w:val="22"/>
                <w:szCs w:val="22"/>
                <w:b w:val="1"/>
                <w:bCs w:val="1"/>
                <w:color w:val="auto"/>
                <w:w w:val="88"/>
              </w:rPr>
              <w:t>St. Louis, Missouri</w:t>
            </w:r>
          </w:p>
        </w:tc>
        <w:tc>
          <w:tcPr>
            <w:tcW w:w="1420" w:type="dxa"/>
            <w:vAlign w:val="bottom"/>
          </w:tcPr>
          <w:p>
            <w:pPr>
              <w:jc w:val="right"/>
              <w:ind w:right="343"/>
              <w:spacing w:after="0"/>
              <w:rPr>
                <w:sz w:val="20"/>
                <w:szCs w:val="20"/>
                <w:color w:val="auto"/>
              </w:rPr>
            </w:pPr>
            <w:r>
              <w:rPr>
                <w:rFonts w:ascii="Arial" w:cs="Arial" w:eastAsia="Arial" w:hAnsi="Arial"/>
                <w:sz w:val="22"/>
                <w:szCs w:val="22"/>
                <w:b w:val="1"/>
                <w:bCs w:val="1"/>
                <w:color w:val="auto"/>
              </w:rPr>
              <w:t>63114</w:t>
            </w:r>
          </w:p>
        </w:tc>
      </w:tr>
      <w:tr>
        <w:trPr>
          <w:trHeight w:val="234"/>
        </w:trPr>
        <w:tc>
          <w:tcPr>
            <w:tcW w:w="672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68"/>
        </w:trPr>
        <w:tc>
          <w:tcPr>
            <w:tcW w:w="6720" w:type="dxa"/>
            <w:vAlign w:val="bottom"/>
            <w:gridSpan w:val="3"/>
          </w:tcPr>
          <w:p>
            <w:pPr>
              <w:jc w:val="right"/>
              <w:ind w:right="1480"/>
              <w:spacing w:after="0"/>
              <w:rPr>
                <w:sz w:val="20"/>
                <w:szCs w:val="20"/>
                <w:color w:val="auto"/>
              </w:rPr>
            </w:pPr>
            <w:r>
              <w:rPr>
                <w:rFonts w:ascii="Arial" w:cs="Arial" w:eastAsia="Arial" w:hAnsi="Arial"/>
                <w:sz w:val="22"/>
                <w:szCs w:val="22"/>
                <w:b w:val="1"/>
                <w:bCs w:val="1"/>
                <w:color w:val="auto"/>
              </w:rPr>
              <w:t>(314) 423-8000</w:t>
            </w:r>
          </w:p>
        </w:tc>
        <w:tc>
          <w:tcPr>
            <w:tcW w:w="1420" w:type="dxa"/>
            <w:vAlign w:val="bottom"/>
          </w:tcPr>
          <w:p>
            <w:pPr>
              <w:spacing w:after="0"/>
              <w:rPr>
                <w:sz w:val="24"/>
                <w:szCs w:val="24"/>
                <w:color w:val="auto"/>
              </w:rPr>
            </w:pPr>
          </w:p>
        </w:tc>
      </w:tr>
      <w:tr>
        <w:trPr>
          <w:trHeight w:val="234"/>
        </w:trPr>
        <w:tc>
          <w:tcPr>
            <w:tcW w:w="6720" w:type="dxa"/>
            <w:vAlign w:val="bottom"/>
            <w:gridSpan w:val="3"/>
          </w:tcPr>
          <w:p>
            <w:pPr>
              <w:jc w:val="center"/>
              <w:ind w:left="2341"/>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r>
        <w:trPr>
          <w:trHeight w:val="385"/>
        </w:trPr>
        <w:tc>
          <w:tcPr>
            <w:tcW w:w="40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0" w:lineRule="exact"/>
        <w:rPr>
          <w:sz w:val="24"/>
          <w:szCs w:val="24"/>
          <w:color w:val="auto"/>
        </w:rPr>
      </w:pPr>
    </w:p>
    <w:p>
      <w:pPr>
        <w:spacing w:after="0" w:line="35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180"/>
          </w:cols>
          <w:pgMar w:left="240" w:top="490" w:right="479" w:bottom="100" w:gutter="0" w:footer="0" w:header="0"/>
        </w:sectPr>
      </w:pPr>
    </w:p>
    <w:p>
      <w:pPr>
        <w:spacing w:after="0" w:line="200" w:lineRule="exact"/>
        <w:rPr>
          <w:sz w:val="24"/>
          <w:szCs w:val="24"/>
          <w:color w:val="auto"/>
        </w:rPr>
      </w:pPr>
    </w:p>
    <w:p>
      <w:pPr>
        <w:spacing w:after="0" w:line="238"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3060" w:space="80"/>
            <w:col w:w="3420" w:space="720"/>
            <w:col w:w="3900"/>
          </w:cols>
          <w:pgMar w:left="240" w:top="490" w:right="479" w:bottom="100" w:gutter="0" w:footer="0" w:header="0"/>
          <w:type w:val="continuous"/>
        </w:sectPr>
      </w:pPr>
    </w:p>
    <w:p>
      <w:pPr>
        <w:spacing w:after="0" w:line="16" w:lineRule="exact"/>
        <w:rPr>
          <w:sz w:val="24"/>
          <w:szCs w:val="24"/>
          <w:color w:val="auto"/>
        </w:rPr>
      </w:pPr>
    </w:p>
    <w:p>
      <w:pPr>
        <w:ind w:left="14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560" w:space="720"/>
            <w:col w:w="3900"/>
          </w:cols>
          <w:pgMar w:left="240" w:top="490" w:right="479" w:bottom="100" w:gutter="0" w:footer="0" w:header="0"/>
          <w:type w:val="continuous"/>
        </w:sect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7, 2015, there were 16,941,315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490" w:right="479" w:bottom="10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2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Consolidated Balance Sheets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Consolidated Statements of Operations and Comprehensive (Loss)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Consolidated Statements of Cash Flows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10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20" w:type="dxa"/>
            <w:vAlign w:val="bottom"/>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July 4,</w:t>
            </w: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January 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65,389</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51,939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14,173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115,744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145,778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106,119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5"/>
              </w:rPr>
              <w:t>Property and equipment, net of accumulated depreciation of $191,103, $185,044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$181,527,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58,439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62,766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177,584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6"/>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6"/>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23,140</w:t>
            </w:r>
          </w:p>
        </w:tc>
        <w:tc>
          <w:tcPr>
            <w:tcW w:w="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38,107</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Gift cards and customer deposits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29,746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34,268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11,700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13,353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$0.01, Shares authorized: 15,000,000; No shares issued or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outstanding at July 4, 2015, January 3, 2015 and June 28, 2014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$0.01, Shares authorized: 50,000,000;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w w:val="90"/>
              </w:rPr>
              <w:t>Issued and outstanding: 16,950,205; 17,360,635 and 17,617,182 shares, respectively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(8,503)</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(8,698)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95,184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97,625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87,538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177,584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ind w:right="96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500" w:type="dxa"/>
            <w:vAlign w:val="bottom"/>
            <w:gridSpan w:val="6"/>
          </w:tcPr>
          <w:p>
            <w:pPr>
              <w:ind w:left="22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July 4, 2015</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28, 2014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July 4, 2015</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28, 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80,279</w:t>
            </w:r>
          </w:p>
        </w:tc>
        <w:tc>
          <w:tcPr>
            <w:tcW w:w="120" w:type="dxa"/>
            <w:vAlign w:val="bottom"/>
          </w:tcPr>
          <w:p>
            <w:pPr>
              <w:spacing w:after="0"/>
              <w:rPr>
                <w:sz w:val="18"/>
                <w:szCs w:val="18"/>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75,351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171,943</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45,938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34,044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73,173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167,792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(loss) before income taxes</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6,389</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(0.04)</w:t>
            </w:r>
          </w:p>
        </w:tc>
        <w:tc>
          <w:tcPr>
            <w:tcW w:w="300" w:type="dxa"/>
            <w:vAlign w:val="bottom"/>
            <w:gridSpan w:val="2"/>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(0.25)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0.35</w:t>
            </w:r>
          </w:p>
        </w:tc>
        <w:tc>
          <w:tcPr>
            <w:tcW w:w="280" w:type="dxa"/>
            <w:vAlign w:val="bottom"/>
            <w:gridSpan w:val="2"/>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16,861,458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17,024,598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16,917,272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16,863,160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16,861,458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17,024,598</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17,162,024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17,097,263</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5" w:name="page6"/>
    <w:bookmarkEnd w:id="5"/>
    <w:p>
      <w:pPr>
        <w:jc w:val="center"/>
        <w:ind w:right="70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60" w:type="dxa"/>
            <w:vAlign w:val="bottom"/>
          </w:tcPr>
          <w:p>
            <w:pPr>
              <w:ind w:left="490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July 4, 2015</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28, 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6,194</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 of store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credit utilization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Lease related liabilities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(9,164)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Cash (used in)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65,389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44,665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3, 2015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3, 2015, which were included in the Company’s annual report on Form 10-K filed with the SEC on March 19, 2015.</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Reclassifications of prior year amounts related to the presentation of cost of merchandise sold in the statement of operations and the provision for doubtful accounts in the statement of cash flows have been made to conform to current year presentation, with no impact to net income (loss) or net cash used in operating activities in any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January 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June 28,</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Short-term investment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15,611</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10,394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3. Accrued Expenses</w:t>
            </w: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July 4,</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January 3,</w:t>
            </w:r>
          </w:p>
        </w:tc>
        <w:tc>
          <w:tcPr>
            <w:tcW w:w="32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28,</w:t>
            </w:r>
          </w:p>
        </w:tc>
        <w:tc>
          <w:tcPr>
            <w:tcW w:w="6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Sales tax payable</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7,694</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3,365</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13,269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656"/>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balances and activity for restricted stock and stock options for the twenty-six weeks ended July 4, 2015:</w:t>
      </w:r>
    </w:p>
    <w:p>
      <w:pPr>
        <w:spacing w:after="0" w:line="200" w:lineRule="exact"/>
        <w:rPr>
          <w:sz w:val="20"/>
          <w:szCs w:val="20"/>
          <w:color w:val="auto"/>
        </w:rPr>
      </w:pP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Restricted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 2015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98,926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68,826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200,302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120,440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Canceled or expired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July 4, 2015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284,511</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609,043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thirteen and twenty-six weeks ended July 4, 2015, selling, general and administrative expense includes $0.5 million and $1.0 million, respectively, of stock-based compensation expense. For the thirteen and twenty-six weeks ended June 28, 2014, selling, general and administrative expense includes $0.6 million and $1.2 million, respectively, of stock-based compensation expense. As of July 4, 2015, there was $4.2 million of total unrecognized compensation expense related to nonvested restricted stock and option awards which is expected to be recognized over a weighted-average period of 2.0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during the twenty-six weeks ended July 4, 2015 and June 28, 2014 was $3.9 million and $3.6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effective tax rate was (43.4)% and 6.4% for the thirteen and twenty-six weeks ended July 4, 2015, respectively compared to (8.7)% and 46.4% for the thirteen and twenty-six weeks ended June 28, 2014, respectively. The components of income tax expense in both periods were primarily foreign and state taxes as we currently have a valuation allowance recorded on substantially all domestic deferred tax assets. As there was a valuation allowance recorded on substantially all domestic deferred tax assets in both periods, income tax expense on domestic income was offset by a reversal of a portion of the existing valuation allowance. The change in the effective rate was primarily driven by the change in pre-tax results for the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(Loss) per Share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the two-class method to compute basic and diluted income (loss) per common share. The following table sets forth the computation of basic and diluted income (loss) per share (in thousands, except share and per share data):</w:t>
      </w:r>
    </w:p>
    <w:p>
      <w:pPr>
        <w:sectPr>
          <w:pgSz w:w="11900" w:h="16838" w:orient="portrait"/>
          <w:cols w:equalWidth="0" w:num="1">
            <w:col w:w="11380"/>
          </w:cols>
          <w:pgMar w:left="240" w:top="580" w:right="279" w:bottom="1440" w:gutter="0" w:footer="0" w:header="0"/>
        </w:sectPr>
      </w:pPr>
    </w:p>
    <w:p>
      <w:pPr>
        <w:spacing w:after="0" w:line="38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 w:lineRule="exact"/>
        <w:rPr>
          <w:sz w:val="20"/>
          <w:szCs w:val="20"/>
          <w:color w:val="auto"/>
        </w:rPr>
      </w:pPr>
    </w:p>
    <w:p>
      <w:pPr>
        <w:ind w:left="5760"/>
        <w:spacing w:after="0"/>
        <w:tabs>
          <w:tab w:leader="none" w:pos="7080" w:val="left"/>
        </w:tabs>
        <w:rPr>
          <w:sz w:val="20"/>
          <w:szCs w:val="20"/>
          <w:color w:val="auto"/>
        </w:rPr>
      </w:pPr>
      <w:r>
        <w:rPr>
          <w:rFonts w:ascii="Arial" w:cs="Arial" w:eastAsia="Arial" w:hAnsi="Arial"/>
          <w:sz w:val="18"/>
          <w:szCs w:val="18"/>
          <w:b w:val="1"/>
          <w:bCs w:val="1"/>
          <w:color w:val="auto"/>
        </w:rPr>
        <w:t>July 4, 2015</w:t>
      </w:r>
      <w:r>
        <w:rPr>
          <w:sz w:val="20"/>
          <w:szCs w:val="20"/>
          <w:color w:val="auto"/>
        </w:rPr>
        <w:tab/>
      </w:r>
      <w:r>
        <w:rPr>
          <w:rFonts w:ascii="Arial" w:cs="Arial" w:eastAsia="Arial" w:hAnsi="Arial"/>
          <w:sz w:val="15"/>
          <w:szCs w:val="15"/>
          <w:b w:val="1"/>
          <w:bCs w:val="1"/>
          <w:color w:val="auto"/>
        </w:rPr>
        <w:t>June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17145</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July 4, 2015</w:t>
      </w:r>
      <w:r>
        <w:rPr>
          <w:sz w:val="20"/>
          <w:szCs w:val="20"/>
          <w:color w:val="auto"/>
        </w:rPr>
        <w:tab/>
      </w:r>
      <w:r>
        <w:rPr>
          <w:rFonts w:ascii="Arial" w:cs="Arial" w:eastAsia="Arial" w:hAnsi="Arial"/>
          <w:sz w:val="15"/>
          <w:szCs w:val="15"/>
          <w:b w:val="1"/>
          <w:bCs w:val="1"/>
          <w:color w:val="auto"/>
        </w:rPr>
        <w:t>June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17145</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420"/>
            <w:col w:w="2820"/>
          </w:cols>
          <w:pgMar w:left="240" w:top="580" w:right="279" w:bottom="1440" w:gutter="0" w:footer="0" w:header="0"/>
          <w:type w:val="continuous"/>
        </w:sectPr>
      </w:pP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160"/>
              <w:spacing w:after="0" w:line="201" w:lineRule="exact"/>
              <w:rPr>
                <w:sz w:val="20"/>
                <w:szCs w:val="20"/>
                <w:color w:val="auto"/>
              </w:rPr>
            </w:pPr>
            <w:r>
              <w:rPr>
                <w:rFonts w:ascii="Arial" w:cs="Arial" w:eastAsia="Arial" w:hAnsi="Arial"/>
                <w:sz w:val="18"/>
                <w:szCs w:val="18"/>
                <w:color w:val="auto"/>
              </w:rPr>
              <w:t>Net income (loss) before allocation of earnings to participating</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6,194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tcPr>
          <w:p>
            <w:pPr>
              <w:ind w:left="160"/>
              <w:spacing w:after="0" w:line="195" w:lineRule="exact"/>
              <w:rPr>
                <w:sz w:val="20"/>
                <w:szCs w:val="20"/>
                <w:color w:val="auto"/>
              </w:rPr>
            </w:pPr>
            <w:r>
              <w:rPr>
                <w:rFonts w:ascii="Arial" w:cs="Arial" w:eastAsia="Arial" w:hAnsi="Arial"/>
                <w:sz w:val="18"/>
                <w:szCs w:val="18"/>
                <w:color w:val="auto"/>
              </w:rPr>
              <w:t>Net income (loss) after allocation of earnings to participating</w:t>
            </w: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(628)</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(4,302)</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6,067</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190"/>
        </w:trPr>
        <w:tc>
          <w:tcPr>
            <w:tcW w:w="5320" w:type="dxa"/>
            <w:vAlign w:val="bottom"/>
          </w:tcPr>
          <w:p>
            <w:pPr>
              <w:ind w:left="160"/>
              <w:spacing w:after="0" w:line="190" w:lineRule="exact"/>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Weighted average number of common shares outstanding - basic</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16,861,458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17,024,598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16,917,272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16,863,160</w:t>
            </w:r>
          </w:p>
        </w:tc>
        <w:tc>
          <w:tcPr>
            <w:tcW w:w="0" w:type="dxa"/>
            <w:vAlign w:val="bottom"/>
          </w:tcPr>
          <w:p>
            <w:pPr>
              <w:spacing w:after="0"/>
              <w:rPr>
                <w:sz w:val="1"/>
                <w:szCs w:val="1"/>
                <w:color w:val="auto"/>
              </w:rPr>
            </w:pPr>
          </w:p>
        </w:tc>
      </w:tr>
      <w:tr>
        <w:trPr>
          <w:trHeight w:val="216"/>
        </w:trPr>
        <w:tc>
          <w:tcPr>
            <w:tcW w:w="532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244,752</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234,103</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Weighted average number of common shares outstanding - dilutive</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16,861,458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17,024,598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17,162,024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17,097,263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w w:val="99"/>
              </w:rPr>
              <w:t>Basic income (loss) per common share attributable to Build-A-Bear</w:t>
            </w: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(0.25)</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0.36</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0"/>
        </w:trPr>
        <w:tc>
          <w:tcPr>
            <w:tcW w:w="5320" w:type="dxa"/>
            <w:vAlign w:val="bottom"/>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Diluted income (loss) per common share attributable to Build-A-Bear</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calculating diluted income (loss) per share for the thirteen and twenty-six week periods ended July 4, 2015, options to purchase 609,043 and 69,114 shares, respectively, of common stock that were outstanding at the end of the period were not included in the computation of diluted net income (loss) per share due to their anti-dilutive effect. For the thirteen and twenty-six week periods ended June 28, 2014, the number of options to purchase common shares that were excluded from the calculation was 784,139 and 132,146 shares,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8" w:name="page9"/>
    <w:bookmarkEnd w:id="8"/>
    <w:p>
      <w:pPr>
        <w:ind w:right="120"/>
        <w:spacing w:after="0" w:line="342" w:lineRule="auto"/>
        <w:rPr>
          <w:sz w:val="20"/>
          <w:szCs w:val="20"/>
          <w:color w:val="auto"/>
        </w:rPr>
      </w:pPr>
      <w:r>
        <w:rPr>
          <w:rFonts w:ascii="Arial" w:cs="Arial" w:eastAsia="Arial" w:hAnsi="Arial"/>
          <w:sz w:val="16"/>
          <w:szCs w:val="16"/>
          <w:color w:val="auto"/>
        </w:rPr>
        <w:t>Due to the net loss for the thirteen week periods ended July 4, 2015 and June 28, 2014, the denominator for diluted loss per common share is the same as the denominator for basic loss per common share for those periods because the inclusion of stock options and unvested restricted shares would be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(Loss)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July 4, 2015, January 3, 2015 and June 28, 2014 is comprised entirely of foreign currency translation. For the thirteen and twenty-six weeks ended July 4, 2015 and June 28, 2014,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Puerto Rico, the United Kingdom, Ireland and Denmark and other retail delivery operations, including the Company’s web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Franchising</w:t>
            </w:r>
          </w:p>
        </w:tc>
        <w:tc>
          <w:tcPr>
            <w:tcW w:w="1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4, 2015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80,279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81,014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28, 2014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75,351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76,248</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w:t>
            </w: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4, 2015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171,943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174,406</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6,048</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6,080</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w:t>
            </w: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28, 2014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172,191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174,189</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8,977</w:t>
            </w: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July 4, 2015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170,545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4,845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177,584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28, 2014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173,331</w:t>
            </w:r>
          </w:p>
        </w:tc>
      </w:tr>
    </w:tbl>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60"/>
              <w:spacing w:after="0" w:line="258"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29"/>
                <w:szCs w:val="29"/>
                <w:b w:val="1"/>
                <w:bCs w:val="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right"/>
              <w:ind w:right="320"/>
              <w:spacing w:after="0" w:line="258" w:lineRule="exact"/>
              <w:rPr>
                <w:sz w:val="20"/>
                <w:szCs w:val="20"/>
                <w:color w:val="auto"/>
              </w:rPr>
            </w:pPr>
            <w:r>
              <w:rPr>
                <w:rFonts w:ascii="Arial" w:cs="Arial" w:eastAsia="Arial" w:hAnsi="Arial"/>
                <w:sz w:val="18"/>
                <w:szCs w:val="18"/>
                <w:b w:val="1"/>
                <w:bCs w:val="1"/>
                <w:color w:val="auto"/>
                <w:w w:val="96"/>
              </w:rPr>
              <w:t xml:space="preserve">Other </w:t>
            </w:r>
            <w:r>
              <w:rPr>
                <w:rFonts w:ascii="Arial" w:cs="Arial" w:eastAsia="Arial" w:hAnsi="Arial"/>
                <w:sz w:val="29"/>
                <w:szCs w:val="29"/>
                <w:b w:val="1"/>
                <w:bCs w:val="1"/>
                <w:color w:val="auto"/>
                <w:w w:val="96"/>
                <w:vertAlign w:val="superscript"/>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4, 2015</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64,472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Thirteen weeks ended June 28, 2014</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7,304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Twenty-six weeks ended July 4, 2015</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5,835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28, 2014</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32,175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(in 2015) and franchise businesses in Europe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July 4, 2015, $3.5 million had been paid in respect of the disputed duty and is included in receivables in the Retail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the Company in the first quarter of fiscal 2018, and allows for both retrospective and prospective methods of adoption. The Company is in the process of determining the method of adoption and assessing the impact of this ASU on its consolidated financial statements.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requires management to evaluate for each annual and interim reporting period whether conditions or events give rise to substantial doubt that an entity has the ability to continue as a going concern within one year following issuance of the financial statements and requires specific disclosures regarding the conditions or events leading to substantial doubt. The ASU will be effective for the Company beginning January 1, 2017, with early adoption permitted. The adoption of ASU 2014-15 is not expected to have a material impact on the Company’s financial position or results of operations.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2015, the Financial Accounting Standards Board issued ASU 2015-05, </w:t>
      </w:r>
      <w:r>
        <w:rPr>
          <w:rFonts w:ascii="Arial" w:cs="Arial" w:eastAsia="Arial" w:hAnsi="Arial"/>
          <w:sz w:val="18"/>
          <w:szCs w:val="18"/>
          <w:i w:val="1"/>
          <w:iCs w:val="1"/>
          <w:color w:val="auto"/>
        </w:rPr>
        <w:t>Customer’s,Accounting for Fees Paid in a Cloud Computing Arrangements</w:t>
      </w:r>
      <w:r>
        <w:rPr>
          <w:rFonts w:ascii="Arial" w:cs="Arial" w:eastAsia="Arial" w:hAnsi="Arial"/>
          <w:sz w:val="18"/>
          <w:szCs w:val="18"/>
          <w:color w:val="auto"/>
        </w:rPr>
        <w:t>, which provides guidance to assist entities in determining whether a cloud computing arrangement contains a software license. The ASU states that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ASU will be effective for the Company in the first quarter of fiscal 2016, and allows for both retrospective and prospective methods of adoption. The Company is in the process of determining the method of adoption and assessing the impact of this ASU on its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a $10 million share repurchase program that was announced in February 2015 (the February 2015 Share Repurchase Program). On July 7, 2015, the Board of Directors of the Company (the Board) left the February 2015 Share Repurchase Program in place and adopted a new repurchase program which authorizes the Company to repurchase up to an additional $10 million of its common stock until March 31, 2016, subject to further extension by the Board. In the period from July 4, 2015 through August 7, 2015, the Company repurchased approximately 5,800 shares of its common stock for an aggregate amount of $91,000, leaving $10.7 million of availability under the Board approved share repurchase programs.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January 3, 2015, as filed with the SEC, and the following:</w:t>
      </w:r>
    </w:p>
    <w:p>
      <w:pPr>
        <w:spacing w:after="0" w:line="154" w:lineRule="exact"/>
        <w:rPr>
          <w:sz w:val="20"/>
          <w:szCs w:val="20"/>
          <w:color w:val="auto"/>
        </w:rPr>
      </w:pPr>
    </w:p>
    <w:p>
      <w:pPr>
        <w:ind w:left="740" w:right="360" w:hanging="367"/>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740" w:right="20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740" w:right="94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improperly obtain or be unable to adequately protect customer information in violation of privacy or security laws or customer expectations;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store sales growth;</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740" w:right="48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740" w:right="42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740" w:right="60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suffer negative publicity or be sued due to violations of labor laws or unethical practices by manufacturers of our merchandise;</w:t>
      </w:r>
    </w:p>
    <w:p>
      <w:pPr>
        <w:spacing w:after="0" w:line="20" w:lineRule="exact"/>
        <w:rPr>
          <w:rFonts w:ascii="Arial" w:cs="Arial" w:eastAsia="Arial" w:hAnsi="Arial"/>
          <w:sz w:val="17"/>
          <w:szCs w:val="17"/>
          <w:color w:val="auto"/>
        </w:rPr>
      </w:pPr>
    </w:p>
    <w:p>
      <w:pPr>
        <w:ind w:left="740" w:hanging="36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740" w:right="72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740" w:right="540" w:hanging="367"/>
        <w:spacing w:after="0" w:line="261"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July 4, 2015, we operated 255 stores in the United States, Canada and Puerto Rico (collectively, North America), 60 stores in the United Kingdom, Ireland and Denmark (collectively, Europe) and had 67 franchised stores operating internationally under the Build-A-Bear Workshop brand.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color w:val="auto"/>
        </w:rPr>
        <w:t>We operate in three segments; each segment shares the same infrastructure, including management, systems, merchandising and marketing, and generate revenues as follows:</w:t>
      </w:r>
    </w:p>
    <w:p>
      <w:pPr>
        <w:spacing w:after="0" w:line="170" w:lineRule="exact"/>
        <w:rPr>
          <w:sz w:val="20"/>
          <w:szCs w:val="20"/>
          <w:color w:val="auto"/>
        </w:rPr>
      </w:pPr>
    </w:p>
    <w:p>
      <w:pPr>
        <w:ind w:left="440" w:hanging="279"/>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Retail - Company-owned retail stores located in North America and Europe and two web stores;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financial results in fiscal 2014 demonstrated the impact of the successful and consistent implementation of our key strategies of optimizing real estate, resetting the consumer value equation and rationalizing our expense structure. Our 2015 plan builds on the progress we made in 2014 and 2013 in implementing these key strategies, with a combination of continuous improvement of these initiatives and strategic expansion into additive opportunities. Specifically, we plan to expand into more places as we continue to improve our real estate model through selective new high-potential openings, a systematic refresh of our store base and strategic international expansion. We plan to reach more people as we continue to drive core consumer business and strategically expand our business with the over 12 year-old consumer segment. Additionally, we intend to sell more products by developing proprietary product stories along with re-launching an out-bound licensing program. We expect to do this more profitably as we continue to improve the value engineering of products and implement new systems that facilitate sales growth and increase efficiency.</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weeks ended July 4, 2015 and June 28, 2014 are set forth in the notes to our condensed consolidated financial statements included elsewhere in this quarterly report on Form 10-Q.</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use comparable store sales as one of the performance measures for our business. Comparable store sales percentage changes are based on net retail sales, excluding our webstores, and the impact of foreign exchange. Stores are considered comparable beginning in their thirteenth consecutive full month of operation. Comparable store sales percentage changes for the thirteen and twenty-six weeks ended July 4, 2015 are based on net retail sales as compared to the thirteen and twenty-six weeks ended July 5, 2014. The percentage change in comparable store sales for the periods presented below is as follows: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7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26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9"/>
              </w:rPr>
              <w:t>Twenty-Six Weeks Ended</w:t>
            </w: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8"/>
              </w:rPr>
              <w:t>July 4, 2015</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28, 2014</w:t>
            </w:r>
          </w:p>
        </w:tc>
        <w:tc>
          <w:tcPr>
            <w:tcW w:w="30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July 4, 2015</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28, 2014</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7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positive consolidated comparable store sales for the periods presented are primarily attributable to the following factors:</w:t>
      </w:r>
    </w:p>
    <w:p>
      <w:pPr>
        <w:spacing w:after="0" w:line="225" w:lineRule="exact"/>
        <w:rPr>
          <w:sz w:val="20"/>
          <w:szCs w:val="20"/>
          <w:color w:val="auto"/>
        </w:rPr>
      </w:pPr>
    </w:p>
    <w:p>
      <w:pPr>
        <w:ind w:left="660" w:right="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balanced product assortment that simultaneously and consistently focused on our four key consumer segments supported by elevated marketing programs. We believe this resulted in improvements in key metrics including units per transaction and average unit retail in both North America and Europe for both the thirteen and twenty-six week periods;</w:t>
      </w:r>
    </w:p>
    <w:p>
      <w:pPr>
        <w:spacing w:after="0" w:line="181"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Improved product development and planning processes that we believe enabled us to better match product supply with consumer demand and allowed us to optimize high impact launches in both North America and Europe in the second quarter of 2015; and</w:t>
      </w:r>
    </w:p>
    <w:p>
      <w:pPr>
        <w:spacing w:after="0" w:line="146" w:lineRule="exact"/>
        <w:rPr>
          <w:rFonts w:ascii="Arial" w:cs="Arial" w:eastAsia="Arial" w:hAnsi="Arial"/>
          <w:sz w:val="17"/>
          <w:szCs w:val="17"/>
          <w:color w:val="auto"/>
        </w:rPr>
      </w:pPr>
    </w:p>
    <w:p>
      <w:pPr>
        <w:ind w:left="660" w:right="34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traffic in the second quarter of 2015 that we believe was due, in part, to children being out of school for more days as compared to the 2014 period when many schools lengthened the year to make up for earlier school cancellations due to weather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expect to improve comparable store sales through the following key initiatives:</w:t>
      </w:r>
    </w:p>
    <w:p>
      <w:pPr>
        <w:spacing w:after="0" w:line="221" w:lineRule="exact"/>
        <w:rPr>
          <w:sz w:val="20"/>
          <w:szCs w:val="20"/>
          <w:color w:val="auto"/>
        </w:rPr>
      </w:pPr>
    </w:p>
    <w:p>
      <w:pPr>
        <w:ind w:left="1000" w:right="400" w:hanging="290"/>
        <w:spacing w:after="0" w:line="277"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into more places: </w:t>
      </w:r>
      <w:r>
        <w:rPr>
          <w:rFonts w:ascii="Arial" w:cs="Arial" w:eastAsia="Arial" w:hAnsi="Arial"/>
          <w:sz w:val="17"/>
          <w:szCs w:val="17"/>
          <w:color w:val="auto"/>
        </w:rPr>
        <w:t>We intend to continue to improve our real estate model by strategically evolving our store portfolio to align</w:t>
      </w:r>
      <w:r>
        <w:rPr>
          <w:rFonts w:ascii="Arial" w:cs="Arial" w:eastAsia="Arial" w:hAnsi="Arial"/>
          <w:sz w:val="17"/>
          <w:szCs w:val="17"/>
          <w:b w:val="1"/>
          <w:bCs w:val="1"/>
          <w:color w:val="auto"/>
        </w:rPr>
        <w:t xml:space="preserve"> </w:t>
      </w:r>
      <w:r>
        <w:rPr>
          <w:rFonts w:ascii="Arial" w:cs="Arial" w:eastAsia="Arial" w:hAnsi="Arial"/>
          <w:sz w:val="17"/>
          <w:szCs w:val="17"/>
          <w:color w:val="auto"/>
        </w:rPr>
        <w:t>with market trends while selectively opening new locations and systematically refreshing our store base. To this end, we plan to open additional stores in high potential destinations such as tourist locations, outlet malls and shop-in-shops. We expect to strategically expand our international presence by leveraging the improving strength in our company-owned stores to restructure and extend our international footprint. We expect to expand into new markets through both franchise and company-owned store models.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 w:name="page14"/>
    <w:bookmarkEnd w:id="13"/>
    <w:p>
      <w:pPr>
        <w:ind w:left="1000" w:right="120" w:hanging="290"/>
        <w:spacing w:after="0" w:line="277"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Targeting more people: </w:t>
      </w:r>
      <w:r>
        <w:rPr>
          <w:rFonts w:ascii="Arial" w:cs="Arial" w:eastAsia="Arial" w:hAnsi="Arial"/>
          <w:sz w:val="17"/>
          <w:szCs w:val="17"/>
          <w:color w:val="auto"/>
        </w:rPr>
        <w:t>We intend to have continuous growth in our business with our core three to twelve year-old consumer segment which</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a majority of current revenue. We will focus on initiatives that drive trial and increase repeat visits with an evolved segmentation, product development and marketing strategy. We expect to strategically grow sales to the over twelve year-old consumers with a focus on key categories including gift-giving, affinity and collectibles. The over-twelve consumer segment currently represents approximately 20% of sales and has a tendency to over-index on less price-sensitive gift-able purchases.</w:t>
      </w:r>
    </w:p>
    <w:p>
      <w:pPr>
        <w:spacing w:after="0" w:line="168" w:lineRule="exact"/>
        <w:rPr>
          <w:rFonts w:ascii="Arial" w:cs="Arial" w:eastAsia="Arial" w:hAnsi="Arial"/>
          <w:sz w:val="17"/>
          <w:szCs w:val="17"/>
          <w:color w:val="auto"/>
        </w:rPr>
      </w:pPr>
    </w:p>
    <w:p>
      <w:pPr>
        <w:jc w:val="both"/>
        <w:ind w:left="1000" w:right="180" w:hanging="290"/>
        <w:spacing w:after="0" w:line="303"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Developing more products: </w:t>
      </w:r>
      <w:r>
        <w:rPr>
          <w:rFonts w:ascii="Arial" w:cs="Arial" w:eastAsia="Arial" w:hAnsi="Arial"/>
          <w:sz w:val="16"/>
          <w:szCs w:val="16"/>
          <w:color w:val="auto"/>
        </w:rPr>
        <w:t>We intend to make continuous improvements and extend our efforts to successfully develop high impact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stories coupled with integrated marketing programs that tend to garner higher price points, drive add-on purchases and create play beyond the plush. We expect to strategically expand our business by launching an out-bound licensing program to leverage our strong brand equity. This will enable us to extend our brand reach with new offerings in relevant categories with “products beyond the plush”.</w:t>
      </w:r>
    </w:p>
    <w:p>
      <w:pPr>
        <w:spacing w:after="0" w:line="151" w:lineRule="exact"/>
        <w:rPr>
          <w:rFonts w:ascii="Arial" w:cs="Arial" w:eastAsia="Arial" w:hAnsi="Arial"/>
          <w:sz w:val="16"/>
          <w:szCs w:val="16"/>
          <w:color w:val="auto"/>
        </w:rPr>
      </w:pPr>
    </w:p>
    <w:p>
      <w:pPr>
        <w:ind w:left="1000" w:right="460" w:hanging="290"/>
        <w:spacing w:after="0" w:line="281"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Driving more profitability: </w:t>
      </w:r>
      <w:r>
        <w:rPr>
          <w:rFonts w:ascii="Arial" w:cs="Arial" w:eastAsia="Arial" w:hAnsi="Arial"/>
          <w:sz w:val="17"/>
          <w:szCs w:val="17"/>
          <w:color w:val="auto"/>
        </w:rPr>
        <w:t>We intend to continue to improve our value engineering initiatives to further optimize product margins while</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implementing new systems that we expect to facilitate sales growth, increase efficiency and improve long term profitability. We expect to strategically expand our profitability by prioritizing incremental growth initiatives, like those discussed above, that leverage existing infrastructure, are primarily royalty-based, and/or allow for discrete pricing and are therefore comparatively margin-accretive.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9"/>
              </w:rPr>
              <w:t>Twenty-six Weeks Ended</w:t>
            </w: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July 4, 2015</w:t>
            </w: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2"/>
              </w:rPr>
              <w:t>June 28, 2014</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340" w:type="dxa"/>
            <w:vAlign w:val="bottom"/>
          </w:tcPr>
          <w:p>
            <w:pPr>
              <w:spacing w:after="0"/>
              <w:rPr>
                <w:sz w:val="16"/>
                <w:szCs w:val="16"/>
                <w:color w:val="auto"/>
              </w:rPr>
            </w:pPr>
          </w:p>
        </w:tc>
        <w:tc>
          <w:tcPr>
            <w:tcW w:w="140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North</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North</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America</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Europe</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America</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Europe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Opened</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33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End of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0"/>
        </w:trPr>
        <w:tc>
          <w:tcPr>
            <w:tcW w:w="3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2015, we expect to open stores in high potential destinations such as tourist locations, outlet malls and shop-in-shops. In the second half of 2015, we also expect to begin to systematically refresh our store base with our new “Discovery” format developed to improve productivity, optimize space and update our brand look. After completing value-engineering work on the design to move it from concept stage to standard model, we plan to open new stores in the format as well as systematically update our existing store fleet primarily in conjunction with natural lease events. We also expect to close select stores as a normal course of managing our real estate portfolio and ongoing operational planning.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company-owned stores. As of July 4, 2015, we had 10 master franchise agreements, which typically grant franchise rights for a particular country or group of countries, covering an aggregate of 16 countries. The number of traditional international franchised stores opened and closed for the periods presented below are summarized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780" w:type="dxa"/>
            <w:vAlign w:val="bottom"/>
            <w:tcBorders>
              <w:bottom w:val="single" w:sz="8" w:color="auto"/>
            </w:tcBorders>
            <w:gridSpan w:val="4"/>
          </w:tcPr>
          <w:p>
            <w:pPr>
              <w:ind w:left="1660"/>
              <w:spacing w:after="0"/>
              <w:rPr>
                <w:sz w:val="20"/>
                <w:szCs w:val="20"/>
                <w:color w:val="auto"/>
              </w:rPr>
            </w:pPr>
            <w:r>
              <w:rPr>
                <w:rFonts w:ascii="Arial" w:cs="Arial" w:eastAsia="Arial" w:hAnsi="Arial"/>
                <w:sz w:val="18"/>
                <w:szCs w:val="18"/>
                <w:b w:val="1"/>
                <w:bCs w:val="1"/>
                <w:color w:val="auto"/>
              </w:rPr>
              <w:t>Twenty-Six Weeks Ended</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July 4, 2015</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June 28, 2014</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Opened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2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w:t>
            </w:r>
          </w:p>
        </w:tc>
        <w:tc>
          <w:tcPr>
            <w:tcW w:w="2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2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2015 second quarter, one franchise agreement, covering one country with two stores, expired and was not renewed. Additionally, in July 2015, we terminated franchise agreements in two countries; each terminated franchise had two stores in operation at the end of the quarter. In the ordinary course of business, we anticipate signing additional master franchise agreements in the future and terminating other such agreements. We believe there is a market potential for approximately 300 international stores outside of North America and Europe.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both"/>
        <w:ind w:right="100"/>
        <w:spacing w:after="0" w:line="259" w:lineRule="auto"/>
        <w:rPr>
          <w:sz w:val="20"/>
          <w:szCs w:val="20"/>
          <w:color w:val="auto"/>
        </w:rPr>
      </w:pPr>
      <w:r>
        <w:rPr>
          <w:rFonts w:ascii="Arial" w:cs="Arial" w:eastAsia="Arial" w:hAnsi="Arial"/>
          <w:sz w:val="18"/>
          <w:szCs w:val="18"/>
          <w:color w:val="auto"/>
        </w:rPr>
        <w:t>In 2015, our international strategy is to leverage the improving strength in our company-owned stores to restructure and extend our international footprint. Key franchisees have started to apply our successful real estate approach including opening pop-up stores to assess long-term potential and adding shop-in-shops with key partners. As of July 4, 2015, our franchisees were operating eight of these non-traditional locations which are not included in the store count presented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200" w:lineRule="exact"/>
        <w:rPr>
          <w:sz w:val="20"/>
          <w:szCs w:val="20"/>
          <w:color w:val="auto"/>
        </w:rPr>
      </w:pPr>
    </w:p>
    <w:p>
      <w:pPr>
        <w:spacing w:after="0" w:line="22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7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51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4,</w:t>
            </w:r>
          </w:p>
        </w:tc>
        <w:tc>
          <w:tcPr>
            <w:tcW w:w="11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June 28,</w:t>
            </w:r>
          </w:p>
        </w:tc>
        <w:tc>
          <w:tcPr>
            <w:tcW w:w="2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4,</w:t>
            </w:r>
          </w:p>
        </w:tc>
        <w:tc>
          <w:tcPr>
            <w:tcW w:w="11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June 28,</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0"/>
        </w:trPr>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0"/>
        </w:trPr>
        <w:tc>
          <w:tcPr>
            <w:tcW w:w="51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 (1)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r>
      <w:tr>
        <w:trPr>
          <w:trHeight w:val="216"/>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r>
      <w:tr>
        <w:trPr>
          <w:trHeight w:val="210"/>
        </w:trPr>
        <w:tc>
          <w:tcPr>
            <w:tcW w:w="516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ind w:left="640"/>
              <w:spacing w:after="0"/>
              <w:rPr>
                <w:sz w:val="20"/>
                <w:szCs w:val="20"/>
                <w:color w:val="auto"/>
              </w:rPr>
            </w:pPr>
            <w:r>
              <w:rPr>
                <w:rFonts w:ascii="Arial" w:cs="Arial" w:eastAsia="Arial" w:hAnsi="Arial"/>
                <w:sz w:val="18"/>
                <w:szCs w:val="18"/>
                <w:color w:val="auto"/>
              </w:rPr>
              <w:t>Income (loss) before income taxes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ind w:left="640"/>
              <w:spacing w:after="0"/>
              <w:rPr>
                <w:sz w:val="20"/>
                <w:szCs w:val="20"/>
                <w:color w:val="auto"/>
              </w:rPr>
            </w:pPr>
            <w:r>
              <w:rPr>
                <w:rFonts w:ascii="Arial" w:cs="Arial" w:eastAsia="Arial" w:hAnsi="Arial"/>
                <w:sz w:val="18"/>
                <w:szCs w:val="18"/>
                <w:color w:val="auto"/>
              </w:rPr>
              <w:t>Net income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Retail Gross Margin %</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right="6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Thirteen weeks ended July 4, 2015 compared to thirteen weeks ended June 28, 2014</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increased to $81.0 million for the thirteen weeks ended July 4, 2015 from $76.2 million for the thirteen weeks ended June 28,</w:t>
      </w:r>
      <w:r>
        <w:rPr>
          <w:rFonts w:ascii="Arial" w:cs="Arial" w:eastAsia="Arial" w:hAnsi="Arial"/>
          <w:sz w:val="17"/>
          <w:szCs w:val="17"/>
          <w:i w:val="1"/>
          <w:iCs w:val="1"/>
          <w:color w:val="auto"/>
        </w:rPr>
        <w:t xml:space="preserve"> </w:t>
      </w:r>
      <w:r>
        <w:rPr>
          <w:rFonts w:ascii="Arial" w:cs="Arial" w:eastAsia="Arial" w:hAnsi="Arial"/>
          <w:sz w:val="17"/>
          <w:szCs w:val="17"/>
          <w:color w:val="auto"/>
        </w:rPr>
        <w:t>2014, an increase of $4.8 million, or 6.3%. Net retail sales were $80.3 million for the thirteen weeks ended July 4, 2015 as compared to $75.4 million for the thirteen weeks ended June 28, 2014, an increase of $4.9 million, or 6.5%. The components of this increase are as follows:</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Thirteen weeks</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July 4,</w:t>
            </w:r>
          </w:p>
        </w:tc>
      </w:tr>
      <w:tr>
        <w:trPr>
          <w:trHeight w:val="234"/>
        </w:trPr>
        <w:tc>
          <w:tcPr>
            <w:tcW w:w="8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6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comparable store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b w:val="1"/>
                <w:bCs w:val="1"/>
                <w:color w:val="auto"/>
                <w:w w:val="87"/>
              </w:rPr>
              <w:t>5.8</w:t>
            </w: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tcPr>
          <w:p>
            <w:pPr>
              <w:spacing w:after="0"/>
              <w:rPr>
                <w:sz w:val="18"/>
                <w:szCs w:val="18"/>
                <w:color w:val="auto"/>
              </w:rPr>
            </w:pPr>
          </w:p>
        </w:tc>
        <w:tc>
          <w:tcPr>
            <w:tcW w:w="15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(1.6)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b w:val="1"/>
                <w:bCs w:val="1"/>
                <w:color w:val="auto"/>
                <w:w w:val="87"/>
              </w:rPr>
              <w:t>1.6</w:t>
            </w: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40" w:type="dxa"/>
            <w:vAlign w:val="bottom"/>
          </w:tcPr>
          <w:p>
            <w:pPr>
              <w:spacing w:after="0"/>
              <w:rPr>
                <w:sz w:val="18"/>
                <w:szCs w:val="18"/>
                <w:color w:val="auto"/>
              </w:rPr>
            </w:pPr>
          </w:p>
        </w:tc>
        <w:tc>
          <w:tcPr>
            <w:tcW w:w="15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(1.0)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b w:val="1"/>
                <w:bCs w:val="1"/>
                <w:color w:val="auto"/>
                <w:w w:val="87"/>
              </w:rPr>
              <w:t>1.0</w:t>
            </w: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Changes from other retail including the imact of calendar shift and e-commerce sales</w:t>
            </w:r>
          </w:p>
        </w:tc>
        <w:tc>
          <w:tcPr>
            <w:tcW w:w="140" w:type="dxa"/>
            <w:vAlign w:val="bottom"/>
          </w:tcPr>
          <w:p>
            <w:pPr>
              <w:spacing w:after="0"/>
              <w:rPr>
                <w:sz w:val="18"/>
                <w:szCs w:val="18"/>
                <w:color w:val="auto"/>
              </w:rPr>
            </w:pPr>
          </w:p>
        </w:tc>
        <w:tc>
          <w:tcPr>
            <w:tcW w:w="15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(0.6)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left="990"/>
              <w:spacing w:after="0"/>
              <w:rPr>
                <w:sz w:val="20"/>
                <w:szCs w:val="20"/>
                <w:color w:val="auto"/>
              </w:rPr>
            </w:pPr>
            <w:r>
              <w:rPr>
                <w:rFonts w:ascii="Arial" w:cs="Arial" w:eastAsia="Arial" w:hAnsi="Arial"/>
                <w:sz w:val="18"/>
                <w:szCs w:val="18"/>
                <w:b w:val="1"/>
                <w:bCs w:val="1"/>
                <w:color w:val="auto"/>
                <w:w w:val="91"/>
              </w:rPr>
              <w:t>(0.3)</w:t>
            </w:r>
          </w:p>
        </w:tc>
      </w:tr>
      <w:tr>
        <w:trPr>
          <w:trHeight w:val="210"/>
        </w:trPr>
        <w:tc>
          <w:tcPr>
            <w:tcW w:w="86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center"/>
              <w:ind w:left="1090"/>
              <w:spacing w:after="0"/>
              <w:rPr>
                <w:sz w:val="20"/>
                <w:szCs w:val="20"/>
                <w:color w:val="auto"/>
              </w:rPr>
            </w:pPr>
            <w:r>
              <w:rPr>
                <w:rFonts w:ascii="Arial" w:cs="Arial" w:eastAsia="Arial" w:hAnsi="Arial"/>
                <w:sz w:val="18"/>
                <w:szCs w:val="18"/>
                <w:b w:val="1"/>
                <w:bCs w:val="1"/>
                <w:color w:val="auto"/>
                <w:w w:val="87"/>
              </w:rPr>
              <w:t>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increase in comparable store sales for the thirteen weeks ended July 4, 2015 was primarily attributable to the following factors:</w:t>
      </w:r>
    </w:p>
    <w:p>
      <w:pPr>
        <w:spacing w:after="0" w:line="225" w:lineRule="exact"/>
        <w:rPr>
          <w:sz w:val="20"/>
          <w:szCs w:val="20"/>
          <w:color w:val="auto"/>
        </w:rPr>
      </w:pPr>
    </w:p>
    <w:p>
      <w:pPr>
        <w:ind w:left="660" w:right="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balanced product assortment that simultaneously and consistently focused on our four key consumer segments supported by elevated marketing programs. We believe this resulted in improvements in key metrics including units per transaction and average unit retail in both North America and Europe for both the thirteen and twenty-six week periods;</w:t>
      </w:r>
    </w:p>
    <w:p>
      <w:pPr>
        <w:spacing w:after="0" w:line="181"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Improved product development and planning processes that we believe enabled us to better match product supply with consumer demand and allowed us to optimize high impact launches in both North America and Europe in the second quarter of 2015; and</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traffic in the second quarter of 2015 that we believe was due, in part, to children being out of school for more days as compared to the 2014 period when many schools lengthened the year to make up for school cancellations due to weather factors.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franchise fees was $0.5 million for both the thirteen weeks ended July 4, 2015 and June 28, 2014. Commercial revenue was $0.2 million and $0.4 million for the thirteen weeks ended July 4, 2015 and June 28, 2014, respectively, primarily resulting from the timing of wholesale sales and a decline in licensing activities.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increased to $34.9 million for the thirteen weeks ended July 4, 2015, compared to $29.4 million for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June 28, 2014, an increase of $5.5 million, or 18.7%. As a percentage of net retail sales, retail gross margin increased to 43.5% for the thirteen weeks ended July 4, 2015 from 39.0% for the thirteen weeks ended June 28, 2014. This 450 basis points as a percentage of net retail sales improvement was primarily driven by a 240 basis point improvement from expansion in merchandise margin and reduction in distribution costs and 210 basis points of improved leverage of fixed occupancy cost.</w:t>
      </w:r>
    </w:p>
    <w:p>
      <w:pPr>
        <w:spacing w:after="0" w:line="18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$35.9 million for the thirteen weeks ended July 4, 2015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$34.0 million for the thirteen weeks ended June 28, 2014, an increase of $1.9 million, or 5.5%. As a percentage of total revenues, selling, general and administrative expenses decreased to 44.4% for the thirteen weeks ended July 4, 2015 compared to 44.6% for the thirteen weeks ended June 28, 2014, a decrease of 20 basis points. The dollar increase in the quarter was primarily due to increases in payroll costs, partially offset by decreased management transition costs. As a percent of revenue, this increase was offset by improved leverage on fixed overhead and the favorable impact of currency on the re-measurement of certain balance sheet items. Excluding the management transition costs and the impact of foreign currency remeasurement in both periods, selling, general and administrative expenses as a percent of revenue increased 40 basis points to 44.7%.</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$42,000 for the thirteen weeks ended July 4, 2015. Interest expense, net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$64,000 for the thirteen weeks ended June 28, 2014.</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 w:name="page17"/>
    <w:bookmarkEnd w:id="16"/>
    <w:p>
      <w:pPr>
        <w:ind w:right="40"/>
        <w:spacing w:after="0" w:line="273"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$0.2 million for the thirteen weeks ended July 4, 2015 compared to $0.3 million for the thirteen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28, 2014. The effective tax rate was (43.4)% for the thirteen weeks ended July 4, 2015 compared to (8.7)% for the thirteen weeks ended June 28, 2014. This $0.1 million decrease was primarily attributable to a decrease in state tax expense and return-to provision adjustments, partially offset by increased tax expense in foreign jurisdictions. As there was a valuation allowance recorded on substantially all domestic deferred tax assets in both periods, income tax expense on domestic income was offset by a reversal of a portion of the existing valuation allowance. The change in the effective rate was primarily driven by the change in pre-tax results for the respective periods.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Twenty-six weeks ended July 4, 2015 compared to twenty-six weeks ended June 28, 2014</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$174.4 million for the twenty-six weeks ended July 4, 2015 as compared to $174.2 million for the twenty-six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28, 2014, an increase of $0.2 million, or 0.1%. Net retail sales were $171.9 million for the twenty-six weeks ended July 4, 2015 as compared to $172.2 million for the twenty-six weeks ended June 28, 2014, a decrease of $0.3 million, or 0.1%. The components of this decrease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Twenty-six</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weeks ended</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July 4,</w:t>
            </w: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comparable store sales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w:t>
            </w: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Changes from other retail including the imact of calendar shift and e-commerce sales</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w:t>
            </w: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w:t>
            </w: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increase in comparable store sales for the twenty-six weeks ended July 4, 2015 was primarily attributable to the following factors:</w:t>
      </w:r>
    </w:p>
    <w:p>
      <w:pPr>
        <w:spacing w:after="0" w:line="237" w:lineRule="exact"/>
        <w:rPr>
          <w:sz w:val="20"/>
          <w:szCs w:val="20"/>
          <w:color w:val="auto"/>
        </w:rPr>
      </w:pPr>
    </w:p>
    <w:p>
      <w:pPr>
        <w:ind w:left="660" w:right="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balanced product assortment that simultaneously and consistently focused on our four key consumer segments supported by elevated marketing programs. We believe this resulted in improvements in key metrics including units per transaction and average unit retail in both North America and Europe for both the thirteen and twenty-six week periods; and</w:t>
      </w:r>
    </w:p>
    <w:p>
      <w:pPr>
        <w:spacing w:after="0" w:line="181" w:lineRule="exact"/>
        <w:rPr>
          <w:rFonts w:ascii="Arial" w:cs="Arial" w:eastAsia="Arial" w:hAnsi="Arial"/>
          <w:sz w:val="18"/>
          <w:szCs w:val="18"/>
          <w:color w:val="auto"/>
        </w:rPr>
      </w:pPr>
    </w:p>
    <w:p>
      <w:pPr>
        <w:ind w:left="660" w:right="5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Improved product development and planning processes that we believe enabled us to better match product supply with consumer demand and allowed us to optimize high impact launches in both North America and Europe in the second quarter of 2015 contributing to the overall improvement in comparable store sales in the twenty-six week period.</w:t>
      </w:r>
    </w:p>
    <w:p>
      <w:pPr>
        <w:spacing w:after="0" w:line="3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franchise fees was $1.1 million for the twenty-six weeks ended July 4, 2015 compared to $1.2 million for the twenty-six weeks ended July 4, 2015, a decrease of $0.1 million. Commercial revenue was $1.4 million for the twenty-six weeks ended July 4, 2015 compared to $0.8 million for the twenty-six weeks ended June 28, 2014, an increase of $0.5 million, primarily resulting from the timing of wholesale revenue partially offset by a decline in licensing activities.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$77.8 million for the twenty-six weeks ended July 4, 2015 compared to $71.6 million for the twenty-six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28, 2014, an increase of $6.2 million, or 8.7%. As a percentage of net retail sales, retail gross margin increased to 45.2% for the twenty-six weeks ended July 4, 2015 from 41.6% for the twenty-six weeks ended June 28, 2014. This 360 basis point improvement was primarily driven by a 260 basis point improvement from expansion in merchandise margin and 100 basis points from a reduction in distribution costs and improved leverage on fixed occupancy cost.</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$73.2 million for the twenty-six weeks ended July 4, 2015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$71.8 million for the twenty-six weeks ended June 28, 2014, an increase of $1.3 million, or 1.8%. As a percentage of total revenues, selling, general and administrative expenses increased to 42.0% for the twenty-six weeks ended July 4, 2015 as compared to 41.2% for the twenty-six weeks ended June 28, 2014, an increase of 80 basis points. The dollar increase in the quarter was primarily due to increases in payroll costs and the negative impact of currency on the re-measurement of certain balance sheet items, partially offset by the timing of marketing spend between quarters and decreased management transition costs. As a percent of revenue, this increase was offset by improved leverage on fixed overhead. Excluding the management transition costs and the impact of foreign currency remeasurement in both periods, selling, general and administrative expenses as a percent of revenue were 41.1% in both periods.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ind w:right="40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$93,000 for the twenty-six weeks ended July 4, 2015. Interest expense,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was $2,000 for the twenty-six weeks ended June 28, 2014.</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$0.4 million for the twenty-six weeks ended July 4, 2015 as compared to $0.6 million for the twenty-six</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June 28, 2014. The effective tax rate was 6.4% for the twenty-six weeks ended July 4, 2015 compared to 46.4% for the twenty-six weeks ended July 4, 2015. This $0.2 million decrease was primarily attributable to a decrease in state tax expense and return-to provision adjustments, partially offset by increased tax expense in foreign jurisdictions. As there was a valuation allowance recorded on substantially all domestic deferred tax assets in both periods, income tax expense on domestic income was offset by a reversal of a portion of the existing valuation allowance. The change in the effective rate was primarily driven by the change in pre-tax results for the respective periods.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seasonal shopping patterns and holiday and vacation schedules; (2) the timing and frequency of our marketing initiatives, including national media and other public relations events; (3) the timing of our store openings and closings and related expenses; (4) changes in general economic conditions and consumer spending patterns; (5) increases or decreases in our comparable store sales; (6) fluctuations in the profitability of our stores; (7) changes in foreign currency exchange rates; (8) the actions of our competitors or mall anchors and co-tenants; (9) changes in consumer preferences; (10) the effectiveness of our inventory management; and (11) weather conditions.</w:t>
      </w:r>
    </w:p>
    <w:p>
      <w:pPr>
        <w:spacing w:after="0" w:line="3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$7.6 million for the twenty-six weeks ended July 4, 2015 compared to cash used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$0.5 million for the twenty-six weeks ended June 28, 2014, an increase in cash used of $7.2 million. Generally, changes in cash from operating activities are driven by changes in net income or loss and changes in operating assets and liabilities. This increase in cash used in operating activities over the year ago period was primarily due to timing of inventory shipments and payments, partially offset by increased store contribution and the decrease in gift card redemptions due to the calendar shift.</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was $6.1 million for the twenty-six weeks ended July 4, 2015 as compared to $3.2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twenty-six weeks ended June 28, 2014, an increase of $2.9 million. Cash used in investing activities during the twenty-six weeks ended July 4, 2015 and June 28, 2014 primarily related to investments in central office information technology systems and construction costs for new and remodeled stores.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Cash used in financing activities in the twenty-six weeks ended July 4, 2015 was $9.8 million as purchases of our stock used cash of</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$9.2 million and exercises of employee stock options, net of shares used for withholding tax payments used $0.6 million. In the twenty-six weeks ended June 28, 2014, financing activities provided cash of $0.4 million, including $1.2 million provided by exercises of employee stock options, net of shares used for withholding tax payments, partially offset by cash used for purchases of our common stock. No borrowings were made under our line of credit in either the twenty-six weeks ended July 4, 2015 or June 28, 2014.</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July 4, 2015, we had a consolidated cash balance of $41.8 million, over half of which was domiciled outside of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our foreign subsidiaries. The credit agreement expires on December 31, 2016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July 4, 2015: (i) 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relocate existing stores and open new stores.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fiscal 2015, we expect to spend a total of $20 million to $25 million on capital expenditures. Capital spending through the twenty-six weeks ended July 4, 2015 totaled $6.1 million, on track with our full year plans. Capital spending in fiscal 2015 is primarily to support the refresh and repositioning of stores and investment in infrastructure.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(the “2008 Share Repurchase Program”). Following a series of annual extensions, as of February 25, 2015, under the 2008 Share Repurchase Program, we had repurchased approximately 6,245,000 shares at an average price of $7.40 per share for an aggregate amount of $46.2 million, leaving $3.8 million of availability under the program. On February 25, 2015, we announced the termination of the 2008 Share Repurchase Program and the adoption of a new repurchase program (the “February 2015 Share Repurchase Program”) which authorizes us to repurchase up to $10 million of our common stock until March 31, 2016, subject to further extension by the Board. On July 7, 2015, we announced that our board of directors had left the February 2015 Share Repurchase Program in place and adopted a new repurchase program (the “July 2015 Share Repurchase Program”) (together, the “2015 Share Repurchase Programs”) which authorizes us to repurchase up to an additional $10 million of our common stock until March 31, 2016, subject to further extension by the Board. Under the 2015 Share Repurchase Programs, we currently intend to purchase up to $20 million of our common stock in the open market (including through 10b5-1 trading plans), through privately negotiated transactions, or through an accelerated repurchase transaction. The primary source of funding has been, and is expected to be, cash on hand. The timing and amount of share repurchases, if any, will depend on price, market conditions, applicable regulatory requirements, and other factors. The 2015 Share Repurchase Programs do not require us to repurchase any specific number of shares, and may be modified, suspended or terminated at any time without prior notice. Shares repurchased under the 2015 Share Repurchase Programs will be subsequently retired. As of August 7, 2015, we had repurchased approximately 533,000 shares at an average price of $17.39 per share for an aggregate amount of $9.3 million, leaving $10.7 million of availability under the 2015 Share Repurchase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ind w:right="48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19, 2015, which includes audited consolidated financial statements for our 2014, 2013 and 2012 fiscal years. There have been no material changes to the critical accounting estimates disclosed in the 2014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will replace most existing revenue recognition guidance in U.S. GAAP. In April 2015, the FASB issued ASU 2014-09, </w:t>
      </w:r>
      <w:r>
        <w:rPr>
          <w:rFonts w:ascii="Arial" w:cs="Arial" w:eastAsia="Arial" w:hAnsi="Arial"/>
          <w:sz w:val="16"/>
          <w:szCs w:val="16"/>
          <w:i w:val="1"/>
          <w:iCs w:val="1"/>
          <w:color w:val="auto"/>
        </w:rPr>
        <w:t>Customer’s,Accounting for Fees Paid in a Cloud</w:t>
      </w:r>
      <w:r>
        <w:rPr>
          <w:rFonts w:ascii="Arial" w:cs="Arial" w:eastAsia="Arial" w:hAnsi="Arial"/>
          <w:sz w:val="16"/>
          <w:szCs w:val="16"/>
          <w:color w:val="auto"/>
        </w:rPr>
        <w:t xml:space="preserve"> </w:t>
      </w:r>
      <w:r>
        <w:rPr>
          <w:rFonts w:ascii="Arial" w:cs="Arial" w:eastAsia="Arial" w:hAnsi="Arial"/>
          <w:sz w:val="16"/>
          <w:szCs w:val="16"/>
          <w:i w:val="1"/>
          <w:iCs w:val="1"/>
          <w:color w:val="auto"/>
        </w:rPr>
        <w:t>Computing Arrangements</w:t>
      </w:r>
      <w:r>
        <w:rPr>
          <w:rFonts w:ascii="Arial" w:cs="Arial" w:eastAsia="Arial" w:hAnsi="Arial"/>
          <w:sz w:val="16"/>
          <w:szCs w:val="16"/>
          <w:color w:val="auto"/>
        </w:rPr>
        <w:t>, which provides guidance to assist entities in determining whether a cloud computing arrangement contains a software license.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10 – Recently Issued Accounting Pronouncements to the Condensed Consolidated Financial Statements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3, 2015 as filed with the SEC on March 19,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Financial Officer, concluded that our disclosure controls and procedures were effective as of July 4, 2015, the end of the period covered by this Quarterly Report.</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16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President Bear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3, 2015 as filed with the SEC on March 19,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Shares (or Units)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4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 Publicly</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the May Yet Be</w:t>
            </w:r>
          </w:p>
        </w:tc>
      </w:tr>
      <w:tr>
        <w:trPr>
          <w:trHeight w:val="216"/>
        </w:trPr>
        <w:tc>
          <w:tcPr>
            <w:tcW w:w="4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(b) Average Price</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193"/>
        </w:trPr>
        <w:tc>
          <w:tcPr>
            <w:tcW w:w="4240" w:type="dxa"/>
            <w:vAlign w:val="bottom"/>
          </w:tcPr>
          <w:p>
            <w:pPr>
              <w:spacing w:after="0"/>
              <w:rPr>
                <w:sz w:val="16"/>
                <w:szCs w:val="16"/>
                <w:color w:val="auto"/>
              </w:rPr>
            </w:pPr>
          </w:p>
        </w:tc>
        <w:tc>
          <w:tcPr>
            <w:tcW w:w="1560" w:type="dxa"/>
            <w:vAlign w:val="bottom"/>
            <w:gridSpan w:val="2"/>
          </w:tcPr>
          <w:p>
            <w:pPr>
              <w:jc w:val="center"/>
              <w:ind w:right="220"/>
              <w:spacing w:after="0" w:line="193" w:lineRule="exact"/>
              <w:rPr>
                <w:sz w:val="20"/>
                <w:szCs w:val="20"/>
                <w:color w:val="auto"/>
              </w:rPr>
            </w:pPr>
            <w:r>
              <w:rPr>
                <w:rFonts w:ascii="Arial" w:cs="Arial" w:eastAsia="Arial" w:hAnsi="Arial"/>
                <w:sz w:val="18"/>
                <w:szCs w:val="18"/>
                <w:b w:val="1"/>
                <w:bCs w:val="1"/>
                <w:color w:val="auto"/>
                <w:w w:val="89"/>
              </w:rPr>
              <w:t>Shares (or Units)</w:t>
            </w:r>
          </w:p>
        </w:tc>
        <w:tc>
          <w:tcPr>
            <w:tcW w:w="100" w:type="dxa"/>
            <w:vAlign w:val="bottom"/>
          </w:tcPr>
          <w:p>
            <w:pPr>
              <w:spacing w:after="0"/>
              <w:rPr>
                <w:sz w:val="16"/>
                <w:szCs w:val="16"/>
                <w:color w:val="auto"/>
              </w:rPr>
            </w:pPr>
          </w:p>
        </w:tc>
        <w:tc>
          <w:tcPr>
            <w:tcW w:w="1440" w:type="dxa"/>
            <w:vAlign w:val="bottom"/>
            <w:gridSpan w:val="2"/>
          </w:tcPr>
          <w:p>
            <w:pPr>
              <w:jc w:val="center"/>
              <w:ind w:right="280"/>
              <w:spacing w:after="0" w:line="193" w:lineRule="exact"/>
              <w:rPr>
                <w:sz w:val="20"/>
                <w:szCs w:val="20"/>
                <w:color w:val="auto"/>
              </w:rPr>
            </w:pPr>
            <w:r>
              <w:rPr>
                <w:rFonts w:ascii="Arial" w:cs="Arial" w:eastAsia="Arial" w:hAnsi="Arial"/>
                <w:sz w:val="18"/>
                <w:szCs w:val="18"/>
                <w:b w:val="1"/>
                <w:bCs w:val="1"/>
                <w:color w:val="auto"/>
                <w:w w:val="91"/>
              </w:rPr>
              <w:t>Paid Per Share</w:t>
            </w:r>
          </w:p>
        </w:tc>
        <w:tc>
          <w:tcPr>
            <w:tcW w:w="1520" w:type="dxa"/>
            <w:vAlign w:val="bottom"/>
            <w:gridSpan w:val="2"/>
          </w:tcPr>
          <w:p>
            <w:pPr>
              <w:jc w:val="center"/>
              <w:ind w:right="200"/>
              <w:spacing w:after="0" w:line="193" w:lineRule="exact"/>
              <w:rPr>
                <w:sz w:val="20"/>
                <w:szCs w:val="20"/>
                <w:color w:val="auto"/>
              </w:rPr>
            </w:pPr>
            <w:r>
              <w:rPr>
                <w:rFonts w:ascii="Arial" w:cs="Arial" w:eastAsia="Arial" w:hAnsi="Arial"/>
                <w:sz w:val="18"/>
                <w:szCs w:val="18"/>
                <w:b w:val="1"/>
                <w:bCs w:val="1"/>
                <w:color w:val="auto"/>
                <w:w w:val="90"/>
              </w:rPr>
              <w:t>Plans or</w:t>
            </w:r>
          </w:p>
        </w:tc>
        <w:tc>
          <w:tcPr>
            <w:tcW w:w="1420" w:type="dxa"/>
            <w:vAlign w:val="bottom"/>
            <w:gridSpan w:val="3"/>
          </w:tcPr>
          <w:p>
            <w:pPr>
              <w:jc w:val="center"/>
              <w:ind w:right="100"/>
              <w:spacing w:after="0" w:line="193" w:lineRule="exact"/>
              <w:rPr>
                <w:sz w:val="20"/>
                <w:szCs w:val="20"/>
                <w:color w:val="auto"/>
              </w:rPr>
            </w:pPr>
            <w:r>
              <w:rPr>
                <w:rFonts w:ascii="Arial" w:cs="Arial" w:eastAsia="Arial" w:hAnsi="Arial"/>
                <w:sz w:val="18"/>
                <w:szCs w:val="18"/>
                <w:b w:val="1"/>
                <w:bCs w:val="1"/>
                <w:color w:val="auto"/>
                <w:w w:val="90"/>
              </w:rPr>
              <w:t>Under the Plans</w:t>
            </w:r>
          </w:p>
        </w:tc>
      </w:tr>
      <w:tr>
        <w:trPr>
          <w:trHeight w:val="258"/>
        </w:trPr>
        <w:tc>
          <w:tcPr>
            <w:tcW w:w="42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56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22"/>
                <w:szCs w:val="22"/>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(or Unit)</w:t>
            </w:r>
          </w:p>
        </w:tc>
        <w:tc>
          <w:tcPr>
            <w:tcW w:w="1520" w:type="dxa"/>
            <w:vAlign w:val="bottom"/>
            <w:gridSpan w:val="2"/>
          </w:tcPr>
          <w:p>
            <w:pPr>
              <w:jc w:val="center"/>
              <w:ind w:right="180"/>
              <w:spacing w:after="0" w:line="258"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9"/>
                <w:szCs w:val="29"/>
                <w:b w:val="1"/>
                <w:bCs w:val="1"/>
                <w:color w:val="auto"/>
                <w:w w:val="86"/>
                <w:vertAlign w:val="superscript"/>
              </w:rPr>
              <w:t>(2)</w:t>
            </w:r>
          </w:p>
        </w:tc>
        <w:tc>
          <w:tcPr>
            <w:tcW w:w="1420" w:type="dxa"/>
            <w:vAlign w:val="bottom"/>
            <w:gridSpan w:val="3"/>
          </w:tcPr>
          <w:p>
            <w:pPr>
              <w:jc w:val="center"/>
              <w:ind w:right="100"/>
              <w:spacing w:after="0" w:line="258" w:lineRule="exact"/>
              <w:rPr>
                <w:sz w:val="20"/>
                <w:szCs w:val="20"/>
                <w:color w:val="auto"/>
              </w:rPr>
            </w:pPr>
            <w:r>
              <w:rPr>
                <w:rFonts w:ascii="Arial" w:cs="Arial" w:eastAsia="Arial" w:hAnsi="Arial"/>
                <w:sz w:val="18"/>
                <w:szCs w:val="18"/>
                <w:b w:val="1"/>
                <w:bCs w:val="1"/>
                <w:color w:val="auto"/>
                <w:w w:val="88"/>
              </w:rPr>
              <w:t xml:space="preserve">or Programs </w:t>
            </w:r>
            <w:r>
              <w:rPr>
                <w:rFonts w:ascii="Arial" w:cs="Arial" w:eastAsia="Arial" w:hAnsi="Arial"/>
                <w:sz w:val="29"/>
                <w:szCs w:val="29"/>
                <w:b w:val="1"/>
                <w:bCs w:val="1"/>
                <w:color w:val="auto"/>
                <w:w w:val="88"/>
                <w:vertAlign w:val="superscript"/>
              </w:rPr>
              <w:t>(2)</w:t>
            </w: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Apr. 5, 2015 – May 2, 2015</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6,896,457</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May 3, 2015 – May 30, 2015</w:t>
            </w:r>
          </w:p>
        </w:tc>
        <w:tc>
          <w:tcPr>
            <w:tcW w:w="1340" w:type="dxa"/>
            <w:vAlign w:val="bottom"/>
          </w:tcPr>
          <w:p>
            <w:pPr>
              <w:jc w:val="right"/>
              <w:spacing w:after="0"/>
              <w:rPr>
                <w:sz w:val="20"/>
                <w:szCs w:val="20"/>
                <w:color w:val="auto"/>
              </w:rPr>
            </w:pPr>
            <w:r>
              <w:rPr>
                <w:rFonts w:ascii="Arial" w:cs="Arial" w:eastAsia="Arial" w:hAnsi="Arial"/>
                <w:sz w:val="18"/>
                <w:szCs w:val="18"/>
                <w:color w:val="auto"/>
              </w:rPr>
              <w:t>229,452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16.96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229,321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3,007,956</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May 31, 2015 – Jul. 4, 2015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836,094</w:t>
            </w:r>
          </w:p>
        </w:tc>
      </w:tr>
      <w:tr>
        <w:trPr>
          <w:trHeight w:val="20"/>
        </w:trPr>
        <w:tc>
          <w:tcPr>
            <w:tcW w:w="42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jc w:val="right"/>
              <w:spacing w:after="0"/>
              <w:rPr>
                <w:sz w:val="20"/>
                <w:szCs w:val="20"/>
                <w:color w:val="auto"/>
              </w:rPr>
            </w:pPr>
            <w:r>
              <w:rPr>
                <w:rFonts w:ascii="Arial" w:cs="Arial" w:eastAsia="Arial" w:hAnsi="Arial"/>
                <w:sz w:val="18"/>
                <w:szCs w:val="18"/>
                <w:color w:val="auto"/>
              </w:rPr>
              <w:t>385,419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372,753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80" w:hanging="512"/>
        <w:spacing w:after="0" w:line="27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20" w:right="20" w:hanging="512"/>
        <w:spacing w:after="0" w:line="29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25, 2015, we announced the termination of the share repurchase program that was adopted in 2008 and the adoption of the February 2015 Share Repurchase Program which authorizes us to repurchase up to $10 million of our common stock through March 31, 2016, subject to further extension by the Board. On July 7, 2015, we announced the adoption of the July 2015 Share Repurchase Program which authorizes us to repurchase up to an additional $10 million of our common stock through March 31, 2016 subject to further extension by the Board, giving us authorization to repurchase an aggregate of $20 million of our common stock. Shares repurchased under these programs will be subsequently retired.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220" w:type="dxa"/>
            <w:vAlign w:val="bottom"/>
            <w:tcBorders>
              <w:bottom w:val="single" w:sz="8" w:color="auto"/>
            </w:tcBorders>
          </w:tcPr>
          <w:p>
            <w:pPr>
              <w:ind w:left="48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10220" w:type="dxa"/>
            <w:vAlign w:val="bottom"/>
          </w:tcPr>
          <w:p>
            <w:pPr>
              <w:ind w:left="300"/>
              <w:spacing w:after="0"/>
              <w:rPr>
                <w:sz w:val="20"/>
                <w:szCs w:val="20"/>
                <w:color w:val="auto"/>
              </w:rPr>
            </w:pPr>
            <w:r>
              <w:rPr>
                <w:rFonts w:ascii="Arial" w:cs="Arial" w:eastAsia="Arial" w:hAnsi="Arial"/>
                <w:sz w:val="18"/>
                <w:szCs w:val="18"/>
                <w:color w:val="auto"/>
                <w:w w:val="97"/>
              </w:rPr>
              <w:t>Agreement and Plan of Merger dated April 3, 2000 between Build-A-Bear Workshop, L.L.C. and the Registrant (incorporated by</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8"/>
              </w:rPr>
              <w:t>reference 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Third Amended and Restated Certificate of Incorporation (incorporated by reference from Exhibit 3.1 of our Current Report on Form 8-</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K, filed on November 11, 2004)</w:t>
            </w: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10220" w:type="dxa"/>
            <w:vAlign w:val="bottom"/>
          </w:tcPr>
          <w:p>
            <w:pPr>
              <w:ind w:left="300"/>
              <w:spacing w:after="0"/>
              <w:rPr>
                <w:sz w:val="20"/>
                <w:szCs w:val="20"/>
                <w:color w:val="auto"/>
              </w:rPr>
            </w:pPr>
            <w:r>
              <w:rPr>
                <w:rFonts w:ascii="Arial" w:cs="Arial" w:eastAsia="Arial" w:hAnsi="Arial"/>
                <w:sz w:val="18"/>
                <w:szCs w:val="18"/>
                <w:color w:val="auto"/>
                <w:w w:val="98"/>
              </w:rPr>
              <w:t>Amended and Restated Bylaws (incorporated by reference from Exhibit 3.4 to our Registration Statement on Form S-1, filed on</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August 12, 2004, Registration No. 333-118142)</w:t>
            </w: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Specimen Stock Certificate (incorporated by reference from Exhibit 4.1 to Amendment No. 3 to our Registration Statement on Form S-1,</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filed on October 1, 2004, Registration No. 333-118142)</w:t>
            </w: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Rule 13a-14(a)/15d-14(a) certification (pursuant to Section 302 of the Sarbanes-Oxley Act of 2002, executed by the Chief Executive</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Officer and President Bear)</w:t>
            </w: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300"/>
              <w:spacing w:after="0"/>
              <w:rPr>
                <w:sz w:val="20"/>
                <w:szCs w:val="20"/>
                <w:color w:val="auto"/>
              </w:rPr>
            </w:pPr>
            <w:r>
              <w:rPr>
                <w:rFonts w:ascii="Arial" w:cs="Arial" w:eastAsia="Arial" w:hAnsi="Arial"/>
                <w:sz w:val="18"/>
                <w:szCs w:val="18"/>
                <w:color w:val="auto"/>
                <w:w w:val="95"/>
              </w:rPr>
              <w:t>Rule 13a-14(a)/15d-14(a) certification (pursuant to Section 302 of the Sarbanes-Oxley Act of 2002, executed by the Chief Financial</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Chief Executive Officer and</w:t>
            </w: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President Bear)</w:t>
            </w:r>
          </w:p>
        </w:tc>
        <w:tc>
          <w:tcPr>
            <w:tcW w:w="40" w:type="dxa"/>
            <w:vAlign w:val="bottom"/>
          </w:tcPr>
          <w:p>
            <w:pPr>
              <w:spacing w:after="0"/>
              <w:rPr>
                <w:sz w:val="20"/>
                <w:szCs w:val="20"/>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tcPr>
          <w:p>
            <w:pPr>
              <w:ind w:left="300"/>
              <w:spacing w:after="0"/>
              <w:rPr>
                <w:sz w:val="20"/>
                <w:szCs w:val="20"/>
                <w:color w:val="auto"/>
              </w:rPr>
            </w:pPr>
            <w:r>
              <w:rPr>
                <w:rFonts w:ascii="Arial" w:cs="Arial" w:eastAsia="Arial" w:hAnsi="Arial"/>
                <w:sz w:val="18"/>
                <w:szCs w:val="18"/>
                <w:color w:val="auto"/>
                <w:w w:val="97"/>
              </w:rPr>
              <w:t>Section 1350 Certification (pursuant to Section 906 of the Sarbanes-Oxley Act of 2002, executed by the Chief Financial Officer)</w:t>
            </w: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675"/>
        </w:trPr>
        <w:tc>
          <w:tcPr>
            <w:tcW w:w="120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105"/>
        </w:trPr>
        <w:tc>
          <w:tcPr>
            <w:tcW w:w="1200" w:type="dxa"/>
            <w:vAlign w:val="bottom"/>
          </w:tcPr>
          <w:p>
            <w:pPr>
              <w:spacing w:after="0"/>
              <w:rPr>
                <w:sz w:val="9"/>
                <w:szCs w:val="9"/>
                <w:color w:val="auto"/>
              </w:rPr>
            </w:pPr>
          </w:p>
        </w:tc>
        <w:tc>
          <w:tcPr>
            <w:tcW w:w="102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200" w:type="dxa"/>
            <w:vAlign w:val="bottom"/>
            <w:shd w:val="clear" w:color="auto" w:fill="808080"/>
          </w:tcPr>
          <w:p>
            <w:pPr>
              <w:spacing w:after="0"/>
              <w:rPr>
                <w:sz w:val="5"/>
                <w:szCs w:val="5"/>
                <w:color w:val="auto"/>
              </w:rPr>
            </w:pPr>
          </w:p>
        </w:tc>
        <w:tc>
          <w:tcPr>
            <w:tcW w:w="10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2" w:name="page23"/>
    <w:bookmarkEnd w:id="2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By:/s/ Sharon John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By:/s/ Voin Todorovic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240" w:top="580"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5126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ectPr>
          <w:pgSz w:w="11900" w:h="16838" w:orient="portrait"/>
          <w:cols w:equalWidth="0" w:num="1">
            <w:col w:w="11420"/>
          </w:cols>
          <w:pgMar w:left="240" w:top="39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4, 2015 as filed with the Securities and Exchange Commission on the date hereof (the “Report”), I, Sharon John, Chief Executive Officer and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August 13,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Chief President Bear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ectPr>
          <w:pgSz w:w="11900" w:h="16838" w:orient="portrait"/>
          <w:cols w:equalWidth="0" w:num="2">
            <w:col w:w="6140" w:space="720"/>
            <w:col w:w="4560"/>
          </w:cols>
          <w:pgMar w:left="240" w:top="391" w:right="2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4, 2015as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61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sectPr>
      <w:pgSz w:w="11900" w:h="16838" w:orient="portrait"/>
      <w:cols w:equalWidth="0" w:num="1">
        <w:col w:w="11420"/>
      </w:cols>
      <w:pgMar w:left="240" w:top="4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2019-12-07T15:30:35Z</dcterms:created>
  <dcterms:modified xsi:type="dcterms:W3CDTF">2019-12-07T15:30:35Z</dcterms:modified>
</cp:coreProperties>
</file>