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0001578217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Build-A-Bear Workshop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001-32320</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415 South18th Street suite 200</w:t>
              <w:br/>
              <w:t>St. Louis</w:t>
              <w:br/>
              <w:t xml:space="preserve">MISSOURI </w:t>
              <w:br/>
              <w:t>63103</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3144238000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Sharon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Merrill Lynch</w:t>
              <w:br/>
              <w:t>1630 South Lindbergh Blvd</w:t>
              <w:br/>
              <w:t>St Louis   MO   63131</w:t>
            </w:r>
          </w:p>
        </w:tc>
        <w:tc>
          <w:tcPr>
            <w:tcW w:w="1171" w:type="dxa"/>
            <w:tcBorders/>
            <w:vAlign w:val="center"/>
          </w:tcPr>
          <w:p>
            <w:pPr>
              <w:pStyle w:val="TableContents"/>
              <w:bidi w:val="0"/>
              <w:spacing w:before="0" w:after="283"/>
              <w:jc w:val="left"/>
              <w:rPr/>
            </w:pPr>
            <w:r>
              <w:rPr/>
              <w:t>91036</w:t>
            </w:r>
          </w:p>
        </w:tc>
        <w:tc>
          <w:tcPr>
            <w:tcW w:w="1380" w:type="dxa"/>
            <w:tcBorders/>
            <w:vAlign w:val="center"/>
          </w:tcPr>
          <w:p>
            <w:pPr>
              <w:pStyle w:val="TableContents"/>
              <w:bidi w:val="0"/>
              <w:spacing w:before="0" w:after="283"/>
              <w:jc w:val="left"/>
              <w:rPr/>
            </w:pPr>
            <w:r>
              <w:rPr/>
              <w:t>3540390</w:t>
            </w:r>
          </w:p>
        </w:tc>
        <w:tc>
          <w:tcPr>
            <w:tcW w:w="1555" w:type="dxa"/>
            <w:tcBorders/>
            <w:vAlign w:val="center"/>
          </w:tcPr>
          <w:p>
            <w:pPr>
              <w:pStyle w:val="TableContents"/>
              <w:bidi w:val="0"/>
              <w:spacing w:before="0" w:after="283"/>
              <w:jc w:val="left"/>
              <w:rPr/>
            </w:pPr>
            <w:r>
              <w:rPr/>
              <w:t>12537443</w:t>
            </w:r>
          </w:p>
        </w:tc>
        <w:tc>
          <w:tcPr>
            <w:tcW w:w="1569" w:type="dxa"/>
            <w:tcBorders/>
            <w:vAlign w:val="center"/>
          </w:tcPr>
          <w:p>
            <w:pPr>
              <w:pStyle w:val="TableContents"/>
              <w:bidi w:val="0"/>
              <w:spacing w:before="0" w:after="283"/>
              <w:jc w:val="left"/>
              <w:rPr/>
            </w:pPr>
            <w:r>
              <w:rPr/>
              <w:t>08/24/2026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04/30/2025</w:t>
            </w:r>
          </w:p>
        </w:tc>
        <w:tc>
          <w:tcPr>
            <w:tcW w:w="1505" w:type="dxa"/>
            <w:tcBorders/>
            <w:vAlign w:val="center"/>
          </w:tcPr>
          <w:p>
            <w:pPr>
              <w:pStyle w:val="TableContents"/>
              <w:bidi w:val="0"/>
              <w:spacing w:before="0" w:after="283"/>
              <w:jc w:val="left"/>
              <w:rPr/>
            </w:pPr>
            <w:r>
              <w:rPr/>
              <w:t>Stock Grant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36097</w:t>
            </w:r>
          </w:p>
        </w:tc>
        <w:tc>
          <w:tcPr>
            <w:tcW w:w="1078" w:type="dxa"/>
            <w:tcBorders/>
            <w:vAlign w:val="center"/>
          </w:tcPr>
          <w:p>
            <w:pPr>
              <w:pStyle w:val="TableContents"/>
              <w:bidi w:val="0"/>
              <w:spacing w:before="0" w:after="283"/>
              <w:jc w:val="left"/>
              <w:rPr/>
            </w:pPr>
            <w:r>
              <w:rPr/>
              <w:t>04/30/2025</w:t>
            </w:r>
          </w:p>
        </w:tc>
        <w:tc>
          <w:tcPr>
            <w:tcW w:w="1237" w:type="dxa"/>
            <w:tcBorders/>
            <w:vAlign w:val="center"/>
          </w:tcPr>
          <w:p>
            <w:pPr>
              <w:pStyle w:val="TableContents"/>
              <w:bidi w:val="0"/>
              <w:spacing w:before="0" w:after="283"/>
              <w:jc w:val="left"/>
              <w:rPr/>
            </w:pPr>
            <w:r>
              <w:rPr/>
              <w:t>Stock Grant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04/30/2021</w:t>
            </w:r>
          </w:p>
        </w:tc>
        <w:tc>
          <w:tcPr>
            <w:tcW w:w="1505" w:type="dxa"/>
            <w:tcBorders/>
            <w:vAlign w:val="center"/>
          </w:tcPr>
          <w:p>
            <w:pPr>
              <w:pStyle w:val="TableContents"/>
              <w:bidi w:val="0"/>
              <w:spacing w:before="0" w:after="283"/>
              <w:jc w:val="left"/>
              <w:rPr/>
            </w:pPr>
            <w:r>
              <w:rPr/>
              <w:t>Stock Grant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54939</w:t>
            </w:r>
          </w:p>
        </w:tc>
        <w:tc>
          <w:tcPr>
            <w:tcW w:w="1078" w:type="dxa"/>
            <w:tcBorders/>
            <w:vAlign w:val="center"/>
          </w:tcPr>
          <w:p>
            <w:pPr>
              <w:pStyle w:val="TableContents"/>
              <w:bidi w:val="0"/>
              <w:spacing w:before="0" w:after="283"/>
              <w:jc w:val="left"/>
              <w:rPr/>
            </w:pPr>
            <w:r>
              <w:rPr/>
              <w:t>04/30/2021</w:t>
            </w:r>
          </w:p>
        </w:tc>
        <w:tc>
          <w:tcPr>
            <w:tcW w:w="1237" w:type="dxa"/>
            <w:tcBorders/>
            <w:vAlign w:val="center"/>
          </w:tcPr>
          <w:p>
            <w:pPr>
              <w:pStyle w:val="TableContents"/>
              <w:bidi w:val="0"/>
              <w:spacing w:before="0" w:after="283"/>
              <w:jc w:val="left"/>
              <w:rPr/>
            </w:pPr>
            <w:r>
              <w:rPr/>
              <w:t>Stock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560"/>
        <w:gridCol w:w="6645"/>
      </w:tblGrid>
      <w:tr>
        <w:trPr/>
        <w:tc>
          <w:tcPr>
            <w:tcW w:w="3560" w:type="dxa"/>
            <w:tcBorders/>
            <w:vAlign w:val="center"/>
          </w:tcPr>
          <w:p>
            <w:pPr>
              <w:pStyle w:val="TableContents"/>
              <w:bidi w:val="0"/>
              <w:spacing w:before="0" w:after="283"/>
              <w:jc w:val="left"/>
              <w:rPr/>
            </w:pPr>
            <w:r>
              <w:rPr/>
              <w:t>Remarks</w:t>
            </w:r>
          </w:p>
        </w:tc>
        <w:tc>
          <w:tcPr>
            <w:tcW w:w="6645" w:type="dxa"/>
            <w:tcBorders/>
            <w:vAlign w:val="center"/>
          </w:tcPr>
          <w:p>
            <w:pPr>
              <w:pStyle w:val="TableContents"/>
              <w:bidi w:val="0"/>
              <w:spacing w:before="0" w:after="0"/>
              <w:jc w:val="left"/>
              <w:rPr/>
            </w:pPr>
            <w:r>
              <w:rPr/>
              <w:t>Relying on 4 week average trading volume to account for shares that were gifted in the past 6 months. 42,511 shares gifted on 4/10/2026 and 10,000 shares gifted on7/1/2026</w:t>
            </w:r>
          </w:p>
        </w:tc>
      </w:tr>
      <w:tr>
        <w:trPr/>
        <w:tc>
          <w:tcPr>
            <w:tcW w:w="3560" w:type="dxa"/>
            <w:tcBorders/>
            <w:vAlign w:val="center"/>
          </w:tcPr>
          <w:p>
            <w:pPr>
              <w:pStyle w:val="TableContents"/>
              <w:bidi w:val="0"/>
              <w:spacing w:before="0" w:after="283"/>
              <w:jc w:val="left"/>
              <w:rPr/>
            </w:pPr>
            <w:r>
              <w:rPr/>
              <w:t>Date of Notice</w:t>
            </w:r>
          </w:p>
        </w:tc>
        <w:tc>
          <w:tcPr>
            <w:tcW w:w="6645" w:type="dxa"/>
            <w:tcBorders/>
            <w:vAlign w:val="center"/>
          </w:tcPr>
          <w:p>
            <w:pPr>
              <w:pStyle w:val="TableContents"/>
              <w:bidi w:val="0"/>
              <w:spacing w:before="0" w:after="0"/>
              <w:jc w:val="left"/>
              <w:rPr/>
            </w:pPr>
            <w:r>
              <w:rPr/>
              <w:t>08/24/2026</w:t>
            </w:r>
          </w:p>
        </w:tc>
      </w:tr>
      <w:tr>
        <w:trPr/>
        <w:tc>
          <w:tcPr>
            <w:tcW w:w="3560" w:type="dxa"/>
            <w:tcBorders/>
            <w:vAlign w:val="center"/>
          </w:tcPr>
          <w:p>
            <w:pPr>
              <w:pStyle w:val="TableContents"/>
              <w:bidi w:val="0"/>
              <w:spacing w:before="0" w:after="283"/>
              <w:jc w:val="left"/>
              <w:rPr/>
            </w:pPr>
            <w:r>
              <w:rPr/>
              <w:t>Date of Plan Adoption or Giving of Instruction, If Relying on Rule 10b5-1</w:t>
            </w:r>
          </w:p>
        </w:tc>
        <w:tc>
          <w:tcPr>
            <w:tcW w:w="6645"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60" w:type="dxa"/>
            <w:tcBorders/>
            <w:vAlign w:val="center"/>
          </w:tcPr>
          <w:p>
            <w:pPr>
              <w:pStyle w:val="TableContents"/>
              <w:bidi w:val="0"/>
              <w:spacing w:before="0" w:after="283"/>
              <w:jc w:val="left"/>
              <w:rPr/>
            </w:pPr>
            <w:r>
              <w:rPr/>
              <w:t>Signature</w:t>
            </w:r>
          </w:p>
        </w:tc>
        <w:tc>
          <w:tcPr>
            <w:tcW w:w="6645" w:type="dxa"/>
            <w:tcBorders/>
            <w:vAlign w:val="center"/>
          </w:tcPr>
          <w:p>
            <w:pPr>
              <w:pStyle w:val="TableContents"/>
              <w:bidi w:val="0"/>
              <w:spacing w:before="0" w:after="0"/>
              <w:jc w:val="left"/>
              <w:rPr/>
            </w:pPr>
            <w:r>
              <w:rPr/>
              <w:t>Sharon John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3130</Characters>
  <CharactersWithSpaces>3688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