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6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73025</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104775</wp:posOffset>
            </wp:positionV>
            <wp:extent cx="746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60" w:right="4100" w:hanging="352"/>
        <w:spacing w:after="0" w:line="511" w:lineRule="auto"/>
        <w:tabs>
          <w:tab w:leader="none" w:pos="3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2, 2011</w:t>
      </w:r>
    </w:p>
    <w:p>
      <w:pPr>
        <w:spacing w:after="0" w:line="28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9"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0"/>
        <w:spacing w:after="0"/>
        <w:tabs>
          <w:tab w:leader="none" w:pos="33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1742440</wp:posOffset>
            </wp:positionH>
            <wp:positionV relativeFrom="paragraph">
              <wp:posOffset>-5080</wp:posOffset>
            </wp:positionV>
            <wp:extent cx="866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88265</wp:posOffset>
            </wp:positionV>
            <wp:extent cx="746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BUILD-A-BEAR WORKSHOP, INC.</w:t>
      </w:r>
    </w:p>
    <w:p>
      <w:pPr>
        <w:spacing w:after="0" w:line="7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73025</wp:posOffset>
            </wp:positionV>
            <wp:extent cx="746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2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652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520" w:type="dxa"/>
            <w:vAlign w:val="bottom"/>
            <w:gridSpan w:val="3"/>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652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1954 Innerbelt Business Center Drive</w:t>
            </w:r>
          </w:p>
        </w:tc>
        <w:tc>
          <w:tcPr>
            <w:tcW w:w="1420" w:type="dxa"/>
            <w:vAlign w:val="bottom"/>
          </w:tcPr>
          <w:p>
            <w:pPr>
              <w:spacing w:after="0"/>
              <w:rPr>
                <w:sz w:val="24"/>
                <w:szCs w:val="24"/>
                <w:color w:val="auto"/>
              </w:rPr>
            </w:pPr>
          </w:p>
        </w:tc>
      </w:tr>
      <w:tr>
        <w:trPr>
          <w:trHeight w:val="216"/>
        </w:trPr>
        <w:tc>
          <w:tcPr>
            <w:tcW w:w="652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63114</w:t>
            </w:r>
          </w:p>
        </w:tc>
      </w:tr>
      <w:tr>
        <w:trPr>
          <w:trHeight w:val="238"/>
        </w:trPr>
        <w:tc>
          <w:tcPr>
            <w:tcW w:w="652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64"/>
        </w:trPr>
        <w:tc>
          <w:tcPr>
            <w:tcW w:w="4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(314) 423-8000</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8"/>
        </w:trPr>
        <w:tc>
          <w:tcPr>
            <w:tcW w:w="6520" w:type="dxa"/>
            <w:vAlign w:val="bottom"/>
            <w:gridSpan w:val="3"/>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1420" w:type="dxa"/>
            <w:vAlign w:val="bottom"/>
          </w:tcPr>
          <w:p>
            <w:pPr>
              <w:spacing w:after="0"/>
              <w:rPr>
                <w:sz w:val="20"/>
                <w:szCs w:val="20"/>
                <w:color w:val="auto"/>
              </w:rPr>
            </w:pPr>
          </w:p>
        </w:tc>
      </w:tr>
      <w:tr>
        <w:trPr>
          <w:trHeight w:val="108"/>
        </w:trPr>
        <w:tc>
          <w:tcPr>
            <w:tcW w:w="38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540" w:type="dxa"/>
            <w:vAlign w:val="bottom"/>
          </w:tcPr>
          <w:p>
            <w:pPr>
              <w:spacing w:after="0"/>
              <w:rPr>
                <w:sz w:val="9"/>
                <w:szCs w:val="9"/>
                <w:color w:val="auto"/>
              </w:rPr>
            </w:pPr>
          </w:p>
        </w:tc>
        <w:tc>
          <w:tcPr>
            <w:tcW w:w="1420" w:type="dxa"/>
            <w:vAlign w:val="bottom"/>
          </w:tcPr>
          <w:p>
            <w:pPr>
              <w:spacing w:after="0"/>
              <w:rPr>
                <w:sz w:val="9"/>
                <w:szCs w:val="9"/>
                <w:color w:val="auto"/>
              </w:rPr>
            </w:pPr>
          </w:p>
        </w:tc>
      </w:tr>
    </w:tbl>
    <w:p>
      <w:pPr>
        <w:spacing w:after="0" w:line="360" w:lineRule="exact"/>
        <w:rPr>
          <w:sz w:val="24"/>
          <w:szCs w:val="24"/>
          <w:color w:val="auto"/>
        </w:rPr>
      </w:pPr>
    </w:p>
    <w:p>
      <w:pPr>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33" w:lineRule="exact"/>
        <w:rPr>
          <w:sz w:val="24"/>
          <w:szCs w:val="24"/>
          <w:color w:val="auto"/>
        </w:rPr>
      </w:pPr>
    </w:p>
    <w:p>
      <w:pPr>
        <w:ind w:right="20"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38" w:orient="portrait"/>
          <w:cols w:equalWidth="0" w:num="1">
            <w:col w:w="11180"/>
          </w:cols>
          <w:pgMar w:left="240" w:top="579" w:right="479" w:bottom="860" w:gutter="0" w:footer="0" w:header="0"/>
        </w:sectPr>
      </w:pPr>
    </w:p>
    <w:p>
      <w:pPr>
        <w:spacing w:after="0" w:line="20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197" w:lineRule="exact"/>
        <w:rPr>
          <w:sz w:val="24"/>
          <w:szCs w:val="24"/>
          <w:color w:val="auto"/>
        </w:rPr>
      </w:pPr>
    </w:p>
    <w:p>
      <w:pPr>
        <w:sectPr>
          <w:pgSz w:w="11900" w:h="16838" w:orient="portrait"/>
          <w:cols w:equalWidth="0" w:num="3">
            <w:col w:w="2760" w:space="100"/>
            <w:col w:w="3260" w:space="720"/>
            <w:col w:w="4340"/>
          </w:cols>
          <w:pgMar w:left="240" w:top="579" w:right="479" w:bottom="860" w:gutter="0" w:footer="0" w:header="0"/>
          <w:type w:val="continuous"/>
        </w:sect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20" w:lineRule="exact"/>
        <w:rPr>
          <w:sz w:val="24"/>
          <w:szCs w:val="24"/>
          <w:color w:val="auto"/>
        </w:rPr>
      </w:pPr>
      <w:r>
        <w:rPr>
          <w:sz w:val="24"/>
          <w:szCs w:val="24"/>
          <w:color w:val="auto"/>
        </w:rPr>
        <w:br w:type="column"/>
      </w:r>
    </w:p>
    <w:p>
      <w:pPr>
        <w:jc w:val="center"/>
        <w:ind w:right="2160"/>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53" w:lineRule="exact"/>
        <w:rPr>
          <w:sz w:val="24"/>
          <w:szCs w:val="24"/>
          <w:color w:val="auto"/>
        </w:rPr>
      </w:pPr>
    </w:p>
    <w:p>
      <w:pPr>
        <w:sectPr>
          <w:pgSz w:w="11900" w:h="16838" w:orient="portrait"/>
          <w:cols w:equalWidth="0" w:num="2">
            <w:col w:w="6120" w:space="720"/>
            <w:col w:w="4340"/>
          </w:cols>
          <w:pgMar w:left="240" w:top="579" w:right="479" w:bottom="860" w:gutter="0" w:footer="0" w:header="0"/>
          <w:type w:val="continuous"/>
        </w:sectPr>
      </w:pPr>
    </w:p>
    <w:p>
      <w:pPr>
        <w:ind w:left="680"/>
        <w:spacing w:after="0" w:line="207" w:lineRule="exact"/>
        <w:tabs>
          <w:tab w:leader="none" w:pos="9000" w:val="left"/>
          <w:tab w:leader="none" w:pos="97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x</w:t>
      </w:r>
    </w:p>
    <w:p>
      <w:pPr>
        <w:spacing w:after="0" w:line="30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August 3, 2011, there were 19,076,347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579" w:right="479" w:bottom="86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9660" w:type="dxa"/>
            <w:vAlign w:val="bottom"/>
          </w:tcPr>
          <w:p>
            <w:pPr>
              <w:spacing w:after="0"/>
              <w:rPr>
                <w:sz w:val="21"/>
                <w:szCs w:val="21"/>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10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620" w:type="dxa"/>
            <w:vAlign w:val="bottom"/>
          </w:tcPr>
          <w:p>
            <w:pPr>
              <w:spacing w:after="0"/>
              <w:rPr>
                <w:sz w:val="24"/>
                <w:szCs w:val="24"/>
                <w:color w:val="auto"/>
              </w:rPr>
            </w:pPr>
          </w:p>
        </w:tc>
      </w:tr>
      <w:tr>
        <w:trPr>
          <w:trHeight w:val="414"/>
        </w:trPr>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6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9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40" w:type="dxa"/>
            <w:vAlign w:val="bottom"/>
          </w:tcPr>
          <w:p>
            <w:pPr>
              <w:spacing w:after="0"/>
              <w:rPr>
                <w:sz w:val="18"/>
                <w:szCs w:val="18"/>
                <w:color w:val="auto"/>
              </w:rPr>
            </w:pPr>
          </w:p>
        </w:tc>
        <w:tc>
          <w:tcPr>
            <w:tcW w:w="9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spacing w:after="0"/>
              <w:rPr>
                <w:sz w:val="18"/>
                <w:szCs w:val="18"/>
                <w:color w:val="auto"/>
              </w:rPr>
            </w:pPr>
          </w:p>
        </w:tc>
        <w:tc>
          <w:tcPr>
            <w:tcW w:w="9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140" w:type="dxa"/>
            <w:vAlign w:val="bottom"/>
          </w:tcPr>
          <w:p>
            <w:pPr>
              <w:spacing w:after="0"/>
              <w:rPr>
                <w:sz w:val="20"/>
                <w:szCs w:val="20"/>
                <w:color w:val="auto"/>
              </w:rPr>
            </w:pPr>
          </w:p>
        </w:tc>
        <w:tc>
          <w:tcPr>
            <w:tcW w:w="9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9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9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Controls and Procedures</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10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 II Other Information</w:t>
            </w:r>
          </w:p>
        </w:tc>
        <w:tc>
          <w:tcPr>
            <w:tcW w:w="620" w:type="dxa"/>
            <w:vAlign w:val="bottom"/>
          </w:tcPr>
          <w:p>
            <w:pPr>
              <w:spacing w:after="0"/>
              <w:rPr>
                <w:sz w:val="24"/>
                <w:szCs w:val="24"/>
                <w:color w:val="auto"/>
              </w:rPr>
            </w:pPr>
          </w:p>
        </w:tc>
      </w:tr>
      <w:tr>
        <w:trPr>
          <w:trHeight w:val="414"/>
        </w:trPr>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9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Factors</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9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Exhibits</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10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Signatures</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23</w:t>
            </w:r>
          </w:p>
        </w:tc>
      </w:tr>
      <w:tr>
        <w:trPr>
          <w:trHeight w:val="581"/>
        </w:trPr>
        <w:tc>
          <w:tcPr>
            <w:tcW w:w="1140" w:type="dxa"/>
            <w:vAlign w:val="bottom"/>
          </w:tcPr>
          <w:p>
            <w:pPr>
              <w:spacing w:after="0"/>
              <w:rPr>
                <w:sz w:val="24"/>
                <w:szCs w:val="24"/>
                <w:color w:val="auto"/>
              </w:rPr>
            </w:pPr>
          </w:p>
        </w:tc>
        <w:tc>
          <w:tcPr>
            <w:tcW w:w="966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24"/>
                <w:szCs w:val="24"/>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96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July 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July 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380" w:type="dxa"/>
            <w:vAlign w:val="bottom"/>
          </w:tcPr>
          <w:p>
            <w:pPr>
              <w:ind w:left="5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0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34,742</w:t>
            </w:r>
          </w:p>
        </w:tc>
        <w:tc>
          <w:tcPr>
            <w:tcW w:w="3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58,755</w:t>
            </w:r>
          </w:p>
        </w:tc>
        <w:tc>
          <w:tcPr>
            <w:tcW w:w="36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31,168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Times New Roman" w:cs="Times New Roman" w:eastAsia="Times New Roman" w:hAnsi="Times New Roman"/>
                <w:sz w:val="18"/>
                <w:szCs w:val="18"/>
                <w:color w:val="auto"/>
              </w:rPr>
              <w:t>Receivables</w:t>
            </w:r>
          </w:p>
        </w:tc>
        <w:tc>
          <w:tcPr>
            <w:tcW w:w="3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7,923</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7,585</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7,465</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7,231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115,669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139,043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$173,418, $163,606 and</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$155,494, respectively</w:t>
            </w:r>
          </w:p>
        </w:tc>
        <w:tc>
          <w:tcPr>
            <w:tcW w:w="3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88,029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33,542</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32,407</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31,742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3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15,070</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14,871</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10,740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246,549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275,794</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3"/>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33,280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36,325</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6,818</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15,488</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6,597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6,852</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6,679</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9,131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87,372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300" w:type="dxa"/>
            <w:vAlign w:val="bottom"/>
            <w:tcBorders>
              <w:top w:val="single" w:sz="8" w:color="auto"/>
            </w:tcBorders>
            <w:shd w:val="clear" w:color="auto" w:fill="C0FFFF"/>
          </w:tcPr>
          <w:p>
            <w:pPr>
              <w:spacing w:after="0"/>
              <w:rPr>
                <w:sz w:val="18"/>
                <w:szCs w:val="18"/>
                <w:color w:val="auto"/>
              </w:rPr>
            </w:pPr>
          </w:p>
        </w:tc>
        <w:tc>
          <w:tcPr>
            <w:tcW w:w="1200" w:type="dxa"/>
            <w:vAlign w:val="bottom"/>
            <w:tcBorders>
              <w:top w:val="single" w:sz="8" w:color="auto"/>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0" w:type="dxa"/>
            <w:vAlign w:val="bottom"/>
            <w:tcBorders>
              <w:top w:val="single" w:sz="8" w:color="auto"/>
            </w:tcBorders>
            <w:shd w:val="clear" w:color="auto" w:fill="C0FFFF"/>
          </w:tcPr>
          <w:p>
            <w:pPr>
              <w:spacing w:after="0"/>
              <w:rPr>
                <w:sz w:val="18"/>
                <w:szCs w:val="18"/>
                <w:color w:val="auto"/>
              </w:rPr>
            </w:pPr>
          </w:p>
        </w:tc>
        <w:tc>
          <w:tcPr>
            <w:tcW w:w="126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80" w:type="dxa"/>
            <w:vAlign w:val="bottom"/>
            <w:tcBorders>
              <w:top w:val="single" w:sz="8" w:color="auto"/>
            </w:tcBorders>
            <w:shd w:val="clear" w:color="auto" w:fill="C0FFFF"/>
          </w:tcPr>
          <w:p>
            <w:pPr>
              <w:spacing w:after="0"/>
              <w:rPr>
                <w:sz w:val="18"/>
                <w:szCs w:val="18"/>
                <w:color w:val="auto"/>
              </w:rPr>
            </w:pPr>
          </w:p>
        </w:tc>
        <w:tc>
          <w:tcPr>
            <w:tcW w:w="12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revenue</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3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26,606</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28,642</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31,686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0FF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w:t>
            </w:r>
          </w:p>
        </w:tc>
        <w:tc>
          <w:tcPr>
            <w:tcW w:w="30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126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28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0FFFF"/>
          </w:tcPr>
          <w:p>
            <w:pPr>
              <w:ind w:left="360"/>
              <w:spacing w:after="0"/>
              <w:rPr>
                <w:sz w:val="20"/>
                <w:szCs w:val="20"/>
                <w:color w:val="auto"/>
              </w:rPr>
            </w:pPr>
            <w:r>
              <w:rPr>
                <w:rFonts w:ascii="Times New Roman" w:cs="Times New Roman" w:eastAsia="Times New Roman" w:hAnsi="Times New Roman"/>
                <w:sz w:val="18"/>
                <w:szCs w:val="18"/>
                <w:color w:val="auto"/>
              </w:rPr>
              <w:t>or outstanding at July 2, 2011, January 1, 2011 and July 3, 2010</w:t>
            </w:r>
          </w:p>
        </w:tc>
        <w:tc>
          <w:tcPr>
            <w:tcW w:w="300" w:type="dxa"/>
            <w:vAlign w:val="bottom"/>
            <w:shd w:val="clear" w:color="auto" w:fill="C0FFFF"/>
          </w:tcPr>
          <w:p>
            <w:pPr>
              <w:spacing w:after="0"/>
              <w:rPr>
                <w:sz w:val="20"/>
                <w:szCs w:val="20"/>
                <w:color w:val="auto"/>
              </w:rPr>
            </w:pPr>
          </w:p>
        </w:tc>
        <w:tc>
          <w:tcPr>
            <w:tcW w:w="13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0FFFF"/>
          </w:tcPr>
          <w:p>
            <w:pPr>
              <w:spacing w:after="0"/>
              <w:rPr>
                <w:sz w:val="20"/>
                <w:szCs w:val="20"/>
                <w:color w:val="auto"/>
              </w:rPr>
            </w:pPr>
          </w:p>
        </w:tc>
        <w:tc>
          <w:tcPr>
            <w:tcW w:w="200" w:type="dxa"/>
            <w:vAlign w:val="bottom"/>
            <w:shd w:val="clear" w:color="auto" w:fill="C0FFFF"/>
          </w:tcPr>
          <w:p>
            <w:pPr>
              <w:spacing w:after="0"/>
              <w:rPr>
                <w:sz w:val="20"/>
                <w:szCs w:val="20"/>
                <w:color w:val="auto"/>
              </w:rPr>
            </w:pPr>
          </w:p>
        </w:tc>
        <w:tc>
          <w:tcPr>
            <w:tcW w:w="14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0FFFF"/>
          </w:tcPr>
          <w:p>
            <w:pPr>
              <w:spacing w:after="0"/>
              <w:rPr>
                <w:sz w:val="20"/>
                <w:szCs w:val="20"/>
                <w:color w:val="auto"/>
              </w:rPr>
            </w:pPr>
          </w:p>
        </w:tc>
        <w:tc>
          <w:tcPr>
            <w:tcW w:w="280" w:type="dxa"/>
            <w:vAlign w:val="bottom"/>
            <w:shd w:val="clear" w:color="auto" w:fill="C0FFFF"/>
          </w:tcPr>
          <w:p>
            <w:pPr>
              <w:spacing w:after="0"/>
              <w:rPr>
                <w:sz w:val="20"/>
                <w:szCs w:val="20"/>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19,198,941, 19,631,623 and 20,272,578 shares, respectively</w:t>
            </w:r>
          </w:p>
        </w:tc>
        <w:tc>
          <w:tcPr>
            <w:tcW w:w="3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72,979</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76,582</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78,130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81,969</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90,894</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83,993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157,713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shd w:val="clear" w:color="auto" w:fill="C0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246,549</w:t>
            </w:r>
          </w:p>
        </w:tc>
        <w:tc>
          <w:tcPr>
            <w:tcW w:w="3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275,794</w:t>
            </w:r>
          </w:p>
        </w:tc>
        <w:tc>
          <w:tcPr>
            <w:tcW w:w="36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254,326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0FFFF"/>
            </w:tcBorders>
            <w:shd w:val="clear" w:color="auto" w:fill="C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8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8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July 2, 2011</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3, 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July 2, 2011</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3, 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ind w:left="440"/>
              <w:spacing w:after="0"/>
              <w:rPr>
                <w:sz w:val="20"/>
                <w:szCs w:val="20"/>
                <w:color w:val="auto"/>
              </w:rPr>
            </w:pPr>
            <w:r>
              <w:rPr>
                <w:rFonts w:ascii="Times New Roman" w:cs="Times New Roman" w:eastAsia="Times New Roman" w:hAnsi="Times New Roman"/>
                <w:sz w:val="18"/>
                <w:szCs w:val="18"/>
                <w:color w:val="auto"/>
              </w:rPr>
              <w:t>Net retail sales</w:t>
            </w:r>
          </w:p>
        </w:tc>
        <w:tc>
          <w:tcPr>
            <w:tcW w:w="580" w:type="dxa"/>
            <w:vAlign w:val="bottom"/>
            <w:gridSpan w:val="2"/>
            <w:shd w:val="clear" w:color="auto" w:fill="C0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80,391</w:t>
            </w:r>
          </w:p>
        </w:tc>
        <w:tc>
          <w:tcPr>
            <w:tcW w:w="28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72,488</w:t>
            </w:r>
          </w:p>
        </w:tc>
        <w:tc>
          <w:tcPr>
            <w:tcW w:w="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174,550</w:t>
            </w:r>
          </w:p>
        </w:tc>
        <w:tc>
          <w:tcPr>
            <w:tcW w:w="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172,274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Commercial revenue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ind w:left="440"/>
              <w:spacing w:after="0"/>
              <w:rPr>
                <w:sz w:val="20"/>
                <w:szCs w:val="20"/>
                <w:color w:val="auto"/>
              </w:rPr>
            </w:pPr>
            <w:r>
              <w:rPr>
                <w:rFonts w:ascii="Times New Roman" w:cs="Times New Roman" w:eastAsia="Times New Roman" w:hAnsi="Times New Roman"/>
                <w:sz w:val="18"/>
                <w:szCs w:val="18"/>
                <w:color w:val="auto"/>
              </w:rPr>
              <w:t>Franchise fees</w:t>
            </w:r>
          </w:p>
        </w:tc>
        <w:tc>
          <w:tcPr>
            <w:tcW w:w="3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shd w:val="clear" w:color="auto" w:fill="C0FFFF"/>
          </w:tcPr>
          <w:p>
            <w:pPr>
              <w:spacing w:after="0"/>
              <w:rPr>
                <w:sz w:val="2"/>
                <w:szCs w:val="2"/>
                <w:color w:val="auto"/>
              </w:rPr>
            </w:pPr>
          </w:p>
        </w:tc>
        <w:tc>
          <w:tcPr>
            <w:tcW w:w="38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81,841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74,134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177,831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200" w:type="dxa"/>
            <w:vAlign w:val="bottom"/>
            <w:tcBorders>
              <w:top w:val="single" w:sz="8" w:color="auto"/>
            </w:tcBorders>
            <w:shd w:val="clear" w:color="auto" w:fill="C0FFFF"/>
          </w:tcPr>
          <w:p>
            <w:pPr>
              <w:spacing w:after="0"/>
              <w:rPr>
                <w:sz w:val="18"/>
                <w:szCs w:val="18"/>
                <w:color w:val="auto"/>
              </w:rPr>
            </w:pPr>
          </w:p>
        </w:tc>
        <w:tc>
          <w:tcPr>
            <w:tcW w:w="1300" w:type="dxa"/>
            <w:vAlign w:val="bottom"/>
            <w:tcBorders>
              <w:top w:val="single" w:sz="8" w:color="auto"/>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tcBorders>
              <w:top w:val="single" w:sz="8" w:color="auto"/>
            </w:tcBorders>
            <w:shd w:val="clear" w:color="auto" w:fill="C0FFFF"/>
          </w:tcPr>
          <w:p>
            <w:pPr>
              <w:spacing w:after="0"/>
              <w:rPr>
                <w:sz w:val="18"/>
                <w:szCs w:val="18"/>
                <w:color w:val="auto"/>
              </w:rPr>
            </w:pPr>
          </w:p>
        </w:tc>
        <w:tc>
          <w:tcPr>
            <w:tcW w:w="130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tcBorders>
              <w:top w:val="single" w:sz="8" w:color="auto"/>
            </w:tcBorders>
            <w:shd w:val="clear" w:color="auto" w:fill="C0FFFF"/>
          </w:tcPr>
          <w:p>
            <w:pPr>
              <w:spacing w:after="0"/>
              <w:rPr>
                <w:sz w:val="18"/>
                <w:szCs w:val="18"/>
                <w:color w:val="auto"/>
              </w:rPr>
            </w:pPr>
          </w:p>
        </w:tc>
        <w:tc>
          <w:tcPr>
            <w:tcW w:w="128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tcBorders>
              <w:top w:val="single" w:sz="8" w:color="auto"/>
            </w:tcBorders>
            <w:shd w:val="clear" w:color="auto" w:fill="C0FFFF"/>
          </w:tcPr>
          <w:p>
            <w:pPr>
              <w:spacing w:after="0"/>
              <w:rPr>
                <w:sz w:val="18"/>
                <w:szCs w:val="18"/>
                <w:color w:val="auto"/>
              </w:rPr>
            </w:pPr>
          </w:p>
        </w:tc>
        <w:tc>
          <w:tcPr>
            <w:tcW w:w="13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ind w:left="440"/>
              <w:spacing w:after="0"/>
              <w:rPr>
                <w:sz w:val="20"/>
                <w:szCs w:val="20"/>
                <w:color w:val="auto"/>
              </w:rPr>
            </w:pPr>
            <w:r>
              <w:rPr>
                <w:rFonts w:ascii="Times New Roman" w:cs="Times New Roman" w:eastAsia="Times New Roman" w:hAnsi="Times New Roman"/>
                <w:sz w:val="18"/>
                <w:szCs w:val="18"/>
                <w:color w:val="auto"/>
              </w:rPr>
              <w:t>Cost of merchandise sold</w:t>
            </w:r>
          </w:p>
        </w:tc>
        <w:tc>
          <w:tcPr>
            <w:tcW w:w="3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51,926</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50,334</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110,151</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109,440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81,803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ind w:left="440"/>
              <w:spacing w:after="0"/>
              <w:rPr>
                <w:sz w:val="20"/>
                <w:szCs w:val="20"/>
                <w:color w:val="auto"/>
              </w:rPr>
            </w:pPr>
            <w:r>
              <w:rPr>
                <w:rFonts w:ascii="Times New Roman" w:cs="Times New Roman" w:eastAsia="Times New Roman" w:hAnsi="Times New Roman"/>
                <w:sz w:val="18"/>
                <w:szCs w:val="18"/>
                <w:color w:val="auto"/>
              </w:rPr>
              <w:t>Store preopening</w:t>
            </w:r>
          </w:p>
        </w:tc>
        <w:tc>
          <w:tcPr>
            <w:tcW w:w="3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ind w:left="9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92,506</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86,737</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192,146</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185,355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shd w:val="clear" w:color="auto" w:fill="C0FFFF"/>
          </w:tcPr>
          <w:p>
            <w:pPr>
              <w:spacing w:after="0"/>
              <w:rPr>
                <w:sz w:val="2"/>
                <w:szCs w:val="2"/>
                <w:color w:val="auto"/>
              </w:rPr>
            </w:pPr>
          </w:p>
        </w:tc>
        <w:tc>
          <w:tcPr>
            <w:tcW w:w="38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(5,388)</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shd w:val="clear" w:color="auto" w:fill="C0FFFF"/>
          </w:tcPr>
          <w:p>
            <w:pPr>
              <w:spacing w:after="0"/>
              <w:rPr>
                <w:sz w:val="2"/>
                <w:szCs w:val="2"/>
                <w:color w:val="auto"/>
              </w:rPr>
            </w:pPr>
          </w:p>
        </w:tc>
        <w:tc>
          <w:tcPr>
            <w:tcW w:w="38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(8,477)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(8,927)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0FF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0FFFF"/>
          </w:tcPr>
          <w:p>
            <w:pPr>
              <w:spacing w:after="0"/>
              <w:rPr>
                <w:sz w:val="20"/>
                <w:szCs w:val="20"/>
                <w:color w:val="auto"/>
              </w:rPr>
            </w:pPr>
          </w:p>
        </w:tc>
        <w:tc>
          <w:tcPr>
            <w:tcW w:w="200" w:type="dxa"/>
            <w:vAlign w:val="bottom"/>
            <w:shd w:val="clear" w:color="auto" w:fill="C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0FFFF"/>
            </w:tcBorders>
            <w:shd w:val="clear" w:color="auto" w:fill="C0FFFF"/>
          </w:tcPr>
          <w:p>
            <w:pPr>
              <w:spacing w:after="0" w:line="20" w:lineRule="exact"/>
              <w:rPr>
                <w:sz w:val="1"/>
                <w:szCs w:val="1"/>
                <w:color w:val="auto"/>
              </w:rPr>
            </w:pPr>
          </w:p>
        </w:tc>
        <w:tc>
          <w:tcPr>
            <w:tcW w:w="38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17,839,349</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18,866,448</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17,964,763</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18,920,494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17,839,439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18,866,448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17,964,763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18,920,494</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0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July 2, 2011</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3, 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gridSpan w:val="2"/>
            <w:shd w:val="clear" w:color="auto" w:fill="C0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(8,927)</w:t>
            </w:r>
          </w:p>
        </w:tc>
        <w:tc>
          <w:tcPr>
            <w:tcW w:w="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12,730</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13,629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440"/>
              <w:spacing w:after="0"/>
              <w:rPr>
                <w:sz w:val="20"/>
                <w:szCs w:val="20"/>
                <w:color w:val="auto"/>
              </w:rPr>
            </w:pPr>
            <w:r>
              <w:rPr>
                <w:rFonts w:ascii="Times New Roman" w:cs="Times New Roman" w:eastAsia="Times New Roman" w:hAnsi="Times New Roman"/>
                <w:sz w:val="18"/>
                <w:szCs w:val="18"/>
                <w:color w:val="auto"/>
              </w:rPr>
              <w:t>Deferred taxes</w:t>
            </w: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Excess tax benefit from share-based payments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440"/>
              <w:spacing w:after="0"/>
              <w:rPr>
                <w:sz w:val="20"/>
                <w:szCs w:val="20"/>
                <w:color w:val="auto"/>
              </w:rPr>
            </w:pPr>
            <w:r>
              <w:rPr>
                <w:rFonts w:ascii="Times New Roman" w:cs="Times New Roman" w:eastAsia="Times New Roman" w:hAnsi="Times New Roman"/>
                <w:sz w:val="18"/>
                <w:szCs w:val="18"/>
                <w:color w:val="auto"/>
              </w:rPr>
              <w:t>Impairment of store assets</w:t>
            </w: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Barter credit utilization</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4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78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(13,026)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Receivables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7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(4,078)</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7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(5,462)</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Deferred revenue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780"/>
              <w:spacing w:after="0"/>
              <w:rPr>
                <w:sz w:val="20"/>
                <w:szCs w:val="20"/>
                <w:color w:val="auto"/>
              </w:rPr>
            </w:pPr>
            <w:r>
              <w:rPr>
                <w:rFonts w:ascii="Times New Roman" w:cs="Times New Roman" w:eastAsia="Times New Roman" w:hAnsi="Times New Roman"/>
                <w:sz w:val="18"/>
                <w:szCs w:val="18"/>
                <w:color w:val="auto"/>
              </w:rPr>
              <w:t>Lease related liabilities</w:t>
            </w: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shd w:val="clear" w:color="auto" w:fill="C0FFFF"/>
          </w:tcPr>
          <w:p>
            <w:pPr>
              <w:spacing w:after="0"/>
              <w:rPr>
                <w:sz w:val="2"/>
                <w:szCs w:val="2"/>
                <w:color w:val="auto"/>
              </w:rPr>
            </w:pPr>
          </w:p>
        </w:tc>
        <w:tc>
          <w:tcPr>
            <w:tcW w:w="136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60" w:type="dxa"/>
            <w:vAlign w:val="bottom"/>
            <w:shd w:val="clear" w:color="auto" w:fill="C0FFFF"/>
          </w:tcPr>
          <w:p>
            <w:pPr>
              <w:spacing w:after="0"/>
              <w:rPr>
                <w:sz w:val="18"/>
                <w:szCs w:val="18"/>
                <w:color w:val="auto"/>
              </w:rPr>
            </w:pPr>
          </w:p>
        </w:tc>
        <w:tc>
          <w:tcPr>
            <w:tcW w:w="200" w:type="dxa"/>
            <w:vAlign w:val="bottom"/>
            <w:tcBorders>
              <w:top w:val="single" w:sz="8" w:color="auto"/>
            </w:tcBorders>
            <w:shd w:val="clear" w:color="auto" w:fill="C0FFFF"/>
          </w:tcPr>
          <w:p>
            <w:pPr>
              <w:spacing w:after="0"/>
              <w:rPr>
                <w:sz w:val="18"/>
                <w:szCs w:val="18"/>
                <w:color w:val="auto"/>
              </w:rPr>
            </w:pPr>
          </w:p>
        </w:tc>
        <w:tc>
          <w:tcPr>
            <w:tcW w:w="130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tcBorders>
              <w:top w:val="single" w:sz="8" w:color="auto"/>
            </w:tcBorders>
            <w:shd w:val="clear" w:color="auto" w:fill="C0FFFF"/>
          </w:tcPr>
          <w:p>
            <w:pPr>
              <w:spacing w:after="0"/>
              <w:rPr>
                <w:sz w:val="18"/>
                <w:szCs w:val="18"/>
                <w:color w:val="auto"/>
              </w:rPr>
            </w:pPr>
          </w:p>
        </w:tc>
        <w:tc>
          <w:tcPr>
            <w:tcW w:w="13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160"/>
              <w:spacing w:after="0"/>
              <w:rPr>
                <w:sz w:val="20"/>
                <w:szCs w:val="20"/>
                <w:color w:val="auto"/>
              </w:rPr>
            </w:pPr>
            <w:r>
              <w:rPr>
                <w:rFonts w:ascii="Times New Roman" w:cs="Times New Roman" w:eastAsia="Times New Roman" w:hAnsi="Times New Roman"/>
                <w:sz w:val="18"/>
                <w:szCs w:val="18"/>
                <w:color w:val="auto"/>
              </w:rPr>
              <w:t>Purchases of other assets and other intangible assets</w:t>
            </w: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short term investments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160"/>
              <w:spacing w:after="0"/>
              <w:rPr>
                <w:sz w:val="20"/>
                <w:szCs w:val="20"/>
                <w:color w:val="auto"/>
              </w:rPr>
            </w:pPr>
            <w:r>
              <w:rPr>
                <w:rFonts w:ascii="Times New Roman" w:cs="Times New Roman" w:eastAsia="Times New Roman" w:hAnsi="Times New Roman"/>
                <w:sz w:val="18"/>
                <w:szCs w:val="18"/>
                <w:color w:val="auto"/>
              </w:rPr>
              <w:t>Proceeds from sale or maturitiy of short term investments</w:t>
            </w: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2,076</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shd w:val="clear" w:color="auto" w:fill="C0FFFF"/>
          </w:tcPr>
          <w:p>
            <w:pPr>
              <w:spacing w:after="0"/>
              <w:rPr>
                <w:sz w:val="2"/>
                <w:szCs w:val="2"/>
                <w:color w:val="auto"/>
              </w:rPr>
            </w:pPr>
          </w:p>
        </w:tc>
        <w:tc>
          <w:tcPr>
            <w:tcW w:w="136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60" w:type="dxa"/>
            <w:vAlign w:val="bottom"/>
            <w:shd w:val="clear" w:color="auto" w:fill="C0FFFF"/>
          </w:tcPr>
          <w:p>
            <w:pPr>
              <w:spacing w:after="0"/>
              <w:rPr>
                <w:sz w:val="18"/>
                <w:szCs w:val="18"/>
                <w:color w:val="auto"/>
              </w:rPr>
            </w:pPr>
          </w:p>
        </w:tc>
        <w:tc>
          <w:tcPr>
            <w:tcW w:w="200" w:type="dxa"/>
            <w:vAlign w:val="bottom"/>
            <w:tcBorders>
              <w:top w:val="single" w:sz="8" w:color="auto"/>
            </w:tcBorders>
            <w:shd w:val="clear" w:color="auto" w:fill="C0FFFF"/>
          </w:tcPr>
          <w:p>
            <w:pPr>
              <w:spacing w:after="0"/>
              <w:rPr>
                <w:sz w:val="18"/>
                <w:szCs w:val="18"/>
                <w:color w:val="auto"/>
              </w:rPr>
            </w:pPr>
          </w:p>
        </w:tc>
        <w:tc>
          <w:tcPr>
            <w:tcW w:w="130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tcBorders>
              <w:top w:val="single" w:sz="8" w:color="auto"/>
            </w:tcBorders>
            <w:shd w:val="clear" w:color="auto" w:fill="C0FFFF"/>
          </w:tcPr>
          <w:p>
            <w:pPr>
              <w:spacing w:after="0"/>
              <w:rPr>
                <w:sz w:val="18"/>
                <w:szCs w:val="18"/>
                <w:color w:val="auto"/>
              </w:rPr>
            </w:pPr>
          </w:p>
        </w:tc>
        <w:tc>
          <w:tcPr>
            <w:tcW w:w="13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 of employee stock options and employee stock purchases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160"/>
              <w:spacing w:after="0"/>
              <w:rPr>
                <w:sz w:val="20"/>
                <w:szCs w:val="20"/>
                <w:color w:val="auto"/>
              </w:rPr>
            </w:pPr>
            <w:r>
              <w:rPr>
                <w:rFonts w:ascii="Times New Roman" w:cs="Times New Roman" w:eastAsia="Times New Roman" w:hAnsi="Times New Roman"/>
                <w:sz w:val="18"/>
                <w:szCs w:val="18"/>
                <w:color w:val="auto"/>
              </w:rPr>
              <w:t>Excess tax benefit from share-based payments</w:t>
            </w: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11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shd w:val="clear" w:color="auto" w:fill="C0FFFF"/>
          </w:tcPr>
          <w:p>
            <w:pPr>
              <w:spacing w:after="0"/>
              <w:rPr>
                <w:sz w:val="2"/>
                <w:szCs w:val="2"/>
                <w:color w:val="auto"/>
              </w:rPr>
            </w:pPr>
          </w:p>
        </w:tc>
        <w:tc>
          <w:tcPr>
            <w:tcW w:w="136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(24,013)</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(29,231)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4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360" w:type="dxa"/>
            <w:vAlign w:val="bottom"/>
            <w:shd w:val="clear" w:color="auto" w:fill="C0FFFF"/>
          </w:tcPr>
          <w:p>
            <w:pPr>
              <w:spacing w:after="0"/>
              <w:rPr>
                <w:sz w:val="20"/>
                <w:szCs w:val="20"/>
                <w:color w:val="auto"/>
              </w:rPr>
            </w:pPr>
          </w:p>
        </w:tc>
        <w:tc>
          <w:tcPr>
            <w:tcW w:w="200" w:type="dxa"/>
            <w:vAlign w:val="bottom"/>
            <w:shd w:val="clear" w:color="auto" w:fill="C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34,742</w:t>
            </w:r>
          </w:p>
        </w:tc>
        <w:tc>
          <w:tcPr>
            <w:tcW w:w="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31,168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Borders>
              <w:top w:val="single" w:sz="8" w:color="C0FFFF"/>
            </w:tcBorders>
            <w:shd w:val="clear" w:color="auto" w:fill="C0FFFF"/>
          </w:tcPr>
          <w:p>
            <w:pPr>
              <w:spacing w:after="0" w:line="20" w:lineRule="exact"/>
              <w:rPr>
                <w:sz w:val="1"/>
                <w:szCs w:val="1"/>
                <w:color w:val="auto"/>
              </w:rPr>
            </w:pPr>
          </w:p>
        </w:tc>
        <w:tc>
          <w:tcPr>
            <w:tcW w:w="136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83"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1, 2011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As a toy retailer, the Company’s sales are highest in the fourth quarter, followed by the first quarter. The timing of holidays and school vacations can impact quarterly results.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1, 2011 included in the Company’s annual report on Form 10-K filed with the SEC on March 17, 2011.</w:t>
      </w:r>
    </w:p>
    <w:p>
      <w:pPr>
        <w:spacing w:after="0" w:line="2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reclassifications of prior year amounts have been made to conform to the current year presentation.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Prepaid Expenses and Other Assets</w:t>
      </w: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July 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July 3,</w:t>
            </w:r>
          </w:p>
        </w:tc>
      </w:tr>
      <w:tr>
        <w:trPr>
          <w:trHeight w:val="245"/>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2011</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2010</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220" w:type="dxa"/>
            <w:vAlign w:val="bottom"/>
            <w:shd w:val="clear" w:color="auto" w:fill="C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34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44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0FFFF"/>
            </w:tcBorders>
            <w:shd w:val="clear" w:color="auto" w:fill="C0FF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0FFFF"/>
          </w:tcPr>
          <w:p>
            <w:pPr>
              <w:spacing w:after="0"/>
              <w:rPr>
                <w:sz w:val="19"/>
                <w:szCs w:val="19"/>
                <w:color w:val="auto"/>
              </w:rPr>
            </w:pPr>
          </w:p>
        </w:tc>
        <w:tc>
          <w:tcPr>
            <w:tcW w:w="104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180" w:type="dxa"/>
            <w:vAlign w:val="bottom"/>
            <w:tcBorders>
              <w:bottom w:val="single" w:sz="8" w:color="C0FFFF"/>
            </w:tcBorders>
            <w:shd w:val="clear" w:color="auto" w:fill="C0FFFF"/>
          </w:tcPr>
          <w:p>
            <w:pPr>
              <w:spacing w:after="0"/>
              <w:rPr>
                <w:sz w:val="19"/>
                <w:szCs w:val="19"/>
                <w:color w:val="auto"/>
              </w:rPr>
            </w:pPr>
          </w:p>
        </w:tc>
        <w:tc>
          <w:tcPr>
            <w:tcW w:w="160" w:type="dxa"/>
            <w:vAlign w:val="bottom"/>
            <w:tcBorders>
              <w:bottom w:val="single" w:sz="8" w:color="auto"/>
            </w:tcBorders>
            <w:shd w:val="clear" w:color="auto" w:fill="C0FFFF"/>
          </w:tcPr>
          <w:p>
            <w:pPr>
              <w:spacing w:after="0"/>
              <w:rPr>
                <w:sz w:val="19"/>
                <w:szCs w:val="19"/>
                <w:color w:val="auto"/>
              </w:rPr>
            </w:pPr>
          </w:p>
        </w:tc>
        <w:tc>
          <w:tcPr>
            <w:tcW w:w="112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20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106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17,370</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283"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Goodwill is accounted for in accordance with Financial Accounting Standards Board Accounting Standards Codification (ASC) Section 350-20 and is reported as a component of the Company’s retail segment. The following table summarizes the changes in goodwill for the twenty-six weeks ended July 2, 2011 (in thousands):</w:t>
      </w: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Balance as of January 1, 2011</w:t>
            </w:r>
          </w:p>
        </w:tc>
        <w:tc>
          <w:tcPr>
            <w:tcW w:w="2900" w:type="dxa"/>
            <w:vAlign w:val="bottom"/>
            <w:gridSpan w:val="2"/>
            <w:shd w:val="clear" w:color="auto" w:fill="C0FF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32,407</w:t>
            </w:r>
          </w:p>
        </w:tc>
        <w:tc>
          <w:tcPr>
            <w:tcW w:w="10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4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280" w:type="dxa"/>
            <w:vAlign w:val="bottom"/>
            <w:tcBorders>
              <w:bottom w:val="single" w:sz="8" w:color="C0FFFF"/>
            </w:tcBorders>
            <w:shd w:val="clear" w:color="auto" w:fill="C0FFFF"/>
          </w:tcPr>
          <w:p>
            <w:pPr>
              <w:spacing w:after="0"/>
              <w:rPr>
                <w:sz w:val="20"/>
                <w:szCs w:val="20"/>
                <w:color w:val="auto"/>
              </w:rPr>
            </w:pPr>
            <w:r>
              <w:rPr>
                <w:rFonts w:ascii="Times New Roman" w:cs="Times New Roman" w:eastAsia="Times New Roman" w:hAnsi="Times New Roman"/>
                <w:sz w:val="18"/>
                <w:szCs w:val="18"/>
                <w:color w:val="auto"/>
              </w:rPr>
              <w:t>Balance as of July 2, 2011</w:t>
            </w:r>
          </w:p>
        </w:tc>
        <w:tc>
          <w:tcPr>
            <w:tcW w:w="2460" w:type="dxa"/>
            <w:vAlign w:val="bottom"/>
            <w:tcBorders>
              <w:bottom w:val="single" w:sz="8" w:color="C0FFFF"/>
            </w:tcBorders>
            <w:shd w:val="clear" w:color="auto" w:fill="C0FFFF"/>
          </w:tcPr>
          <w:p>
            <w:pPr>
              <w:spacing w:after="0"/>
              <w:rPr>
                <w:sz w:val="22"/>
                <w:szCs w:val="22"/>
                <w:color w:val="auto"/>
              </w:rPr>
            </w:pPr>
          </w:p>
        </w:tc>
        <w:tc>
          <w:tcPr>
            <w:tcW w:w="440" w:type="dxa"/>
            <w:vAlign w:val="bottom"/>
            <w:tcBorders>
              <w:bottom w:val="single" w:sz="8" w:color="auto"/>
            </w:tcBorders>
            <w:shd w:val="clear" w:color="auto" w:fill="C0FF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33,542</w:t>
            </w:r>
          </w:p>
        </w:tc>
        <w:tc>
          <w:tcPr>
            <w:tcW w:w="100" w:type="dxa"/>
            <w:vAlign w:val="bottom"/>
            <w:tcBorders>
              <w:bottom w:val="single" w:sz="8" w:color="C0FFFF"/>
            </w:tcBorders>
            <w:shd w:val="clear" w:color="auto" w:fill="C0FFFF"/>
          </w:tcPr>
          <w:p>
            <w:pPr>
              <w:spacing w:after="0"/>
              <w:rPr>
                <w:sz w:val="22"/>
                <w:szCs w:val="22"/>
                <w:color w:val="auto"/>
              </w:rPr>
            </w:pPr>
          </w:p>
        </w:tc>
      </w:tr>
    </w:tbl>
    <w:p>
      <w:pPr>
        <w:spacing w:after="0" w:line="25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Goodwill is not subject to amortization and is tested for impairment annually or more frequently if events or changes in circumstances indicate that the asset might be impaired. This testing requires comparison of carrying values to fair values, and when appropriate, the carrying value of impaired assets is reduced to fair value. Goodwill will be tested for impairment no later than December 31, 2011.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Stock-based Compensation</w:t>
      </w:r>
    </w:p>
    <w:p>
      <w:pPr>
        <w:spacing w:after="0" w:line="283"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Section 718. The Company uses the straight-line expense attribution method for all stock-based compensation awards with graded vesting.</w:t>
      </w:r>
    </w:p>
    <w:p>
      <w:pPr>
        <w:spacing w:after="0" w:line="21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For the thirteen and twenty-six weeks ended July 2, 2011, selling, general and administrative expenses includes $1.1 million ($0.7 million after tax) and $2.4 million ($1.5 million after tax), respectively, of stock-based compensation expense. For the thirteen and twenty-six weeks ended July 3, 2010, selling, general and administrative expense includes $1.2 million ($0.7 million after tax) and $2.5 million ($1.5 million after tax), respectively, of stock-based compensation expense.</w:t>
      </w:r>
    </w:p>
    <w:p>
      <w:pPr>
        <w:spacing w:after="0" w:line="23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July 2, 2011, there was $8.2 million of total unrecognized compensation expense related to nonvested restricted stock and option awards which is expected to be recognized over a weighted-average period of 1.7 years.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5. Stock Incentive Plans</w:t>
      </w:r>
    </w:p>
    <w:p>
      <w:pPr>
        <w:spacing w:after="0" w:line="283"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On April 3, 2000, the Company adopted the 2000 Stock Option Plan (the Plan). In 2003, the Company adopted the Build-A-Bear Workshop, Inc. 2002 Stock Incentive Plan; in 2004, the Company adopted the Build-A-Bear Workshop, Inc. 2004 Stock Incentive Plan, and in 2009, the Company amended and restated the Build-A-Bear Workshop, Inc. 2004 Stock Incentive Plan (collectively, the Plans).</w:t>
      </w:r>
    </w:p>
    <w:p>
      <w:pPr>
        <w:spacing w:after="0" w:line="23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Under the Plans, as amended, from January 3, 2009, up to 3,230,000 shares of common stock were reserved and may be granted to employees and nonemployees of the Company. The Plan allows for the grant of incentive stock options, nonqualified stock options, stock appreciation rights (SAR) and restricted stock. Options granted under the Plan expire no later than 10 years from the date of the grant. The exercise price of each incentive stock option shall not be less than 100% of the fair value of the stock subject to the option on the date the option is granted. The vesting provision of individual options generally ranges from one to four years. Each share of stock awarded pursuant to an option or subject to the exercised portion of a SAR reduces the number of shares available by one share. Each share of stock awarded pursuant to any other stock-based awards, including restricted stock grants, reduces the number of shares available by 1.27 shares.</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 Stock Options</w:t>
      </w: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is a summary of the balances and activity for the Plans related to stock options for the twenty-six weeks ended July 2, 2011:</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3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Outstanding, January 1, 2011</w:t>
            </w:r>
          </w:p>
        </w:tc>
        <w:tc>
          <w:tcPr>
            <w:tcW w:w="13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1,125,223</w:t>
            </w:r>
          </w:p>
        </w:tc>
        <w:tc>
          <w:tcPr>
            <w:tcW w:w="32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8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38,392</w:t>
            </w: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Outstanding, July 2, 2011</w:t>
            </w:r>
          </w:p>
        </w:tc>
        <w:tc>
          <w:tcPr>
            <w:tcW w:w="13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1,384,681</w:t>
            </w:r>
          </w:p>
        </w:tc>
        <w:tc>
          <w:tcPr>
            <w:tcW w:w="32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5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C0FFFF"/>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b w:val="1"/>
                <w:bCs w:val="1"/>
                <w:color w:val="auto"/>
              </w:rPr>
              <w:t>Options Exercisable As Of:</w:t>
            </w:r>
          </w:p>
        </w:tc>
        <w:tc>
          <w:tcPr>
            <w:tcW w:w="13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6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July 2, 2011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581,755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generally issues new shares to satisfy option exercises.</w:t>
      </w:r>
    </w:p>
    <w:p>
      <w:pPr>
        <w:spacing w:after="0" w:line="27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expense recorded related to options during the twenty-six weeks ended July 2, 2011 was determined using the Black-Scholes option pricing model and the provisions of Staff Accounting Bulletin (SAB) 107 and 110, which allow the use of a simplified method to estimate the expected term of “plain vanilla” options. The assumptions used in the option pricing model for the twenty-six weeks ended July 2, 2011 were: (a) dividend yield of 0%; (b) volatility of 65%; (c) risk-free interest rates ranging from 2.0% to 2.5%; and (d) an expected life of 6.25 years. The assumptions used in the option pricing model for the twenty-six weeks ended July 3, 2010 were: (a) dividend yield of 0%; (b) volatility of 65%; (c) risk-free interest rates ranging from 3.0% to 3.4%; and (d) an expected life of 6.25 years.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 w:name="page8"/>
    <w:bookmarkEnd w:id="7"/>
    <w:p>
      <w:pPr>
        <w:ind w:left="500"/>
        <w:spacing w:after="0"/>
        <w:rPr>
          <w:sz w:val="20"/>
          <w:szCs w:val="20"/>
          <w:color w:val="auto"/>
        </w:rPr>
      </w:pPr>
      <w:r>
        <w:rPr>
          <w:rFonts w:ascii="Times New Roman" w:cs="Times New Roman" w:eastAsia="Times New Roman" w:hAnsi="Times New Roman"/>
          <w:sz w:val="18"/>
          <w:szCs w:val="18"/>
          <w:b w:val="1"/>
          <w:bCs w:val="1"/>
          <w:color w:val="auto"/>
        </w:rPr>
        <w:t>(b) Restricted Stock</w:t>
      </w:r>
    </w:p>
    <w:p>
      <w:pPr>
        <w:spacing w:after="0" w:line="283"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for the Plans related to restricted stock granted as compensation to employees and directors for the twenty-six weeks ended July 2, 2011:</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r>
      <w:tr>
        <w:trPr>
          <w:trHeight w:val="245"/>
        </w:trPr>
        <w:tc>
          <w:tcPr>
            <w:tcW w:w="2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 Award</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Outstanding, January 1, 2011</w:t>
            </w:r>
          </w:p>
        </w:tc>
        <w:tc>
          <w:tcPr>
            <w:tcW w:w="12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1,468,373</w:t>
            </w:r>
          </w:p>
        </w:tc>
        <w:tc>
          <w:tcPr>
            <w:tcW w:w="34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312,981</w:t>
            </w:r>
          </w:p>
        </w:tc>
        <w:tc>
          <w:tcPr>
            <w:tcW w:w="1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Canceled or expired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62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Outstanding, July 2, 2011</w:t>
            </w:r>
          </w:p>
        </w:tc>
        <w:tc>
          <w:tcPr>
            <w:tcW w:w="12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1,564,522</w:t>
            </w:r>
          </w:p>
        </w:tc>
        <w:tc>
          <w:tcPr>
            <w:tcW w:w="34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0FF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0FFFF"/>
            </w:tcBorders>
            <w:shd w:val="clear" w:color="auto" w:fill="C0FF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total fair value of shares vested during the twenty-six weeks ended July 2, 2011 and July 3, 2010 was $2.0 million and $1.8 million, respectively.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share and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8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8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July 2, 2011</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3, 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July 2, 2011</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3, 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shd w:val="clear" w:color="auto" w:fill="C0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(6,675)</w:t>
            </w:r>
          </w:p>
        </w:tc>
        <w:tc>
          <w:tcPr>
            <w:tcW w:w="28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(8,477)</w:t>
            </w:r>
          </w:p>
        </w:tc>
        <w:tc>
          <w:tcPr>
            <w:tcW w:w="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(8,927)</w:t>
            </w:r>
          </w:p>
        </w:tc>
        <w:tc>
          <w:tcPr>
            <w:tcW w:w="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0FFFF"/>
            </w:tcBorders>
          </w:tcPr>
          <w:p>
            <w:pPr>
              <w:spacing w:after="0"/>
              <w:rPr>
                <w:sz w:val="20"/>
                <w:szCs w:val="20"/>
                <w:color w:val="auto"/>
              </w:rPr>
            </w:pPr>
            <w:r>
              <w:rPr>
                <w:rFonts w:ascii="Times New Roman" w:cs="Times New Roman" w:eastAsia="Times New Roman" w:hAnsi="Times New Roman"/>
                <w:sz w:val="18"/>
                <w:szCs w:val="18"/>
                <w:color w:val="auto"/>
              </w:rPr>
              <w:t>Weighted average number of common</w:t>
            </w:r>
          </w:p>
        </w:tc>
        <w:tc>
          <w:tcPr>
            <w:tcW w:w="20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shares outstanding</w:t>
            </w:r>
          </w:p>
        </w:tc>
        <w:tc>
          <w:tcPr>
            <w:tcW w:w="200" w:type="dxa"/>
            <w:vAlign w:val="bottom"/>
            <w:shd w:val="clear" w:color="auto" w:fill="C0FFFF"/>
          </w:tcPr>
          <w:p>
            <w:pPr>
              <w:spacing w:after="0"/>
              <w:rPr>
                <w:sz w:val="22"/>
                <w:szCs w:val="22"/>
                <w:color w:val="auto"/>
              </w:rPr>
            </w:pPr>
          </w:p>
        </w:tc>
        <w:tc>
          <w:tcPr>
            <w:tcW w:w="200" w:type="dxa"/>
            <w:vAlign w:val="bottom"/>
            <w:shd w:val="clear" w:color="auto" w:fill="C0FFFF"/>
          </w:tcPr>
          <w:p>
            <w:pPr>
              <w:spacing w:after="0"/>
              <w:rPr>
                <w:sz w:val="22"/>
                <w:szCs w:val="22"/>
                <w:color w:val="auto"/>
              </w:rPr>
            </w:pPr>
          </w:p>
        </w:tc>
        <w:tc>
          <w:tcPr>
            <w:tcW w:w="14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17,839,349</w:t>
            </w:r>
          </w:p>
        </w:tc>
        <w:tc>
          <w:tcPr>
            <w:tcW w:w="100" w:type="dxa"/>
            <w:vAlign w:val="bottom"/>
            <w:shd w:val="clear" w:color="auto" w:fill="C0FFFF"/>
          </w:tcPr>
          <w:p>
            <w:pPr>
              <w:spacing w:after="0"/>
              <w:rPr>
                <w:sz w:val="22"/>
                <w:szCs w:val="22"/>
                <w:color w:val="auto"/>
              </w:rPr>
            </w:pPr>
          </w:p>
        </w:tc>
        <w:tc>
          <w:tcPr>
            <w:tcW w:w="180" w:type="dxa"/>
            <w:vAlign w:val="bottom"/>
            <w:shd w:val="clear" w:color="auto" w:fill="C0FFFF"/>
          </w:tcPr>
          <w:p>
            <w:pPr>
              <w:spacing w:after="0"/>
              <w:rPr>
                <w:sz w:val="22"/>
                <w:szCs w:val="22"/>
                <w:color w:val="auto"/>
              </w:rPr>
            </w:pP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18,866,448</w:t>
            </w:r>
          </w:p>
        </w:tc>
        <w:tc>
          <w:tcPr>
            <w:tcW w:w="80" w:type="dxa"/>
            <w:vAlign w:val="bottom"/>
            <w:shd w:val="clear" w:color="auto" w:fill="C0FFFF"/>
          </w:tcPr>
          <w:p>
            <w:pPr>
              <w:spacing w:after="0"/>
              <w:rPr>
                <w:sz w:val="22"/>
                <w:szCs w:val="22"/>
                <w:color w:val="auto"/>
              </w:rPr>
            </w:pPr>
          </w:p>
        </w:tc>
        <w:tc>
          <w:tcPr>
            <w:tcW w:w="180" w:type="dxa"/>
            <w:vAlign w:val="bottom"/>
            <w:shd w:val="clear" w:color="auto" w:fill="C0FFFF"/>
          </w:tcPr>
          <w:p>
            <w:pPr>
              <w:spacing w:after="0"/>
              <w:rPr>
                <w:sz w:val="22"/>
                <w:szCs w:val="22"/>
                <w:color w:val="auto"/>
              </w:rPr>
            </w:pPr>
          </w:p>
        </w:tc>
        <w:tc>
          <w:tcPr>
            <w:tcW w:w="14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17,964,763</w:t>
            </w:r>
          </w:p>
        </w:tc>
        <w:tc>
          <w:tcPr>
            <w:tcW w:w="80" w:type="dxa"/>
            <w:vAlign w:val="bottom"/>
            <w:shd w:val="clear" w:color="auto" w:fill="C0FFFF"/>
          </w:tcPr>
          <w:p>
            <w:pPr>
              <w:spacing w:after="0"/>
              <w:rPr>
                <w:sz w:val="22"/>
                <w:szCs w:val="22"/>
                <w:color w:val="auto"/>
              </w:rPr>
            </w:pPr>
          </w:p>
        </w:tc>
        <w:tc>
          <w:tcPr>
            <w:tcW w:w="180" w:type="dxa"/>
            <w:vAlign w:val="bottom"/>
            <w:shd w:val="clear" w:color="auto" w:fill="C0FFFF"/>
          </w:tcPr>
          <w:p>
            <w:pPr>
              <w:spacing w:after="0"/>
              <w:rPr>
                <w:sz w:val="22"/>
                <w:szCs w:val="22"/>
                <w:color w:val="auto"/>
              </w:rPr>
            </w:pP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18,920,494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0FFFF"/>
            </w:tcBorders>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stock</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Weighted average number of common shares - dilutive</w:t>
            </w:r>
          </w:p>
        </w:tc>
        <w:tc>
          <w:tcPr>
            <w:tcW w:w="200" w:type="dxa"/>
            <w:vAlign w:val="bottom"/>
            <w:shd w:val="clear" w:color="auto" w:fill="C0FFFF"/>
          </w:tcPr>
          <w:p>
            <w:pPr>
              <w:spacing w:after="0"/>
              <w:rPr>
                <w:sz w:val="22"/>
                <w:szCs w:val="22"/>
                <w:color w:val="auto"/>
              </w:rPr>
            </w:pPr>
          </w:p>
        </w:tc>
        <w:tc>
          <w:tcPr>
            <w:tcW w:w="200" w:type="dxa"/>
            <w:vAlign w:val="bottom"/>
            <w:shd w:val="clear" w:color="auto" w:fill="C0FFFF"/>
          </w:tcPr>
          <w:p>
            <w:pPr>
              <w:spacing w:after="0"/>
              <w:rPr>
                <w:sz w:val="22"/>
                <w:szCs w:val="22"/>
                <w:color w:val="auto"/>
              </w:rPr>
            </w:pPr>
          </w:p>
        </w:tc>
        <w:tc>
          <w:tcPr>
            <w:tcW w:w="14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17,839,349</w:t>
            </w:r>
          </w:p>
        </w:tc>
        <w:tc>
          <w:tcPr>
            <w:tcW w:w="100" w:type="dxa"/>
            <w:vAlign w:val="bottom"/>
            <w:shd w:val="clear" w:color="auto" w:fill="C0FFFF"/>
          </w:tcPr>
          <w:p>
            <w:pPr>
              <w:spacing w:after="0"/>
              <w:rPr>
                <w:sz w:val="22"/>
                <w:szCs w:val="22"/>
                <w:color w:val="auto"/>
              </w:rPr>
            </w:pPr>
          </w:p>
        </w:tc>
        <w:tc>
          <w:tcPr>
            <w:tcW w:w="180" w:type="dxa"/>
            <w:vAlign w:val="bottom"/>
            <w:shd w:val="clear" w:color="auto" w:fill="C0FFFF"/>
          </w:tcPr>
          <w:p>
            <w:pPr>
              <w:spacing w:after="0"/>
              <w:rPr>
                <w:sz w:val="22"/>
                <w:szCs w:val="22"/>
                <w:color w:val="auto"/>
              </w:rPr>
            </w:pP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18,866,448</w:t>
            </w:r>
          </w:p>
        </w:tc>
        <w:tc>
          <w:tcPr>
            <w:tcW w:w="80" w:type="dxa"/>
            <w:vAlign w:val="bottom"/>
            <w:shd w:val="clear" w:color="auto" w:fill="C0FFFF"/>
          </w:tcPr>
          <w:p>
            <w:pPr>
              <w:spacing w:after="0"/>
              <w:rPr>
                <w:sz w:val="22"/>
                <w:szCs w:val="22"/>
                <w:color w:val="auto"/>
              </w:rPr>
            </w:pPr>
          </w:p>
        </w:tc>
        <w:tc>
          <w:tcPr>
            <w:tcW w:w="180" w:type="dxa"/>
            <w:vAlign w:val="bottom"/>
            <w:shd w:val="clear" w:color="auto" w:fill="C0FFFF"/>
          </w:tcPr>
          <w:p>
            <w:pPr>
              <w:spacing w:after="0"/>
              <w:rPr>
                <w:sz w:val="22"/>
                <w:szCs w:val="22"/>
                <w:color w:val="auto"/>
              </w:rPr>
            </w:pPr>
          </w:p>
        </w:tc>
        <w:tc>
          <w:tcPr>
            <w:tcW w:w="14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17,964,763</w:t>
            </w:r>
          </w:p>
        </w:tc>
        <w:tc>
          <w:tcPr>
            <w:tcW w:w="80" w:type="dxa"/>
            <w:vAlign w:val="bottom"/>
            <w:shd w:val="clear" w:color="auto" w:fill="C0FFFF"/>
          </w:tcPr>
          <w:p>
            <w:pPr>
              <w:spacing w:after="0"/>
              <w:rPr>
                <w:sz w:val="22"/>
                <w:szCs w:val="22"/>
                <w:color w:val="auto"/>
              </w:rPr>
            </w:pPr>
          </w:p>
        </w:tc>
        <w:tc>
          <w:tcPr>
            <w:tcW w:w="180" w:type="dxa"/>
            <w:vAlign w:val="bottom"/>
            <w:shd w:val="clear" w:color="auto" w:fill="C0FFFF"/>
          </w:tcPr>
          <w:p>
            <w:pPr>
              <w:spacing w:after="0"/>
              <w:rPr>
                <w:sz w:val="22"/>
                <w:szCs w:val="22"/>
                <w:color w:val="auto"/>
              </w:rPr>
            </w:pPr>
          </w:p>
        </w:tc>
        <w:tc>
          <w:tcPr>
            <w:tcW w:w="14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18,920,494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0FF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0FFFF"/>
          </w:tcPr>
          <w:p>
            <w:pPr>
              <w:spacing w:after="0"/>
              <w:rPr>
                <w:sz w:val="20"/>
                <w:szCs w:val="20"/>
                <w:color w:val="auto"/>
              </w:rPr>
            </w:pPr>
          </w:p>
        </w:tc>
        <w:tc>
          <w:tcPr>
            <w:tcW w:w="200" w:type="dxa"/>
            <w:vAlign w:val="bottom"/>
            <w:shd w:val="clear" w:color="auto" w:fill="C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calculating diluted loss per share for the thirteen and twenty-six weeks ended July 2, 2011, options to purchase 1,384,681 shares of common stock were outstanding as of the end of the period, but were not included in the computation of diluted loss per share due to their anti-dilutive effect under the provisions of ASC 260-10. An additional 1,564,522 shares of restricted common stock were outstanding at the end of the period, but excluded from the calculation of diluted loss per share for the thirteen and twenty-six weeks ended July 2, 2011 due to their anti-dilutive effect.</w:t>
      </w:r>
    </w:p>
    <w:p>
      <w:pPr>
        <w:spacing w:after="0" w:line="23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calculating diluted loss per share for the thirteen and twenty-six weeks ended July 3, 2010, options to purchase 1,143,027 shares of common stock were outstanding as of the end of the period, but were not included in the computation of diluted loss per share due to their anti-dilutive effect. An additional 1,522,087 shares of restricted common stock were outstanding at the end of the period, but excluded from the calculation of diluted loss per share for the thirteen and twenty-six weeks ended July 3, 2010 due to their anti-dilutive effect.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8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uncertainty in income taxes in accordance with ASC Section 740-10. As of July 2, 2011, January 1, 2011 and July 3, 2010, there was approximately $0.3 million, $0.3 million and $0.5 million respectively, of unrecognized tax benefits. During the next twelve months, it is reasonably possible to reduce unrecognized tax benefits by $0.1 million either because the tax positions are sustained on audit or expiration of the statute of limitations.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8. Comprehensive Loss</w:t>
      </w:r>
    </w:p>
    <w:p>
      <w:pPr>
        <w:spacing w:after="0" w:line="283"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Comprehensive loss for the thirteen weeks and twenty-six weeks ended July 2, 2011 was $6.7 million and $6.5 million, respectively. Comprehensive loss for the thirteen and twenty-six weeks ended July 3, 2010 was $9.0 million and $11.7 million, respectively. The difference between comprehensive loss and net loss resulted from foreign currency translation adjustments.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Information</w:t>
      </w:r>
    </w:p>
    <w:p>
      <w:pPr>
        <w:spacing w:after="0" w:line="28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retail, commercial and international franchising. The retail segment includes the operating activities of Company-owned stores in the United States, including Puerto Rico, Canada, the United Kingdom, Ireland, France and other retail delivery operations, including the Company’s Web store and non-traditional store locations such as baseball ballparks.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Asia, Australia, Africa, the Middle East, Mexico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one reportable segment. The reportable segments follow the same accounting policies used for the Company’s consolidated financial statements.</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Following is a summary of the financial information for the Company’s reportable segments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Thirteen weeks ended July 2, 2011</w:t>
            </w:r>
          </w:p>
        </w:tc>
        <w:tc>
          <w:tcPr>
            <w:tcW w:w="9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26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80,391</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c>
          <w:tcPr>
            <w:tcW w:w="2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42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81,841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Capital expenditures, net</w:t>
            </w:r>
          </w:p>
        </w:tc>
        <w:tc>
          <w:tcPr>
            <w:tcW w:w="9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Thirteen weeks ended July 3, 2010</w:t>
            </w:r>
          </w:p>
        </w:tc>
        <w:tc>
          <w:tcPr>
            <w:tcW w:w="9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72,488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(13,481)</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(12,603)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 net</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6,762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Twenty-six weeks ended July 2, 2011</w:t>
            </w:r>
          </w:p>
        </w:tc>
        <w:tc>
          <w:tcPr>
            <w:tcW w:w="9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174,550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(15,820)</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(14,315)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 net</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12,604</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Twenty-six weeks ended July 3, 2010</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26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172,274</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0FFFF"/>
          </w:tcPr>
          <w:p>
            <w:pPr>
              <w:spacing w:after="0"/>
              <w:rPr>
                <w:sz w:val="18"/>
                <w:szCs w:val="18"/>
                <w:color w:val="auto"/>
              </w:rPr>
            </w:pPr>
          </w:p>
        </w:tc>
        <w:tc>
          <w:tcPr>
            <w:tcW w:w="2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1,344</w:t>
            </w:r>
          </w:p>
        </w:tc>
        <w:tc>
          <w:tcPr>
            <w:tcW w:w="42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175,569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Capital expenditures, net</w:t>
            </w:r>
          </w:p>
        </w:tc>
        <w:tc>
          <w:tcPr>
            <w:tcW w:w="9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6,347</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as of:</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July 2, 2011</w:t>
            </w:r>
          </w:p>
        </w:tc>
        <w:tc>
          <w:tcPr>
            <w:tcW w:w="126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234,125</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00" w:type="dxa"/>
            <w:vAlign w:val="bottom"/>
            <w:shd w:val="clear" w:color="auto" w:fill="C0FFFF"/>
          </w:tcPr>
          <w:p>
            <w:pPr>
              <w:spacing w:after="0"/>
              <w:rPr>
                <w:sz w:val="18"/>
                <w:szCs w:val="18"/>
                <w:color w:val="auto"/>
              </w:rPr>
            </w:pPr>
          </w:p>
        </w:tc>
        <w:tc>
          <w:tcPr>
            <w:tcW w:w="2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2,858</w:t>
            </w:r>
          </w:p>
        </w:tc>
        <w:tc>
          <w:tcPr>
            <w:tcW w:w="42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246,549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July 3, 2010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247,527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3,073</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254,326</w:t>
            </w: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9" w:name="page10"/>
    <w:bookmarkEnd w:id="9"/>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America (1)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Europe (2)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Other (3)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Thirteen weeks ended July 2, 2011</w:t>
            </w:r>
          </w:p>
        </w:tc>
        <w:tc>
          <w:tcPr>
            <w:tcW w:w="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18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67,315</w:t>
            </w:r>
          </w:p>
        </w:tc>
        <w:tc>
          <w:tcPr>
            <w:tcW w:w="3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13,812</w:t>
            </w:r>
          </w:p>
        </w:tc>
        <w:tc>
          <w:tcPr>
            <w:tcW w:w="3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42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81,841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69,879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Thirteen weeks ended July 3, 2010</w:t>
            </w:r>
          </w:p>
        </w:tc>
        <w:tc>
          <w:tcPr>
            <w:tcW w:w="9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61,326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80,742</w:t>
            </w:r>
          </w:p>
        </w:tc>
        <w:tc>
          <w:tcPr>
            <w:tcW w:w="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92,634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Twenty-six weeks ended July 2, 2011</w:t>
            </w:r>
          </w:p>
        </w:tc>
        <w:tc>
          <w:tcPr>
            <w:tcW w:w="9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146,498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29,893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69,879</w:t>
            </w:r>
          </w:p>
        </w:tc>
        <w:tc>
          <w:tcPr>
            <w:tcW w:w="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81,225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Twenty-six weeks ended July 3, 2010</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ind w:left="3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18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146,294</w:t>
            </w:r>
          </w:p>
        </w:tc>
        <w:tc>
          <w:tcPr>
            <w:tcW w:w="3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27,931</w:t>
            </w:r>
          </w:p>
        </w:tc>
        <w:tc>
          <w:tcPr>
            <w:tcW w:w="3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1,344</w:t>
            </w:r>
          </w:p>
        </w:tc>
        <w:tc>
          <w:tcPr>
            <w:tcW w:w="42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175,569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80,742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92,634</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the United States, Canada and Puerto Rico</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Company-owned stores in the United Kingdom and Ireland and, prior to 2011, France</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franchise businesses outside of the United States, Canada, Puerto Rico, the United Kingdom and Ireland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These risks and uncertainties include, without limitation, those detailed under the caption “Risk Factors” in our annual report on Form 10-K for the year ended January 1, 2011, as filed with the SEC, and the following: general economic conditions may continue to deteriorate, which could lead to disproportionately reduced consumer demand for our products, which represent relatively discretionary spending; customer traffic may continue to decrease in the shopping malls where we are located, on which we depend to attract guests to our stores; we may be unable to generate interest in and demand for our interactive retail experience, or to identify and respond to consumer preferences in a timely fashion; our marketing and on-line initiatives may not be effective in generating sufficient levels of brand awareness and guest traffic; we may be unable to generate comparable store sales growth; we may be unable to renew or replace our store leases, or enter into leases for new stores on favorable terms or in favorable locations, or may violate the terms of our current leases; we may be unable to effectively manage the operations and growth of our company-owned stores; the availability and costs of our products could be adversely affected by risks associated with international manufacturing and trade, including foreign currency fluctuation; we are susceptible to disruption in our inventory flow due to our reliance on a few vendors; high petroleum prices could increase some product and inventory transportation costs and adversely affect our profitability; we may be unable to effectively manage our international franchises or laws relating to those franchises may change; we may be unable to operate our European company-owned stores profitably; fluctuations in our quarterly results of operations could cause the price of our common stock to substantially decline; we may be unable to repurchase shares at all or at the times or in the amounts we currently anticipate or the results of the share repurchase program may not be as beneficial as we currently anticipate; our products could become subject to recalls or product liability claims that could adversely impact our financial performance and harm our reputation among consumers; we may improperly obtain or be unable to protect information from our guests in violation of privacy or security laws or expectations; we may suffer negative publicity or be sued due to violations of labor laws or unethical practices by manufacturers of our merchandise; we may suffer negative publicity or negative sales if the non-proprietary toy products we sell in our stores do not meet our quality or sales expectations; we may lose key personnel, be unable to hire qualified additional personnel, or experience turnover of our management team; we may be unable operate our company-owned distribution center efficiently or our third-party distribution center providers may perform poorly; our market share could be adversely affected by a significant, or increased, number of competitors; we may fail to renew, register or otherwise protect our trademarks or other intellectual property; we may have disputes with, or be sued by, third parties for infringement or misappropriation of their proprietary rights; and poor global economic conditions could have a material adverse effect on our liquidity and capital resources. These risks, uncertainties and other factors may adversely affect our business, growth, financial condition or profitability, or subject us to potential liability, and cause our actual results, performance or achievements to be materially different from those expressed or implied by our forward-looking statements. The Company undertakes no obligation to publicly update or revise any forward-looking statements, whether as a result of new information, future events or otherwise.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8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are the leading, and only international, company providing a “make your own stuffed animal” interactive entertainment experience under the Build-A-Bear Workshop brand, in which our guests stuff, fluff, dress, accessorize and name their own teddy bears and other stuffed animals. Our concept, which we developed primarily for mall-based retailing, capitalizes on what we believe is the relatively untapped demand for experience-based shopping as well as the widespread appeal of stuffed animals. The Build-A-Bear Workshop experience appeals to a broad range of age groups and demographics, including children, teens, their parents and grandparents.</w:t>
      </w:r>
    </w:p>
    <w:p>
      <w:pPr>
        <w:spacing w:after="0" w:line="23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are growing our business in our company-owned stores and in our e-commerce by building synergies between our core products, our partnerships with other world class brands and through added engagement in and out of our iconic stores. Build-A-Bear Workshop is a powerful global brand and we see significant opportunities for growth outside of North America and the United Kingdom. The Build-A-Bear Workshop brand is a strong platform--kids love us and Moms trust us, which gives us the foundation to potentially go to market with other retail concepts and products as well as include these products in our retail stores and website. We are in a strong financial position to drive further international growth and at the same time, continue to buy back stock and invest in other strategic initiatives for the benefit of all Build-A-Bear Workshop stakeholders.</w:t>
      </w:r>
    </w:p>
    <w:p>
      <w:pPr>
        <w:spacing w:after="0" w:line="242" w:lineRule="exact"/>
        <w:rPr>
          <w:sz w:val="20"/>
          <w:szCs w:val="20"/>
          <w:color w:val="auto"/>
        </w:rPr>
      </w:pPr>
    </w:p>
    <w:p>
      <w:pPr>
        <w:ind w:right="320" w:firstLine="486"/>
        <w:spacing w:after="0" w:line="233" w:lineRule="auto"/>
        <w:rPr>
          <w:sz w:val="20"/>
          <w:szCs w:val="20"/>
          <w:color w:val="auto"/>
        </w:rPr>
      </w:pPr>
      <w:r>
        <w:rPr>
          <w:rFonts w:ascii="Times New Roman" w:cs="Times New Roman" w:eastAsia="Times New Roman" w:hAnsi="Times New Roman"/>
          <w:sz w:val="18"/>
          <w:szCs w:val="18"/>
          <w:color w:val="auto"/>
        </w:rPr>
        <w:t>As of July 2, 2011, we operated 289 stores in the United States, Canada, and Puerto Rico, 53 stores in the United Kingdom and Ireland, and had 70 franchised stores operating internationally under the Build-A-Bear Workshop brand. In addition to our stores, we market our products and build our brand through our websites, which simulate our interactive shopping experience, as well as non-traditional store locations in three Major League Baseball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ballparks, a zoo, a science center and an airport. Seasonal locations, such as ballparks and zoos, are excluded from our store count.</w:t>
      </w:r>
    </w:p>
    <w:p>
      <w:pPr>
        <w:spacing w:after="0" w:line="252"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We operate in three reportable segments (retail, commercial and international franchising) that share the same infrastructure, including management, systems, merchandising and marketing, and generate revenues as follows:</w:t>
      </w:r>
    </w:p>
    <w:p>
      <w:pPr>
        <w:spacing w:after="0" w:line="216" w:lineRule="exact"/>
        <w:rPr>
          <w:sz w:val="20"/>
          <w:szCs w:val="20"/>
          <w:color w:val="auto"/>
        </w:rPr>
      </w:pPr>
    </w:p>
    <w:p>
      <w:pPr>
        <w:ind w:left="880" w:right="580" w:hanging="332"/>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Company-owned retail stores located in the United States, Canada, Puerto Rico, the United Kingdom, and Ireland, all non-traditional store locations and e-commerce websites or “webstores”;</w:t>
      </w:r>
    </w:p>
    <w:p>
      <w:pPr>
        <w:spacing w:after="0" w:line="161" w:lineRule="exact"/>
        <w:rPr>
          <w:rFonts w:ascii="Times New Roman" w:cs="Times New Roman" w:eastAsia="Times New Roman" w:hAnsi="Times New Roman"/>
          <w:sz w:val="18"/>
          <w:szCs w:val="18"/>
          <w:color w:val="auto"/>
        </w:rPr>
      </w:pPr>
    </w:p>
    <w:p>
      <w:pPr>
        <w:ind w:left="880" w:right="220" w:hanging="332"/>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other business partners, mainly comprised of licensing our intellectual property, including entertainment properties, for third-party use and wholesale product sales; and</w:t>
      </w:r>
    </w:p>
    <w:p>
      <w:pPr>
        <w:spacing w:after="0" w:line="215"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stores operated under franchise agreements.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1" w:name="page12"/>
    <w:bookmarkEnd w:id="11"/>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and twenty-six weeks ended July 2, 2011 and July 3, 2010 are set forth in the notes to our condensed consolidated financial statements included elsewhere in this quarterly report on Form 10-Q.</w:t>
      </w:r>
    </w:p>
    <w:p>
      <w:pPr>
        <w:spacing w:after="0" w:line="216"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Store contribution, for our consolidated operations, was 10.2% for the twenty-six weeks ended July 2, 2011 and 10.6% for the twenty-six weeks ended July 3, 2010 and consolidated net loss as a percentage of total revenues was 5.0% for the twenty-six weeks ended July 2, 2011 and 3.9% for the twenty-six weeks ended July 3, 2010. See “— Non-GAAP Financial Measures” for a definition of store contribution and a reconciliation of store contribution to net loss. The decrease in our store contribution over the prior year was primarily due to the decrease in comparable store sales partially offset by the improvements in gross margin driven by increased merchandise margin.</w:t>
      </w:r>
    </w:p>
    <w:p>
      <w:pPr>
        <w:spacing w:after="0" w:line="238"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use comparable store sales as one of the performance measures for our business. Comparable store sales percentage changes are based on net retail sales, excluding our webstore and seasonal and event-based locations. Stores are considered comparable beginning in their thirteenth full month of operation. Stores with relocations or remodels that result in a significant change in square footage are excluded from the comparable stores sales calculation until the thirteenth full month of operation after the change. The percentage change in comparable store sales for the periods presented below is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0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00" w:type="dxa"/>
            <w:vAlign w:val="bottom"/>
          </w:tcPr>
          <w:p>
            <w:pPr>
              <w:spacing w:after="0"/>
              <w:rPr>
                <w:sz w:val="21"/>
                <w:szCs w:val="21"/>
                <w:color w:val="auto"/>
              </w:rPr>
            </w:pPr>
          </w:p>
        </w:tc>
        <w:tc>
          <w:tcPr>
            <w:tcW w:w="31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July 2, 2011</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3, 2010</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July 2, 2011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July 3,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4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8"/>
                <w:szCs w:val="18"/>
                <w:color w:val="auto"/>
                <w:w w:val="95"/>
              </w:rPr>
              <w:t>8.3%</w:t>
            </w:r>
          </w:p>
        </w:tc>
        <w:tc>
          <w:tcPr>
            <w:tcW w:w="1580" w:type="dxa"/>
            <w:vAlign w:val="bottom"/>
            <w:gridSpan w:val="2"/>
            <w:shd w:val="clear" w:color="auto" w:fill="C0FFFF"/>
          </w:tcPr>
          <w:p>
            <w:pPr>
              <w:jc w:val="right"/>
              <w:ind w:right="390"/>
              <w:spacing w:after="0"/>
              <w:rPr>
                <w:sz w:val="20"/>
                <w:szCs w:val="20"/>
                <w:color w:val="auto"/>
              </w:rPr>
            </w:pPr>
            <w:r>
              <w:rPr>
                <w:rFonts w:ascii="Times New Roman" w:cs="Times New Roman" w:eastAsia="Times New Roman" w:hAnsi="Times New Roman"/>
                <w:sz w:val="18"/>
                <w:szCs w:val="18"/>
                <w:color w:val="auto"/>
              </w:rPr>
              <w:t>(9.7)%</w:t>
            </w:r>
          </w:p>
        </w:tc>
        <w:tc>
          <w:tcPr>
            <w:tcW w:w="1600" w:type="dxa"/>
            <w:vAlign w:val="bottom"/>
            <w:gridSpan w:val="2"/>
            <w:shd w:val="clear" w:color="auto" w:fill="C0FFFF"/>
          </w:tcPr>
          <w:p>
            <w:pPr>
              <w:jc w:val="center"/>
              <w:ind w:left="30"/>
              <w:spacing w:after="0"/>
              <w:rPr>
                <w:sz w:val="20"/>
                <w:szCs w:val="20"/>
                <w:color w:val="auto"/>
              </w:rPr>
            </w:pPr>
            <w:r>
              <w:rPr>
                <w:rFonts w:ascii="Times New Roman" w:cs="Times New Roman" w:eastAsia="Times New Roman" w:hAnsi="Times New Roman"/>
                <w:sz w:val="18"/>
                <w:szCs w:val="18"/>
                <w:color w:val="auto"/>
                <w:w w:val="96"/>
              </w:rPr>
              <w:t>(2.0)%</w:t>
            </w:r>
          </w:p>
        </w:tc>
        <w:tc>
          <w:tcPr>
            <w:tcW w:w="1620" w:type="dxa"/>
            <w:vAlign w:val="bottom"/>
            <w:gridSpan w:val="2"/>
            <w:shd w:val="clear" w:color="auto" w:fill="C0FFFF"/>
          </w:tcPr>
          <w:p>
            <w:pPr>
              <w:jc w:val="center"/>
              <w:ind w:left="50"/>
              <w:spacing w:after="0"/>
              <w:rPr>
                <w:sz w:val="20"/>
                <w:szCs w:val="20"/>
                <w:color w:val="auto"/>
              </w:rPr>
            </w:pPr>
            <w:r>
              <w:rPr>
                <w:rFonts w:ascii="Times New Roman" w:cs="Times New Roman" w:eastAsia="Times New Roman" w:hAnsi="Times New Roman"/>
                <w:sz w:val="18"/>
                <w:szCs w:val="18"/>
                <w:color w:val="auto"/>
                <w:w w:val="96"/>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1.3%</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40" w:type="dxa"/>
            <w:vAlign w:val="bottom"/>
            <w:tcBorders>
              <w:bottom w:val="single" w:sz="8" w:color="C0FFFF"/>
            </w:tcBorders>
            <w:shd w:val="clear" w:color="auto" w:fill="C0FF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480" w:type="dxa"/>
            <w:vAlign w:val="bottom"/>
            <w:tcBorders>
              <w:bottom w:val="single" w:sz="8" w:color="auto"/>
            </w:tcBorders>
            <w:shd w:val="clear" w:color="auto" w:fill="C0FFFF"/>
          </w:tcPr>
          <w:p>
            <w:pPr>
              <w:jc w:val="center"/>
              <w:spacing w:after="0"/>
              <w:rPr>
                <w:sz w:val="20"/>
                <w:szCs w:val="20"/>
                <w:color w:val="auto"/>
              </w:rPr>
            </w:pPr>
            <w:r>
              <w:rPr>
                <w:rFonts w:ascii="Times New Roman" w:cs="Times New Roman" w:eastAsia="Times New Roman" w:hAnsi="Times New Roman"/>
                <w:sz w:val="18"/>
                <w:szCs w:val="18"/>
                <w:color w:val="auto"/>
                <w:w w:val="95"/>
              </w:rPr>
              <w:t>7.1%</w:t>
            </w:r>
          </w:p>
        </w:tc>
        <w:tc>
          <w:tcPr>
            <w:tcW w:w="100" w:type="dxa"/>
            <w:vAlign w:val="bottom"/>
            <w:tcBorders>
              <w:bottom w:val="single" w:sz="8" w:color="C0FFFF"/>
            </w:tcBorders>
            <w:shd w:val="clear" w:color="auto" w:fill="C0FFFF"/>
          </w:tcPr>
          <w:p>
            <w:pPr>
              <w:spacing w:after="0"/>
              <w:rPr>
                <w:sz w:val="22"/>
                <w:szCs w:val="22"/>
                <w:color w:val="auto"/>
              </w:rPr>
            </w:pPr>
          </w:p>
        </w:tc>
        <w:tc>
          <w:tcPr>
            <w:tcW w:w="1480" w:type="dxa"/>
            <w:vAlign w:val="bottom"/>
            <w:tcBorders>
              <w:bottom w:val="single" w:sz="8" w:color="auto"/>
            </w:tcBorders>
            <w:shd w:val="clear" w:color="auto" w:fill="C0FFFF"/>
          </w:tcPr>
          <w:p>
            <w:pPr>
              <w:jc w:val="right"/>
              <w:ind w:right="3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0FFFF"/>
            </w:tcBorders>
            <w:shd w:val="clear" w:color="auto" w:fill="C0FFFF"/>
          </w:tcPr>
          <w:p>
            <w:pPr>
              <w:spacing w:after="0"/>
              <w:rPr>
                <w:sz w:val="22"/>
                <w:szCs w:val="22"/>
                <w:color w:val="auto"/>
              </w:rPr>
            </w:pPr>
          </w:p>
        </w:tc>
        <w:tc>
          <w:tcPr>
            <w:tcW w:w="1500" w:type="dxa"/>
            <w:vAlign w:val="bottom"/>
            <w:tcBorders>
              <w:bottom w:val="single" w:sz="8" w:color="auto"/>
            </w:tcBorders>
            <w:shd w:val="clear" w:color="auto" w:fill="C0FF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Borders>
              <w:bottom w:val="single" w:sz="8" w:color="C0FFFF"/>
            </w:tcBorders>
            <w:shd w:val="clear" w:color="auto" w:fill="C0FFFF"/>
          </w:tcPr>
          <w:p>
            <w:pPr>
              <w:spacing w:after="0"/>
              <w:rPr>
                <w:sz w:val="22"/>
                <w:szCs w:val="22"/>
                <w:color w:val="auto"/>
              </w:rPr>
            </w:pPr>
          </w:p>
        </w:tc>
        <w:tc>
          <w:tcPr>
            <w:tcW w:w="1520" w:type="dxa"/>
            <w:vAlign w:val="bottom"/>
            <w:tcBorders>
              <w:bottom w:val="single" w:sz="8" w:color="auto"/>
            </w:tcBorders>
            <w:shd w:val="clear" w:color="auto" w:fill="C0FFFF"/>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the changes in comparable store sales for the periods presented are primarily attributable to the following factors:</w:t>
      </w:r>
    </w:p>
    <w:p>
      <w:pPr>
        <w:spacing w:after="0" w:line="279" w:lineRule="exact"/>
        <w:rPr>
          <w:sz w:val="20"/>
          <w:szCs w:val="20"/>
          <w:color w:val="auto"/>
        </w:rPr>
      </w:pPr>
    </w:p>
    <w:p>
      <w:pPr>
        <w:ind w:left="880" w:right="40" w:hanging="332"/>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calendar shift of the Easter holiday and associated school breaks to the fiscal 2011 second quarter from the fiscal 2010 first quarter positively impacted our consolidated comparable store sales for the thirteen weeks ended July 2, 2011.</w:t>
      </w:r>
    </w:p>
    <w:p>
      <w:pPr>
        <w:spacing w:after="0" w:line="215" w:lineRule="exact"/>
        <w:rPr>
          <w:rFonts w:ascii="Times New Roman" w:cs="Times New Roman" w:eastAsia="Times New Roman" w:hAnsi="Times New Roman"/>
          <w:sz w:val="18"/>
          <w:szCs w:val="18"/>
          <w:color w:val="auto"/>
        </w:rPr>
      </w:pPr>
    </w:p>
    <w:p>
      <w:pPr>
        <w:ind w:left="880" w:right="120" w:hanging="332"/>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twenty-six weeks, we believe that a decline in the number of transactions negatively impacted our consolidated comparable store sales in fiscal 2011 partially offset by a slight increase in the average transaction value.</w:t>
      </w:r>
    </w:p>
    <w:p>
      <w:pPr>
        <w:spacing w:after="0" w:line="215" w:lineRule="exact"/>
        <w:rPr>
          <w:rFonts w:ascii="Times New Roman" w:cs="Times New Roman" w:eastAsia="Times New Roman" w:hAnsi="Times New Roman"/>
          <w:sz w:val="18"/>
          <w:szCs w:val="18"/>
          <w:color w:val="auto"/>
        </w:rPr>
      </w:pPr>
    </w:p>
    <w:p>
      <w:pPr>
        <w:ind w:left="880" w:hanging="332"/>
        <w:spacing w:after="0" w:line="258"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in the UK, the increase in VAT coupled with cutbacks in government spending has resulted in a decline in consumer sentiment and a corresponding decline in spending, negatively impacting our comparable store sales in Europe for the first half of 2011. We believe that this decline was partially offset by the impact of pent up demand created by adverse weather in December 2010 which drove sales in early 2011. In this same period, European comparable store sales also benefited from better weather as compared to the same period in 2010, making the year over year comparison easier.</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is working to continue the positive trend in the 2011 second quarter comparable store sales with the following key initiatives:</w:t>
      </w:r>
    </w:p>
    <w:p>
      <w:pPr>
        <w:spacing w:after="0" w:line="279" w:lineRule="exact"/>
        <w:rPr>
          <w:sz w:val="20"/>
          <w:szCs w:val="20"/>
          <w:color w:val="auto"/>
        </w:rPr>
      </w:pPr>
    </w:p>
    <w:p>
      <w:pPr>
        <w:ind w:left="880" w:right="20" w:hanging="332"/>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our focus on product innovation and introducing limited edition products supported by a fully integrated approach to marketing and promotion;</w:t>
      </w:r>
    </w:p>
    <w:p>
      <w:pPr>
        <w:spacing w:after="0" w:line="215"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drive incremental sales from existing traffic by expanding our assortment of brand right toys; and</w:t>
      </w:r>
    </w:p>
    <w:p>
      <w:pPr>
        <w:spacing w:after="0" w:line="279" w:lineRule="exact"/>
        <w:rPr>
          <w:rFonts w:ascii="Times New Roman" w:cs="Times New Roman" w:eastAsia="Times New Roman" w:hAnsi="Times New Roman"/>
          <w:sz w:val="18"/>
          <w:szCs w:val="18"/>
          <w:color w:val="auto"/>
        </w:rPr>
      </w:pPr>
    </w:p>
    <w:p>
      <w:pPr>
        <w:ind w:left="880" w:right="260" w:hanging="332"/>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focused on increasing engagement in the digital world, both through our online virtual world for children, bearville.com, and our social media efforts, to drive brand interaction and traffic to our stores.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Expansion and Growth Potential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sets forth the number of Build-A-Bear Workshop Company-owned stores in the United States, Canada, Puerto Rico (collectively,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America), the United Kingdom, Ireland, and France (collectively, Europe) for the periods presented:</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28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4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July 2, 2011</w:t>
            </w:r>
          </w:p>
        </w:tc>
        <w:tc>
          <w:tcPr>
            <w:tcW w:w="12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 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240" w:type="dxa"/>
            <w:vAlign w:val="bottom"/>
            <w:tcBorders>
              <w:top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200" w:type="dxa"/>
            <w:vAlign w:val="bottom"/>
            <w:shd w:val="clear" w:color="auto" w:fill="C0FFFF"/>
          </w:tcPr>
          <w:p>
            <w:pPr>
              <w:spacing w:after="0"/>
              <w:rPr>
                <w:sz w:val="18"/>
                <w:szCs w:val="18"/>
                <w:color w:val="auto"/>
              </w:rPr>
            </w:pPr>
          </w:p>
        </w:tc>
        <w:tc>
          <w:tcPr>
            <w:tcW w:w="1280" w:type="dxa"/>
            <w:vAlign w:val="bottom"/>
            <w:tcBorders>
              <w:top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Opened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00" w:type="dxa"/>
            <w:vAlign w:val="bottom"/>
            <w:shd w:val="clear" w:color="auto" w:fill="C0FFFF"/>
          </w:tcPr>
          <w:p>
            <w:pPr>
              <w:ind w:left="160"/>
              <w:spacing w:after="0"/>
              <w:rPr>
                <w:sz w:val="20"/>
                <w:szCs w:val="20"/>
                <w:color w:val="auto"/>
              </w:rPr>
            </w:pPr>
            <w:r>
              <w:rPr>
                <w:rFonts w:ascii="Times New Roman" w:cs="Times New Roman" w:eastAsia="Times New Roman" w:hAnsi="Times New Roman"/>
                <w:sz w:val="18"/>
                <w:szCs w:val="18"/>
                <w:color w:val="auto"/>
              </w:rPr>
              <w:t>Closed</w:t>
            </w: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w:t>
            </w:r>
          </w:p>
        </w:tc>
        <w:tc>
          <w:tcPr>
            <w:tcW w:w="12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tcBorders>
              <w:top w:val="single" w:sz="8" w:color="C0FFFF"/>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200" w:type="dxa"/>
            <w:vAlign w:val="bottom"/>
            <w:tcBorders>
              <w:top w:val="single" w:sz="8" w:color="C0FF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top w:val="single" w:sz="8" w:color="C0FF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During fiscal 2011, we anticipate opening approximately five stores and closing five to ten stores. We believe there is a market potential for at least 350 Build-A-Bear Workshop stores in the United States and Canada and approximately 70 stores in the United Kingdom and Ireland.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Non-Traditional Store Locations:</w:t>
      </w:r>
    </w:p>
    <w:p>
      <w:pPr>
        <w:spacing w:after="0" w:line="28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fiscal 2004, we began offering merchandise in seasonal, event-based locations such as Major League Baseball® ballparks. We expect to expand our future presence at select seasonal, event-based locations contingent on their availability and the financial terms associated with the venue. As of July 2, 2011, we had a total of three ballpark locations, one store within a zoo, one store within a science center and one store within an airport. Seasonal locations, such as ballparks and zoos are excluded from our store count. In 2010, we opened our first pop-up stores. Pop-up stores are temporary locations that generally have lease terms of six to eighteen months and are excluded from our store count. These locations are intended to capitalize on short-term opportunities in specific locations. As of July 2, 2011, eight pop-up stores were open.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Revenue:</w:t>
      </w:r>
    </w:p>
    <w:p>
      <w:pPr>
        <w:spacing w:after="0" w:line="283"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Our first franchised location opened in November 2003. The number of international, franchised stores for the periods presented below can be summarized as follows: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28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4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July 2, 2011</w:t>
            </w:r>
          </w:p>
        </w:tc>
        <w:tc>
          <w:tcPr>
            <w:tcW w:w="12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 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0FF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240" w:type="dxa"/>
            <w:vAlign w:val="bottom"/>
            <w:tcBorders>
              <w:top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00" w:type="dxa"/>
            <w:vAlign w:val="bottom"/>
            <w:shd w:val="clear" w:color="auto" w:fill="C0FFFF"/>
          </w:tcPr>
          <w:p>
            <w:pPr>
              <w:spacing w:after="0"/>
              <w:rPr>
                <w:sz w:val="18"/>
                <w:szCs w:val="18"/>
                <w:color w:val="auto"/>
              </w:rPr>
            </w:pPr>
          </w:p>
        </w:tc>
        <w:tc>
          <w:tcPr>
            <w:tcW w:w="1280" w:type="dxa"/>
            <w:vAlign w:val="bottom"/>
            <w:tcBorders>
              <w:top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Opened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00" w:type="dxa"/>
            <w:vAlign w:val="bottom"/>
            <w:shd w:val="clear" w:color="auto" w:fill="C0FFFF"/>
          </w:tcPr>
          <w:p>
            <w:pPr>
              <w:ind w:left="160"/>
              <w:spacing w:after="0"/>
              <w:rPr>
                <w:sz w:val="20"/>
                <w:szCs w:val="20"/>
                <w:color w:val="auto"/>
              </w:rPr>
            </w:pPr>
            <w:r>
              <w:rPr>
                <w:rFonts w:ascii="Times New Roman" w:cs="Times New Roman" w:eastAsia="Times New Roman" w:hAnsi="Times New Roman"/>
                <w:sz w:val="18"/>
                <w:szCs w:val="18"/>
                <w:color w:val="auto"/>
              </w:rPr>
              <w:t>Closed</w:t>
            </w:r>
          </w:p>
        </w:tc>
        <w:tc>
          <w:tcPr>
            <w:tcW w:w="144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w:t>
            </w:r>
          </w:p>
        </w:tc>
        <w:tc>
          <w:tcPr>
            <w:tcW w:w="138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6300" w:type="dxa"/>
            <w:vAlign w:val="bottom"/>
            <w:tcBorders>
              <w:top w:val="single" w:sz="8" w:color="C0FFFF"/>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00" w:type="dxa"/>
            <w:vAlign w:val="bottom"/>
            <w:tcBorders>
              <w:top w:val="single" w:sz="8" w:color="C0FF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0FF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of July 2, 2011, we had master franchise agreements, which typically grant franchise rights for a particular country or countries, covering 16 countries. We anticipate signing additional master franchise agreements in the future. We expect our current and future franchisees to open five to ten stores in fiscal 2011, net of closures. We believe there is a market potential for approximately 300 franchised stores outside of the United States, Canada, Puerto Rico, the United Kingdom and Ireland.</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6"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statement of income data expressed as a percentage of total revenues, except where otherwise indicated: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318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00" w:type="dxa"/>
            <w:vAlign w:val="bottom"/>
          </w:tcPr>
          <w:p>
            <w:pPr>
              <w:spacing w:after="0"/>
              <w:rPr>
                <w:sz w:val="21"/>
                <w:szCs w:val="21"/>
                <w:color w:val="auto"/>
              </w:rPr>
            </w:pPr>
          </w:p>
        </w:tc>
        <w:tc>
          <w:tcPr>
            <w:tcW w:w="32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94"/>
        </w:trPr>
        <w:tc>
          <w:tcPr>
            <w:tcW w:w="4900" w:type="dxa"/>
            <w:vAlign w:val="bottom"/>
          </w:tcPr>
          <w:p>
            <w:pPr>
              <w:spacing w:after="0"/>
              <w:rPr>
                <w:sz w:val="16"/>
                <w:szCs w:val="16"/>
                <w:color w:val="auto"/>
              </w:rPr>
            </w:pPr>
          </w:p>
        </w:tc>
        <w:tc>
          <w:tcPr>
            <w:tcW w:w="152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July 2,</w:t>
            </w:r>
          </w:p>
        </w:tc>
        <w:tc>
          <w:tcPr>
            <w:tcW w:w="120" w:type="dxa"/>
            <w:vAlign w:val="bottom"/>
          </w:tcPr>
          <w:p>
            <w:pPr>
              <w:spacing w:after="0"/>
              <w:rPr>
                <w:sz w:val="16"/>
                <w:szCs w:val="16"/>
                <w:color w:val="auto"/>
              </w:rPr>
            </w:pPr>
          </w:p>
        </w:tc>
        <w:tc>
          <w:tcPr>
            <w:tcW w:w="15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July 3,</w:t>
            </w:r>
          </w:p>
        </w:tc>
        <w:tc>
          <w:tcPr>
            <w:tcW w:w="100" w:type="dxa"/>
            <w:vAlign w:val="bottom"/>
          </w:tcPr>
          <w:p>
            <w:pPr>
              <w:spacing w:after="0"/>
              <w:rPr>
                <w:sz w:val="16"/>
                <w:szCs w:val="16"/>
                <w:color w:val="auto"/>
              </w:rPr>
            </w:pPr>
          </w:p>
        </w:tc>
        <w:tc>
          <w:tcPr>
            <w:tcW w:w="156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July 2,</w:t>
            </w:r>
          </w:p>
        </w:tc>
        <w:tc>
          <w:tcPr>
            <w:tcW w:w="100" w:type="dxa"/>
            <w:vAlign w:val="bottom"/>
          </w:tcPr>
          <w:p>
            <w:pPr>
              <w:spacing w:after="0"/>
              <w:rPr>
                <w:sz w:val="16"/>
                <w:szCs w:val="16"/>
                <w:color w:val="auto"/>
              </w:rPr>
            </w:pPr>
          </w:p>
        </w:tc>
        <w:tc>
          <w:tcPr>
            <w:tcW w:w="158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July 3,</w:t>
            </w:r>
          </w:p>
        </w:tc>
      </w:tr>
      <w:tr>
        <w:trPr>
          <w:trHeight w:val="245"/>
        </w:trPr>
        <w:tc>
          <w:tcPr>
            <w:tcW w:w="4900" w:type="dxa"/>
            <w:vAlign w:val="bottom"/>
          </w:tcPr>
          <w:p>
            <w:pPr>
              <w:spacing w:after="0"/>
              <w:rPr>
                <w:sz w:val="21"/>
                <w:szCs w:val="21"/>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6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2010</w:t>
            </w:r>
          </w:p>
        </w:tc>
        <w:tc>
          <w:tcPr>
            <w:tcW w:w="16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6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2010</w:t>
            </w:r>
          </w:p>
        </w:tc>
      </w:tr>
      <w:tr>
        <w:trPr>
          <w:trHeight w:val="216"/>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16"/>
        </w:trPr>
        <w:tc>
          <w:tcPr>
            <w:tcW w:w="4900" w:type="dxa"/>
            <w:vAlign w:val="bottom"/>
            <w:shd w:val="clear" w:color="auto" w:fill="C0FFFF"/>
          </w:tcPr>
          <w:p>
            <w:pPr>
              <w:ind w:left="400"/>
              <w:spacing w:after="0"/>
              <w:rPr>
                <w:sz w:val="20"/>
                <w:szCs w:val="20"/>
                <w:color w:val="auto"/>
              </w:rPr>
            </w:pPr>
            <w:r>
              <w:rPr>
                <w:rFonts w:ascii="Times New Roman" w:cs="Times New Roman" w:eastAsia="Times New Roman" w:hAnsi="Times New Roman"/>
                <w:sz w:val="18"/>
                <w:szCs w:val="18"/>
                <w:color w:val="auto"/>
              </w:rPr>
              <w:t>Net retail sales</w:t>
            </w:r>
          </w:p>
        </w:tc>
        <w:tc>
          <w:tcPr>
            <w:tcW w:w="1520" w:type="dxa"/>
            <w:vAlign w:val="bottom"/>
            <w:shd w:val="clear" w:color="auto" w:fill="C0FFFF"/>
          </w:tcPr>
          <w:p>
            <w:pPr>
              <w:jc w:val="right"/>
              <w:ind w:right="450"/>
              <w:spacing w:after="0"/>
              <w:rPr>
                <w:sz w:val="20"/>
                <w:szCs w:val="20"/>
                <w:color w:val="auto"/>
              </w:rPr>
            </w:pPr>
            <w:r>
              <w:rPr>
                <w:rFonts w:ascii="Times New Roman" w:cs="Times New Roman" w:eastAsia="Times New Roman" w:hAnsi="Times New Roman"/>
                <w:sz w:val="18"/>
                <w:szCs w:val="18"/>
                <w:color w:val="auto"/>
              </w:rPr>
              <w:t>98.2%</w:t>
            </w:r>
          </w:p>
        </w:tc>
        <w:tc>
          <w:tcPr>
            <w:tcW w:w="1660" w:type="dxa"/>
            <w:vAlign w:val="bottom"/>
            <w:gridSpan w:val="2"/>
            <w:shd w:val="clear" w:color="auto" w:fill="C0FFFF"/>
          </w:tcPr>
          <w:p>
            <w:pPr>
              <w:jc w:val="right"/>
              <w:ind w:right="470"/>
              <w:spacing w:after="0"/>
              <w:rPr>
                <w:sz w:val="20"/>
                <w:szCs w:val="20"/>
                <w:color w:val="auto"/>
              </w:rPr>
            </w:pPr>
            <w:r>
              <w:rPr>
                <w:rFonts w:ascii="Times New Roman" w:cs="Times New Roman" w:eastAsia="Times New Roman" w:hAnsi="Times New Roman"/>
                <w:sz w:val="18"/>
                <w:szCs w:val="18"/>
                <w:color w:val="auto"/>
              </w:rPr>
              <w:t>97.8%</w:t>
            </w:r>
          </w:p>
        </w:tc>
        <w:tc>
          <w:tcPr>
            <w:tcW w:w="1660" w:type="dxa"/>
            <w:vAlign w:val="bottom"/>
            <w:gridSpan w:val="2"/>
            <w:shd w:val="clear" w:color="auto" w:fill="C0FFFF"/>
          </w:tcPr>
          <w:p>
            <w:pPr>
              <w:jc w:val="right"/>
              <w:ind w:right="490"/>
              <w:spacing w:after="0"/>
              <w:rPr>
                <w:sz w:val="20"/>
                <w:szCs w:val="20"/>
                <w:color w:val="auto"/>
              </w:rPr>
            </w:pPr>
            <w:r>
              <w:rPr>
                <w:rFonts w:ascii="Times New Roman" w:cs="Times New Roman" w:eastAsia="Times New Roman" w:hAnsi="Times New Roman"/>
                <w:sz w:val="18"/>
                <w:szCs w:val="18"/>
                <w:color w:val="auto"/>
              </w:rPr>
              <w:t>98.2%</w:t>
            </w:r>
          </w:p>
        </w:tc>
        <w:tc>
          <w:tcPr>
            <w:tcW w:w="1680" w:type="dxa"/>
            <w:vAlign w:val="bottom"/>
            <w:gridSpan w:val="2"/>
            <w:shd w:val="clear" w:color="auto" w:fill="C0FFFF"/>
          </w:tcPr>
          <w:p>
            <w:pPr>
              <w:jc w:val="right"/>
              <w:ind w:right="490"/>
              <w:spacing w:after="0"/>
              <w:rPr>
                <w:sz w:val="20"/>
                <w:szCs w:val="20"/>
                <w:color w:val="auto"/>
              </w:rPr>
            </w:pPr>
            <w:r>
              <w:rPr>
                <w:rFonts w:ascii="Times New Roman" w:cs="Times New Roman" w:eastAsia="Times New Roman" w:hAnsi="Times New Roman"/>
                <w:sz w:val="18"/>
                <w:szCs w:val="18"/>
                <w:color w:val="auto"/>
              </w:rPr>
              <w:t>98.1%</w:t>
            </w:r>
          </w:p>
        </w:tc>
      </w:tr>
      <w:tr>
        <w:trPr>
          <w:trHeight w:val="216"/>
        </w:trPr>
        <w:tc>
          <w:tcPr>
            <w:tcW w:w="4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Commercial revenue</w:t>
            </w:r>
          </w:p>
        </w:tc>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0.9</w:t>
            </w:r>
          </w:p>
        </w:tc>
        <w:tc>
          <w:tcPr>
            <w:tcW w:w="16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1.3</w:t>
            </w:r>
          </w:p>
        </w:tc>
        <w:tc>
          <w:tcPr>
            <w:tcW w:w="16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1.0</w:t>
            </w:r>
          </w:p>
        </w:tc>
        <w:tc>
          <w:tcPr>
            <w:tcW w:w="16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900" w:type="dxa"/>
            <w:vAlign w:val="bottom"/>
            <w:tcBorders>
              <w:bottom w:val="single" w:sz="8" w:color="C0FFFF"/>
            </w:tcBorders>
            <w:shd w:val="clear" w:color="auto" w:fill="C0FFFF"/>
          </w:tcPr>
          <w:p>
            <w:pPr>
              <w:ind w:left="400"/>
              <w:spacing w:after="0"/>
              <w:rPr>
                <w:sz w:val="20"/>
                <w:szCs w:val="20"/>
                <w:color w:val="auto"/>
              </w:rPr>
            </w:pPr>
            <w:r>
              <w:rPr>
                <w:rFonts w:ascii="Times New Roman" w:cs="Times New Roman" w:eastAsia="Times New Roman" w:hAnsi="Times New Roman"/>
                <w:sz w:val="18"/>
                <w:szCs w:val="18"/>
                <w:color w:val="auto"/>
              </w:rPr>
              <w:t>Franchise fees</w:t>
            </w:r>
          </w:p>
        </w:tc>
        <w:tc>
          <w:tcPr>
            <w:tcW w:w="1520" w:type="dxa"/>
            <w:vAlign w:val="bottom"/>
            <w:tcBorders>
              <w:bottom w:val="single" w:sz="8" w:color="auto"/>
            </w:tcBorders>
            <w:shd w:val="clear" w:color="auto" w:fill="C0FFFF"/>
          </w:tcPr>
          <w:p>
            <w:pPr>
              <w:jc w:val="right"/>
              <w:ind w:right="61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0FFFF"/>
            </w:tcBorders>
            <w:shd w:val="clear" w:color="auto" w:fill="C0FFFF"/>
          </w:tcPr>
          <w:p>
            <w:pPr>
              <w:spacing w:after="0"/>
              <w:rPr>
                <w:sz w:val="19"/>
                <w:szCs w:val="19"/>
                <w:color w:val="auto"/>
              </w:rPr>
            </w:pPr>
          </w:p>
        </w:tc>
        <w:tc>
          <w:tcPr>
            <w:tcW w:w="1540" w:type="dxa"/>
            <w:vAlign w:val="bottom"/>
            <w:tcBorders>
              <w:bottom w:val="single" w:sz="8" w:color="auto"/>
            </w:tcBorders>
            <w:shd w:val="clear" w:color="auto" w:fill="C0FFFF"/>
          </w:tcPr>
          <w:p>
            <w:pPr>
              <w:jc w:val="right"/>
              <w:ind w:right="6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0FFFF"/>
            </w:tcBorders>
            <w:shd w:val="clear" w:color="auto" w:fill="C0FFFF"/>
          </w:tcPr>
          <w:p>
            <w:pPr>
              <w:spacing w:after="0"/>
              <w:rPr>
                <w:sz w:val="19"/>
                <w:szCs w:val="19"/>
                <w:color w:val="auto"/>
              </w:rPr>
            </w:pPr>
          </w:p>
        </w:tc>
        <w:tc>
          <w:tcPr>
            <w:tcW w:w="1560" w:type="dxa"/>
            <w:vAlign w:val="bottom"/>
            <w:tcBorders>
              <w:bottom w:val="single" w:sz="8" w:color="auto"/>
            </w:tcBorders>
            <w:shd w:val="clear" w:color="auto" w:fill="C0FFFF"/>
          </w:tcPr>
          <w:p>
            <w:pPr>
              <w:jc w:val="right"/>
              <w:ind w:right="6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0FFFF"/>
            </w:tcBorders>
            <w:shd w:val="clear" w:color="auto" w:fill="C0FFFF"/>
          </w:tcPr>
          <w:p>
            <w:pPr>
              <w:spacing w:after="0"/>
              <w:rPr>
                <w:sz w:val="19"/>
                <w:szCs w:val="19"/>
                <w:color w:val="auto"/>
              </w:rPr>
            </w:pPr>
          </w:p>
        </w:tc>
        <w:tc>
          <w:tcPr>
            <w:tcW w:w="1580" w:type="dxa"/>
            <w:vAlign w:val="bottom"/>
            <w:tcBorders>
              <w:bottom w:val="single" w:sz="8" w:color="auto"/>
            </w:tcBorders>
            <w:shd w:val="clear" w:color="auto" w:fill="C0FFFF"/>
          </w:tcPr>
          <w:p>
            <w:pPr>
              <w:jc w:val="right"/>
              <w:ind w:right="630"/>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49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revenues</w:t>
            </w:r>
          </w:p>
        </w:tc>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100.0</w:t>
            </w:r>
          </w:p>
        </w:tc>
        <w:tc>
          <w:tcPr>
            <w:tcW w:w="16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900" w:type="dxa"/>
            <w:vAlign w:val="bottom"/>
            <w:shd w:val="clear" w:color="auto" w:fill="C0FFFF"/>
          </w:tcPr>
          <w:p>
            <w:pPr>
              <w:spacing w:after="0"/>
              <w:rPr>
                <w:sz w:val="18"/>
                <w:szCs w:val="18"/>
                <w:color w:val="auto"/>
              </w:rPr>
            </w:pPr>
          </w:p>
        </w:tc>
        <w:tc>
          <w:tcPr>
            <w:tcW w:w="152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54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80" w:type="dxa"/>
            <w:vAlign w:val="bottom"/>
            <w:tcBorders>
              <w:top w:val="single" w:sz="8" w:color="auto"/>
            </w:tcBorders>
            <w:shd w:val="clear" w:color="auto" w:fill="C0FFFF"/>
          </w:tcPr>
          <w:p>
            <w:pPr>
              <w:spacing w:after="0"/>
              <w:rPr>
                <w:sz w:val="18"/>
                <w:szCs w:val="18"/>
                <w:color w:val="auto"/>
              </w:rPr>
            </w:pPr>
          </w:p>
        </w:tc>
      </w:tr>
      <w:tr>
        <w:trPr>
          <w:trHeight w:val="216"/>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Costs and expenses: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900" w:type="dxa"/>
            <w:vAlign w:val="bottom"/>
            <w:shd w:val="clear" w:color="auto" w:fill="C0FFFF"/>
          </w:tcPr>
          <w:p>
            <w:pPr>
              <w:ind w:left="400"/>
              <w:spacing w:after="0"/>
              <w:rPr>
                <w:sz w:val="20"/>
                <w:szCs w:val="20"/>
                <w:color w:val="auto"/>
              </w:rPr>
            </w:pPr>
            <w:r>
              <w:rPr>
                <w:rFonts w:ascii="Times New Roman" w:cs="Times New Roman" w:eastAsia="Times New Roman" w:hAnsi="Times New Roman"/>
                <w:sz w:val="18"/>
                <w:szCs w:val="18"/>
                <w:color w:val="auto"/>
              </w:rPr>
              <w:t>Cost of merchandise sold (1)</w:t>
            </w:r>
          </w:p>
        </w:tc>
        <w:tc>
          <w:tcPr>
            <w:tcW w:w="1520" w:type="dxa"/>
            <w:vAlign w:val="bottom"/>
            <w:shd w:val="clear" w:color="auto" w:fill="C0FFFF"/>
          </w:tcPr>
          <w:p>
            <w:pPr>
              <w:jc w:val="right"/>
              <w:ind w:right="610"/>
              <w:spacing w:after="0"/>
              <w:rPr>
                <w:sz w:val="20"/>
                <w:szCs w:val="20"/>
                <w:color w:val="auto"/>
              </w:rPr>
            </w:pPr>
            <w:r>
              <w:rPr>
                <w:rFonts w:ascii="Times New Roman" w:cs="Times New Roman" w:eastAsia="Times New Roman" w:hAnsi="Times New Roman"/>
                <w:sz w:val="18"/>
                <w:szCs w:val="18"/>
                <w:color w:val="auto"/>
              </w:rPr>
              <w:t>64.0</w:t>
            </w:r>
          </w:p>
        </w:tc>
        <w:tc>
          <w:tcPr>
            <w:tcW w:w="1660" w:type="dxa"/>
            <w:vAlign w:val="bottom"/>
            <w:gridSpan w:val="2"/>
            <w:shd w:val="clear" w:color="auto" w:fill="C0FFFF"/>
          </w:tcPr>
          <w:p>
            <w:pPr>
              <w:jc w:val="right"/>
              <w:ind w:right="630"/>
              <w:spacing w:after="0"/>
              <w:rPr>
                <w:sz w:val="20"/>
                <w:szCs w:val="20"/>
                <w:color w:val="auto"/>
              </w:rPr>
            </w:pPr>
            <w:r>
              <w:rPr>
                <w:rFonts w:ascii="Times New Roman" w:cs="Times New Roman" w:eastAsia="Times New Roman" w:hAnsi="Times New Roman"/>
                <w:sz w:val="18"/>
                <w:szCs w:val="18"/>
                <w:color w:val="auto"/>
              </w:rPr>
              <w:t>68.5</w:t>
            </w:r>
          </w:p>
        </w:tc>
        <w:tc>
          <w:tcPr>
            <w:tcW w:w="1660" w:type="dxa"/>
            <w:vAlign w:val="bottom"/>
            <w:gridSpan w:val="2"/>
            <w:shd w:val="clear" w:color="auto" w:fill="C0FFFF"/>
          </w:tcPr>
          <w:p>
            <w:pPr>
              <w:jc w:val="right"/>
              <w:ind w:right="630"/>
              <w:spacing w:after="0"/>
              <w:rPr>
                <w:sz w:val="20"/>
                <w:szCs w:val="20"/>
                <w:color w:val="auto"/>
              </w:rPr>
            </w:pPr>
            <w:r>
              <w:rPr>
                <w:rFonts w:ascii="Times New Roman" w:cs="Times New Roman" w:eastAsia="Times New Roman" w:hAnsi="Times New Roman"/>
                <w:sz w:val="18"/>
                <w:szCs w:val="18"/>
                <w:color w:val="auto"/>
              </w:rPr>
              <w:t>62.4</w:t>
            </w:r>
          </w:p>
        </w:tc>
        <w:tc>
          <w:tcPr>
            <w:tcW w:w="1680" w:type="dxa"/>
            <w:vAlign w:val="bottom"/>
            <w:gridSpan w:val="2"/>
            <w:shd w:val="clear" w:color="auto" w:fill="C0FFFF"/>
          </w:tcPr>
          <w:p>
            <w:pPr>
              <w:jc w:val="right"/>
              <w:ind w:right="63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4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49.5</w:t>
            </w:r>
          </w:p>
        </w:tc>
        <w:tc>
          <w:tcPr>
            <w:tcW w:w="16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49.1</w:t>
            </w:r>
          </w:p>
        </w:tc>
        <w:tc>
          <w:tcPr>
            <w:tcW w:w="16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46.0</w:t>
            </w:r>
          </w:p>
        </w:tc>
        <w:tc>
          <w:tcPr>
            <w:tcW w:w="16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4900" w:type="dxa"/>
            <w:vAlign w:val="bottom"/>
            <w:shd w:val="clear" w:color="auto" w:fill="C0FFFF"/>
          </w:tcPr>
          <w:p>
            <w:pPr>
              <w:ind w:left="400"/>
              <w:spacing w:after="0"/>
              <w:rPr>
                <w:sz w:val="20"/>
                <w:szCs w:val="20"/>
                <w:color w:val="auto"/>
              </w:rPr>
            </w:pPr>
            <w:r>
              <w:rPr>
                <w:rFonts w:ascii="Times New Roman" w:cs="Times New Roman" w:eastAsia="Times New Roman" w:hAnsi="Times New Roman"/>
                <w:sz w:val="18"/>
                <w:szCs w:val="18"/>
                <w:color w:val="auto"/>
              </w:rPr>
              <w:t>Store preopening</w:t>
            </w:r>
          </w:p>
        </w:tc>
        <w:tc>
          <w:tcPr>
            <w:tcW w:w="1520" w:type="dxa"/>
            <w:vAlign w:val="bottom"/>
            <w:shd w:val="clear" w:color="auto" w:fill="C0FFFF"/>
          </w:tcPr>
          <w:p>
            <w:pPr>
              <w:jc w:val="right"/>
              <w:ind w:right="610"/>
              <w:spacing w:after="0"/>
              <w:rPr>
                <w:sz w:val="20"/>
                <w:szCs w:val="20"/>
                <w:color w:val="auto"/>
              </w:rPr>
            </w:pPr>
            <w:r>
              <w:rPr>
                <w:rFonts w:ascii="Times New Roman" w:cs="Times New Roman" w:eastAsia="Times New Roman" w:hAnsi="Times New Roman"/>
                <w:sz w:val="18"/>
                <w:szCs w:val="18"/>
                <w:color w:val="auto"/>
              </w:rPr>
              <w:t>0.2</w:t>
            </w:r>
          </w:p>
        </w:tc>
        <w:tc>
          <w:tcPr>
            <w:tcW w:w="1660" w:type="dxa"/>
            <w:vAlign w:val="bottom"/>
            <w:gridSpan w:val="2"/>
            <w:shd w:val="clear" w:color="auto" w:fill="C0FFFF"/>
          </w:tcPr>
          <w:p>
            <w:pPr>
              <w:jc w:val="right"/>
              <w:ind w:right="630"/>
              <w:spacing w:after="0"/>
              <w:rPr>
                <w:sz w:val="20"/>
                <w:szCs w:val="20"/>
                <w:color w:val="auto"/>
              </w:rPr>
            </w:pPr>
            <w:r>
              <w:rPr>
                <w:rFonts w:ascii="Times New Roman" w:cs="Times New Roman" w:eastAsia="Times New Roman" w:hAnsi="Times New Roman"/>
                <w:sz w:val="18"/>
                <w:szCs w:val="18"/>
                <w:color w:val="auto"/>
              </w:rPr>
              <w:t>0.1</w:t>
            </w:r>
          </w:p>
        </w:tc>
        <w:tc>
          <w:tcPr>
            <w:tcW w:w="1660" w:type="dxa"/>
            <w:vAlign w:val="bottom"/>
            <w:gridSpan w:val="2"/>
            <w:shd w:val="clear" w:color="auto" w:fill="C0FFFF"/>
          </w:tcPr>
          <w:p>
            <w:pPr>
              <w:jc w:val="right"/>
              <w:ind w:right="630"/>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0FFFF"/>
          </w:tcPr>
          <w:p>
            <w:pPr>
              <w:jc w:val="right"/>
              <w:ind w:right="63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900" w:type="dxa"/>
            <w:vAlign w:val="bottom"/>
            <w:tcBorders>
              <w:bottom w:val="single" w:sz="8" w:color="C0FFFF"/>
            </w:tcBorders>
            <w:shd w:val="clear" w:color="auto" w:fill="C0FFFF"/>
          </w:tcPr>
          <w:p>
            <w:pPr>
              <w:ind w:left="7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20" w:type="dxa"/>
            <w:vAlign w:val="bottom"/>
            <w:tcBorders>
              <w:bottom w:val="single" w:sz="8" w:color="auto"/>
            </w:tcBorders>
            <w:shd w:val="clear" w:color="auto" w:fill="C0FFFF"/>
          </w:tcPr>
          <w:p>
            <w:pPr>
              <w:jc w:val="right"/>
              <w:ind w:right="610"/>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Borders>
              <w:bottom w:val="single" w:sz="8" w:color="C0FFFF"/>
            </w:tcBorders>
            <w:shd w:val="clear" w:color="auto" w:fill="C0FFFF"/>
          </w:tcPr>
          <w:p>
            <w:pPr>
              <w:spacing w:after="0"/>
              <w:rPr>
                <w:sz w:val="19"/>
                <w:szCs w:val="19"/>
                <w:color w:val="auto"/>
              </w:rPr>
            </w:pPr>
          </w:p>
        </w:tc>
        <w:tc>
          <w:tcPr>
            <w:tcW w:w="1540" w:type="dxa"/>
            <w:vAlign w:val="bottom"/>
            <w:tcBorders>
              <w:bottom w:val="single" w:sz="8" w:color="auto"/>
            </w:tcBorders>
            <w:shd w:val="clear" w:color="auto" w:fill="C0FFFF"/>
          </w:tcPr>
          <w:p>
            <w:pPr>
              <w:jc w:val="right"/>
              <w:ind w:right="630"/>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Borders>
              <w:bottom w:val="single" w:sz="8" w:color="C0FFFF"/>
            </w:tcBorders>
            <w:shd w:val="clear" w:color="auto" w:fill="C0FFFF"/>
          </w:tcPr>
          <w:p>
            <w:pPr>
              <w:spacing w:after="0"/>
              <w:rPr>
                <w:sz w:val="19"/>
                <w:szCs w:val="19"/>
                <w:color w:val="auto"/>
              </w:rPr>
            </w:pPr>
          </w:p>
        </w:tc>
        <w:tc>
          <w:tcPr>
            <w:tcW w:w="1560" w:type="dxa"/>
            <w:vAlign w:val="bottom"/>
            <w:tcBorders>
              <w:bottom w:val="single" w:sz="8" w:color="auto"/>
            </w:tcBorders>
            <w:shd w:val="clear" w:color="auto" w:fill="C0FFFF"/>
          </w:tcPr>
          <w:p>
            <w:pPr>
              <w:jc w:val="right"/>
              <w:ind w:right="630"/>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0FFFF"/>
            </w:tcBorders>
            <w:shd w:val="clear" w:color="auto" w:fill="C0FFFF"/>
          </w:tcPr>
          <w:p>
            <w:pPr>
              <w:spacing w:after="0"/>
              <w:rPr>
                <w:sz w:val="19"/>
                <w:szCs w:val="19"/>
                <w:color w:val="auto"/>
              </w:rPr>
            </w:pPr>
          </w:p>
        </w:tc>
        <w:tc>
          <w:tcPr>
            <w:tcW w:w="1580" w:type="dxa"/>
            <w:vAlign w:val="bottom"/>
            <w:tcBorders>
              <w:bottom w:val="single" w:sz="8" w:color="auto"/>
            </w:tcBorders>
            <w:shd w:val="clear" w:color="auto" w:fill="C0FFFF"/>
          </w:tcPr>
          <w:p>
            <w:pPr>
              <w:jc w:val="right"/>
              <w:ind w:right="630"/>
              <w:spacing w:after="0"/>
              <w:rPr>
                <w:sz w:val="20"/>
                <w:szCs w:val="20"/>
                <w:color w:val="auto"/>
              </w:rPr>
            </w:pPr>
            <w:r>
              <w:rPr>
                <w:rFonts w:ascii="Times New Roman" w:cs="Times New Roman" w:eastAsia="Times New Roman" w:hAnsi="Times New Roman"/>
                <w:sz w:val="18"/>
                <w:szCs w:val="18"/>
                <w:color w:val="auto"/>
              </w:rPr>
              <w:t>105.6</w:t>
            </w:r>
          </w:p>
        </w:tc>
      </w:tr>
      <w:tr>
        <w:trPr>
          <w:trHeight w:val="216"/>
        </w:trPr>
        <w:tc>
          <w:tcPr>
            <w:tcW w:w="49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(13.0)</w:t>
            </w:r>
          </w:p>
        </w:tc>
        <w:tc>
          <w:tcPr>
            <w:tcW w:w="16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(17.0)</w:t>
            </w:r>
          </w:p>
        </w:tc>
        <w:tc>
          <w:tcPr>
            <w:tcW w:w="16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(8.0)</w:t>
            </w:r>
          </w:p>
        </w:tc>
        <w:tc>
          <w:tcPr>
            <w:tcW w:w="16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4900" w:type="dxa"/>
            <w:vAlign w:val="bottom"/>
            <w:tcBorders>
              <w:bottom w:val="single" w:sz="8" w:color="C0FFFF"/>
            </w:tcBorders>
            <w:shd w:val="clear" w:color="auto" w:fill="C0FFFF"/>
          </w:tcPr>
          <w:p>
            <w:pPr>
              <w:ind w:left="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20" w:type="dxa"/>
            <w:vAlign w:val="bottom"/>
            <w:tcBorders>
              <w:bottom w:val="single" w:sz="8" w:color="auto"/>
            </w:tcBorders>
            <w:shd w:val="clear" w:color="auto" w:fill="C0FFFF"/>
          </w:tcPr>
          <w:p>
            <w:pPr>
              <w:jc w:val="right"/>
              <w:ind w:right="55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0FFFF"/>
            </w:tcBorders>
            <w:shd w:val="clear" w:color="auto" w:fill="C0FFFF"/>
          </w:tcPr>
          <w:p>
            <w:pPr>
              <w:spacing w:after="0"/>
              <w:rPr>
                <w:sz w:val="19"/>
                <w:szCs w:val="19"/>
                <w:color w:val="auto"/>
              </w:rPr>
            </w:pPr>
          </w:p>
        </w:tc>
        <w:tc>
          <w:tcPr>
            <w:tcW w:w="1540" w:type="dxa"/>
            <w:vAlign w:val="bottom"/>
            <w:tcBorders>
              <w:bottom w:val="single" w:sz="8" w:color="auto"/>
            </w:tcBorders>
            <w:shd w:val="clear" w:color="auto" w:fill="C0FFFF"/>
          </w:tcPr>
          <w:p>
            <w:pPr>
              <w:jc w:val="right"/>
              <w:ind w:right="57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0FFFF"/>
            </w:tcBorders>
            <w:shd w:val="clear" w:color="auto" w:fill="C0FFFF"/>
          </w:tcPr>
          <w:p>
            <w:pPr>
              <w:spacing w:after="0"/>
              <w:rPr>
                <w:sz w:val="19"/>
                <w:szCs w:val="19"/>
                <w:color w:val="auto"/>
              </w:rPr>
            </w:pPr>
          </w:p>
        </w:tc>
        <w:tc>
          <w:tcPr>
            <w:tcW w:w="1560" w:type="dxa"/>
            <w:vAlign w:val="bottom"/>
            <w:tcBorders>
              <w:bottom w:val="single" w:sz="8" w:color="auto"/>
            </w:tcBorders>
            <w:shd w:val="clear" w:color="auto" w:fill="C0FFFF"/>
          </w:tcPr>
          <w:p>
            <w:pPr>
              <w:jc w:val="right"/>
              <w:ind w:right="57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0FFFF"/>
            </w:tcBorders>
            <w:shd w:val="clear" w:color="auto" w:fill="C0FFFF"/>
          </w:tcPr>
          <w:p>
            <w:pPr>
              <w:spacing w:after="0"/>
              <w:rPr>
                <w:sz w:val="19"/>
                <w:szCs w:val="19"/>
                <w:color w:val="auto"/>
              </w:rPr>
            </w:pPr>
          </w:p>
        </w:tc>
        <w:tc>
          <w:tcPr>
            <w:tcW w:w="1580" w:type="dxa"/>
            <w:vAlign w:val="bottom"/>
            <w:tcBorders>
              <w:bottom w:val="single" w:sz="8" w:color="auto"/>
            </w:tcBorders>
            <w:shd w:val="clear" w:color="auto" w:fill="C0FFFF"/>
          </w:tcPr>
          <w:p>
            <w:pPr>
              <w:jc w:val="right"/>
              <w:ind w:right="5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9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income (loss)</w:t>
            </w: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(8.2)%</w:t>
            </w:r>
          </w:p>
        </w:tc>
        <w:tc>
          <w:tcPr>
            <w:tcW w:w="16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(11.4)%</w:t>
            </w:r>
          </w:p>
        </w:tc>
        <w:tc>
          <w:tcPr>
            <w:tcW w:w="16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(5.0)%</w:t>
            </w:r>
          </w:p>
        </w:tc>
        <w:tc>
          <w:tcPr>
            <w:tcW w:w="16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(3.9)%</w:t>
            </w:r>
          </w:p>
        </w:tc>
      </w:tr>
      <w:tr>
        <w:trPr>
          <w:trHeight w:val="21"/>
        </w:trPr>
        <w:tc>
          <w:tcPr>
            <w:tcW w:w="49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00" w:type="dxa"/>
            <w:vAlign w:val="bottom"/>
            <w:shd w:val="clear" w:color="auto" w:fill="C0FFFF"/>
          </w:tcPr>
          <w:p>
            <w:pPr>
              <w:spacing w:after="0"/>
              <w:rPr>
                <w:sz w:val="18"/>
                <w:szCs w:val="18"/>
                <w:color w:val="auto"/>
              </w:rPr>
            </w:pPr>
          </w:p>
        </w:tc>
        <w:tc>
          <w:tcPr>
            <w:tcW w:w="15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5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80" w:type="dxa"/>
            <w:vAlign w:val="bottom"/>
            <w:shd w:val="clear" w:color="auto" w:fill="C0FFFF"/>
          </w:tcPr>
          <w:p>
            <w:pPr>
              <w:spacing w:after="0"/>
              <w:rPr>
                <w:sz w:val="18"/>
                <w:szCs w:val="18"/>
                <w:color w:val="auto"/>
              </w:rPr>
            </w:pPr>
          </w:p>
        </w:tc>
      </w:tr>
      <w:tr>
        <w:trPr>
          <w:trHeight w:val="234"/>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Retail Gross Margin % (2)</w:t>
            </w: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35.8%</w:t>
            </w:r>
          </w:p>
        </w:tc>
        <w:tc>
          <w:tcPr>
            <w:tcW w:w="16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30.9%</w:t>
            </w:r>
          </w:p>
        </w:tc>
        <w:tc>
          <w:tcPr>
            <w:tcW w:w="16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37.4%</w:t>
            </w:r>
          </w:p>
        </w:tc>
        <w:tc>
          <w:tcPr>
            <w:tcW w:w="16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36.8%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46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is expressed as a percentage of net retail sales and commercial revenue.</w:t>
      </w:r>
    </w:p>
    <w:p>
      <w:pPr>
        <w:spacing w:after="0" w:line="279"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retail merchandise sold, which excludes cost of wholesale merchandise sold. Retail gross margin was $28.8 million and $65.4 million for the thirteen and twenty-six weeks ended July 2, 2011, respectively, and $22.4 million and $63.4 million for the thirteen and thirty-nine weeks ended July 3, 2010, respectively. Retail gross margin percentage represents retail gross margin divided by net retail sales.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July 2, 2011 compared to thirteen weeks ended July 3, 2010</w:t>
      </w:r>
    </w:p>
    <w:p>
      <w:pPr>
        <w:spacing w:after="0" w:line="281"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Total revenues were $81.8 million for the thirteen weeks ended July 2, 2011 compared to $74.1 million for the thirteen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3, 2010, an increase of $7.7 million, or 10.4%. Net retail sales were $80.4 million for the thirteen weeks ended July 2, 2011 compared to $72.5 million for the thirteen weeks ended July 3, 2010, an increase of $7.9 million, or 10.9%. This increase was primarily attributable to a $4.8 million increase in comparable store sales, a $1.3 million increase in sales from pop-up and other non-store locations and a $0.8 million increase in sales from new stores. There were partially offset by a $0.9 million decline in sales from non-comparable store locations, primarily closures and relocations. Other changes in net retail sales, which included the positive impact of the changes in deferred revenue and foreign currency, totaled $1.7 million.</w:t>
      </w:r>
    </w:p>
    <w:p>
      <w:pPr>
        <w:spacing w:after="0" w:line="23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believe the increase in comparable store sales for the period is primarily attributable to the calendar shift of the Easter holiday and associated school breaks from the fiscal 2010 first quarter to the fiscal 2011 second quarter which positively impacted our comparable store sales for the thirteen weeks ended July 2, 2011.</w:t>
      </w:r>
    </w:p>
    <w:p>
      <w:pPr>
        <w:spacing w:after="0" w:line="230"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Commercial revenue was $0.7 million for the thirteen weeks ended July 2, 2011, a decrease of $0.3 million from $1.0 million for the thirteen weeks ended July 3, 2010. Revenue from franchise fees was $0.7 million for the thirteen weeks ended July 2, 2011 and July 3, 2010.</w:t>
      </w:r>
    </w:p>
    <w:p>
      <w:pPr>
        <w:spacing w:after="0" w:line="214"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Total gross margin was $29.2 million for the thirteen weeks ended July 2, 2011, compared to $23.1 million for the thirteen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3, 2010, an increase of $6.1 million, or 26.2%. Retail gross margin increased to $28.8 million for the thirteen weeks ended July 2, 2011 compared to $22.4 million for the thirteen weeks ended July 3, 2010, an increase of $6.4 million, or 28.6%. As a percentage of net retail sales, retail gross margin increased to 35.8% for the thirteen weeks ended July 2, 2011from 30.9% for the thirteen weeks ended July 3, 2010. This 490 basis points as a percentage of net retail sales (bps) increase was primarily attributable to 320 bps improvement in leverage on fixed occupancy costs and 130 bps increase in merchandise margin, resulting primarily from a positive change in product mix.</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4" w:name="page15"/>
    <w:bookmarkEnd w:id="14"/>
    <w:p>
      <w:pPr>
        <w:ind w:right="2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$40.5 million for the thirteen weeks ended July 2, 2011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$36.4 million for the thirteen weeks ended July 3, 2010, an increase of $4.1 million, or 11.4%. As a percentage of total revenues, selling, general and administrative expenses increased slightly to 49.5% for the thirteen weeks ended July 2, 2011 as compared to 49.1% for the thirteen weeks ended July 3, 2010, an increase of 40 bps. The dollar increase was primarily attributable to consulting costs related to continuing efforts to improve efficiencies and reduce expenses and a shift in advertising expenses following the Easter shift, partially offset by decreases in corporate expenses. The increase in selling, general and administrative expenses as a percent of revenue was primarily due to the overall increase in expenses, offset by improved leverage on fixed components of overhead costs, specifically, central office and store payroll and depreciation.</w:t>
      </w:r>
    </w:p>
    <w:p>
      <w:pPr>
        <w:spacing w:after="0" w:line="237"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Store preopening. </w:t>
      </w:r>
      <w:r>
        <w:rPr>
          <w:rFonts w:ascii="Times New Roman" w:cs="Times New Roman" w:eastAsia="Times New Roman" w:hAnsi="Times New Roman"/>
          <w:sz w:val="18"/>
          <w:szCs w:val="18"/>
          <w:color w:val="auto"/>
        </w:rPr>
        <w:t>Store preopening expense was $0.1 million for the thirteen weeks ended July 2, 2011 and July 3, 2010. We expect to open three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during the fiscal 2011 third quarter, the same as in the fiscal 2010 third quarter. Preopening expenses include expenses for stores that opened in the current period as well as expenses incurred for stores that will open in future periods.</w:t>
      </w:r>
    </w:p>
    <w:p>
      <w:pPr>
        <w:spacing w:after="0" w:line="228"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Interest income, net of interest expense, was $105,000 for the thirteen weeks ended July 2, 2011 as compared to $77,000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thirteen weeks ended July 3, 2010.</w:t>
      </w:r>
    </w:p>
    <w:p>
      <w:pPr>
        <w:spacing w:after="0" w:line="21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income tax benefit was $4.0 million for the thirteen weeks ended July 2, 2011 as compared to the income tax benefit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$4.1 million for the thirteen weeks ended July 3, 2010. The effective tax rate was 37.4% for the thirteen weeks ended July 2, 2011 compared to 32.7% for the thirteen weeks ended July 3, 2010. The increase in the effective tax rate was primarily attributable to the impact of recording a valuation allowance in the previous year.</w:t>
      </w: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Twenty-six weeks ended July 2, 2011 compared to twenty-six weeks ended July 3, 2010</w:t>
      </w:r>
    </w:p>
    <w:p>
      <w:pPr>
        <w:spacing w:after="0" w:line="2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Total revenues were $177.8 million for the twenty-six weeks ended July 2, 2011 compared to $175.6 million for the twenty-six weeks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July 3, 2010, an increase of $2.3 million, or 1.3%. Net retail sales were $174.6 million for the twenty-six weeks ended July 2, 2011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$172.3 million for the twenty-six weeks ended July 3, 2010, an increase of $2.3 million, or 1.3%. This increase was primarily attributable to a $3.0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sales from pop-up and other non-store locations and a $1.7 million increase in sales from new stores. These were partially offset by a $3.2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comparable store sales and a $2.1 million decline in sales from non-comparable store locations, primarily closures and relocations. Other 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net retail sales, which included the positive impact of the changes in deferred revenue and foreign currency, totaled $2.9 million.</w:t>
      </w:r>
    </w:p>
    <w:p>
      <w:pPr>
        <w:spacing w:after="0" w:line="2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the decrease in comparable store sales was attributed primarily to the following factors:</w:t>
      </w:r>
    </w:p>
    <w:p>
      <w:pPr>
        <w:spacing w:after="0" w:line="279" w:lineRule="exact"/>
        <w:rPr>
          <w:sz w:val="20"/>
          <w:szCs w:val="20"/>
          <w:color w:val="auto"/>
        </w:rPr>
      </w:pPr>
    </w:p>
    <w:p>
      <w:pPr>
        <w:ind w:left="700" w:right="20" w:hanging="233"/>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twenty-six weeks, we believe that a decline in transactions negatively impacted our comparable store sales in fiscal 2011 partially offset by a slight increase in the average transaction value.</w:t>
      </w:r>
    </w:p>
    <w:p>
      <w:pPr>
        <w:spacing w:after="0" w:line="161" w:lineRule="exact"/>
        <w:rPr>
          <w:rFonts w:ascii="Times New Roman" w:cs="Times New Roman" w:eastAsia="Times New Roman" w:hAnsi="Times New Roman"/>
          <w:sz w:val="18"/>
          <w:szCs w:val="18"/>
          <w:color w:val="auto"/>
        </w:rPr>
      </w:pPr>
    </w:p>
    <w:p>
      <w:pPr>
        <w:ind w:left="700" w:right="40" w:hanging="233"/>
        <w:spacing w:after="0" w:line="258"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in the UK, the increase in VAT coupled with cutbacks in government spending has resulted in a decline in consumer sentiment and a corresponding decline in spending, negatively impacting our comparable store sales in Europe for the first half of 2011. We believe that this decline was partially offset by the impact of pent up demand created by adverse weather in December 2010 which drove sales in early 2011. In this same period, European comparable store sales also benefited from better weather as compared to the same period in 2010, making the year over year comparison easier.</w:t>
      </w:r>
    </w:p>
    <w:p>
      <w:pPr>
        <w:spacing w:after="0" w:line="238"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Commercial revenue was $1.8 million for the twenty-six weeks ended July 2, 2011 from $2.0 million for the twenty-six weeks ended July 3, 2010, a decrease of $0.2 million. This decrease was primarily related to the anniversary of new Wii and Nintendo DS games in the 2010 first quarter with no comparable release in 2011. Revenue from franchise fees increased to $1.4 million for the twenty-six weeks ended July 2, 2011 from $1.3 million for the twenty-six weeks ended July 3, 2010, an increase of $0.1 million.</w:t>
      </w:r>
    </w:p>
    <w:p>
      <w:pPr>
        <w:spacing w:after="0" w:line="232" w:lineRule="exact"/>
        <w:rPr>
          <w:sz w:val="20"/>
          <w:szCs w:val="20"/>
          <w:color w:val="auto"/>
        </w:rPr>
      </w:pPr>
    </w:p>
    <w:p>
      <w:pPr>
        <w:ind w:right="140"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Total gross margin increased to $66.2 million for the twenty-six weeks ended July 2, 2011 from $64.8 million for the twenty-six weeks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July 3, 2010, an increase of $1.5 million, or 2.2%. Retail gross margin increased to $65.4 million for the twenty-six weeks ended July 2, 2011 from $63.4 million for the twenty-six weeks ended July 3, 2010, an increase of $2.0 million, or 3.2%. As a percentage of net retail sales, retail gross margin increased to 37.4% for the twenty-six weeks ended July 2, 2011 from 36.8% for the twenty-six weeks ended July 3, 2010. This 60 bps increase resulted primarily from a 50 bps increase in merchandise margin and a 40 bps increase in leverage occupancy costs partially offset by increased buying costs.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5" w:name="page16"/>
    <w:bookmarkEnd w:id="15"/>
    <w:p>
      <w:pPr>
        <w:ind w:right="10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$81.8 million for the twenty-six weeks ended July 2, 2011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$75.9 million for the twenty-six weeks ended July 3, 2010, an increase of $5.9 million, or 7.7%. As a percentage of total revenues, selling, general and administrative expenses increased to 46.0% for the twenty-six weeks ended July 2, 2011 as compared to 43.3% for the twenty-six weeks ended July 3, 2010, an increase of 270 bps. The dollar increase was primarily attributable to consulting costs related to continuing efforts to improve efficiencies and reduce expenses and increases in advertising and payroll costs. The increase in selling, general and administrative expenses as a percent of revenue was primarily due to the increase in costs, partially offset by improved leverage on the fixed components of costs.</w:t>
      </w:r>
    </w:p>
    <w:p>
      <w:pPr>
        <w:spacing w:after="0" w:line="183" w:lineRule="exact"/>
        <w:rPr>
          <w:sz w:val="20"/>
          <w:szCs w:val="20"/>
          <w:color w:val="auto"/>
        </w:rPr>
      </w:pPr>
    </w:p>
    <w:p>
      <w:pPr>
        <w:ind w:right="60" w:firstLine="486"/>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Store preopening. </w:t>
      </w:r>
      <w:r>
        <w:rPr>
          <w:rFonts w:ascii="Times New Roman" w:cs="Times New Roman" w:eastAsia="Times New Roman" w:hAnsi="Times New Roman"/>
          <w:sz w:val="18"/>
          <w:szCs w:val="18"/>
          <w:color w:val="auto"/>
        </w:rPr>
        <w:t>Store preopening expense was $0.2 million for the twenty-six weeks ended July 2, 2011 as compared to $0.1 million for the twenty-six weeks ended July 3, 2010. We expect to open three new stores during the fiscal 2011 third quarter, the same as in the fiscal 2010 third</w:t>
      </w:r>
    </w:p>
    <w:p>
      <w:pPr>
        <w:spacing w:after="0" w:line="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quarter. Preopening expenses include expenses for stores that opened in the current period as well as expenses incurred for stores that will open in future periods.</w:t>
      </w:r>
    </w:p>
    <w:p>
      <w:pPr>
        <w:spacing w:after="0" w:line="232" w:lineRule="exact"/>
        <w:rPr>
          <w:sz w:val="20"/>
          <w:szCs w:val="20"/>
          <w:color w:val="auto"/>
        </w:rPr>
      </w:pPr>
    </w:p>
    <w:p>
      <w:pPr>
        <w:jc w:val="both"/>
        <w:ind w:right="1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Interest income, net of interest expense, was $1,000 for the twenty-six weeks ended July 2, 2011 as compared to $0.1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twenty-six weeks ended July 3, 2010. The decrease in interest income was primarily attributable to interest costs related to an ongoing sales and use tax audit.</w:t>
      </w:r>
    </w:p>
    <w:p>
      <w:pPr>
        <w:spacing w:after="0" w:line="228"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income tax benefit was $5.4 million for the twenty-six weeks ended July 2, 2011 as compared to the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of $3.0 million for the twenty-six weeks ended July 3, 2010. The effective tax rate was 37.6% for the twenty-six weeks ended July 2, 2011 compared to 30.5% for the twenty-six weeks ended July 3, 2010. The increase in the effective tax rate was primarily attributable to the impact of recording a valuation allowance in the previous year.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8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use the term “store contribution” in this quarterly report on Form 10-Q. Store contribution consists of income before income tax expense, interest, store depreciation, amortization and impairment, store preopening expense, store closing expense and equity losses from investment in affiliate and general and administrative expense, excluding franchise fees, income from commercial activities and contribution from our webstore and seasonal and event-based locations. This term, as we define it, may not be comparable to similarly titled measures used by other companies and is not a measure of performance presented in accordance with U.S. GAAP.</w:t>
      </w:r>
    </w:p>
    <w:p>
      <w:pPr>
        <w:spacing w:after="0" w:line="23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use store contribution as a measure of our stores’ operating performance. Store contribution should be considered supplemental and not a substitute for net income, net income per store, cash flows provided by operating activities, cash flows provided by operating activities per store, or other income or cash flow data prepared in accordance with GAAP. We believe store contribution is useful to investors in evaluating our operating performance because it, along with the number of stores in operation, directly impacts our profitability.</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1" w:right="279" w:bottom="1440" w:gutter="0" w:footer="0" w:header="0"/>
        </w:sectPr>
      </w:pPr>
    </w:p>
    <w:bookmarkStart w:id="16" w:name="page17"/>
    <w:bookmarkEnd w:id="16"/>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store contribution to net income for our Company-owned stores located in the United States, Canada and Puerto Rico (North America), stores located the United Kingdom, Ireland and France (Europe) and for our consolidated store base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Twenty-six weeks ended</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Twenty-six weeks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July 2, 2011</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July 3, 2010</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North</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580"/>
              <w:spacing w:after="0" w:line="194" w:lineRule="exact"/>
              <w:rPr>
                <w:sz w:val="20"/>
                <w:szCs w:val="20"/>
                <w:color w:val="auto"/>
              </w:rPr>
            </w:pPr>
            <w:r>
              <w:rPr>
                <w:rFonts w:ascii="Times New Roman" w:cs="Times New Roman" w:eastAsia="Times New Roman" w:hAnsi="Times New Roman"/>
                <w:sz w:val="18"/>
                <w:szCs w:val="18"/>
                <w:b w:val="1"/>
                <w:bCs w:val="1"/>
                <w:color w:val="auto"/>
              </w:rPr>
              <w:t>North</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Europe</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Europe</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0FFFF"/>
            </w:tcBorders>
            <w:gridSpan w:val="2"/>
            <w:shd w:val="clear" w:color="auto" w:fill="C0FFFF"/>
          </w:tcPr>
          <w:p>
            <w:pPr>
              <w:jc w:val="right"/>
              <w:ind w:right="280"/>
              <w:spacing w:after="0"/>
              <w:rPr>
                <w:sz w:val="20"/>
                <w:szCs w:val="20"/>
                <w:color w:val="auto"/>
              </w:rPr>
            </w:pPr>
            <w:r>
              <w:rPr>
                <w:rFonts w:ascii="Times New Roman" w:cs="Times New Roman" w:eastAsia="Times New Roman" w:hAnsi="Times New Roman"/>
                <w:sz w:val="18"/>
                <w:szCs w:val="18"/>
                <w:color w:val="auto"/>
              </w:rPr>
              <w:t>(8,071)</w:t>
            </w:r>
          </w:p>
        </w:tc>
        <w:tc>
          <w:tcPr>
            <w:tcW w:w="1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8"/>
                <w:szCs w:val="18"/>
                <w:color w:val="auto"/>
              </w:rPr>
              <w:t>(856)</w:t>
            </w:r>
          </w:p>
        </w:tc>
        <w:tc>
          <w:tcPr>
            <w:tcW w:w="22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8"/>
                <w:szCs w:val="18"/>
                <w:color w:val="auto"/>
              </w:rPr>
              <w:t>(8,927)</w:t>
            </w:r>
          </w:p>
        </w:tc>
        <w:tc>
          <w:tcPr>
            <w:tcW w:w="1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8"/>
                <w:szCs w:val="18"/>
                <w:color w:val="auto"/>
              </w:rPr>
              <w:t>(5,330)</w:t>
            </w:r>
          </w:p>
        </w:tc>
        <w:tc>
          <w:tcPr>
            <w:tcW w:w="1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8"/>
                <w:szCs w:val="18"/>
                <w:color w:val="auto"/>
              </w:rPr>
              <w:t>(1,469)</w:t>
            </w:r>
          </w:p>
        </w:tc>
        <w:tc>
          <w:tcPr>
            <w:tcW w:w="200" w:type="dxa"/>
            <w:vAlign w:val="bottom"/>
            <w:shd w:val="clear" w:color="auto" w:fill="C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(5,100)</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(5,388)</w:t>
            </w: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(2,798)</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0" w:type="dxa"/>
            <w:vAlign w:val="bottom"/>
            <w:tcBorders>
              <w:right w:val="single" w:sz="8" w:color="C0FFFF"/>
            </w:tcBorders>
            <w:gridSpan w:val="2"/>
            <w:shd w:val="clear" w:color="auto" w:fill="C0FFFF"/>
          </w:tcPr>
          <w:p>
            <w:pPr>
              <w:jc w:val="right"/>
              <w:ind w:right="34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Store depreciation, amortization and impairment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w:t>
            </w: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7,853</w:t>
            </w:r>
          </w:p>
        </w:tc>
        <w:tc>
          <w:tcPr>
            <w:tcW w:w="14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1,135</w:t>
            </w:r>
          </w:p>
        </w:tc>
        <w:tc>
          <w:tcPr>
            <w:tcW w:w="2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8,988</w:t>
            </w:r>
          </w:p>
        </w:tc>
        <w:tc>
          <w:tcPr>
            <w:tcW w:w="1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8,031</w:t>
            </w:r>
          </w:p>
        </w:tc>
        <w:tc>
          <w:tcPr>
            <w:tcW w:w="1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1,481</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Store preopening expense</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0" w:type="dxa"/>
            <w:vAlign w:val="bottom"/>
            <w:tcBorders>
              <w:right w:val="single" w:sz="8" w:color="C0FFFF"/>
            </w:tcBorders>
            <w:gridSpan w:val="2"/>
            <w:shd w:val="clear" w:color="auto" w:fill="C0FFFF"/>
          </w:tcPr>
          <w:p>
            <w:pPr>
              <w:jc w:val="right"/>
              <w:ind w:right="34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0FFFF"/>
          </w:tcPr>
          <w:p>
            <w:pPr>
              <w:spacing w:after="0"/>
              <w:rPr>
                <w:sz w:val="18"/>
                <w:szCs w:val="18"/>
                <w:color w:val="auto"/>
              </w:rPr>
            </w:pPr>
          </w:p>
        </w:tc>
        <w:tc>
          <w:tcPr>
            <w:tcW w:w="8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0FFFF"/>
          </w:tcPr>
          <w:p>
            <w:pPr>
              <w:spacing w:after="0"/>
              <w:rPr>
                <w:sz w:val="18"/>
                <w:szCs w:val="18"/>
                <w:color w:val="auto"/>
              </w:rPr>
            </w:pPr>
          </w:p>
        </w:tc>
        <w:tc>
          <w:tcPr>
            <w:tcW w:w="7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 (2)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23,829</w:t>
            </w: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1,591</w:t>
            </w: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25,420</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19,642</w:t>
            </w: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1,772</w:t>
            </w: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Franchising and licensing contribution (3)</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0" w:type="dxa"/>
            <w:vAlign w:val="bottom"/>
            <w:tcBorders>
              <w:right w:val="single" w:sz="8" w:color="C0FFFF"/>
            </w:tcBorders>
            <w:gridSpan w:val="2"/>
            <w:shd w:val="clear" w:color="auto" w:fill="C0FFFF"/>
          </w:tcPr>
          <w:p>
            <w:pPr>
              <w:jc w:val="right"/>
              <w:ind w:right="280"/>
              <w:spacing w:after="0"/>
              <w:rPr>
                <w:sz w:val="20"/>
                <w:szCs w:val="20"/>
                <w:color w:val="auto"/>
              </w:rPr>
            </w:pPr>
            <w:r>
              <w:rPr>
                <w:rFonts w:ascii="Times New Roman" w:cs="Times New Roman" w:eastAsia="Times New Roman" w:hAnsi="Times New Roman"/>
                <w:sz w:val="18"/>
                <w:szCs w:val="18"/>
                <w:color w:val="auto"/>
              </w:rPr>
              <w:t>(1,631)</w:t>
            </w:r>
          </w:p>
        </w:tc>
        <w:tc>
          <w:tcPr>
            <w:tcW w:w="140" w:type="dxa"/>
            <w:vAlign w:val="bottom"/>
            <w:shd w:val="clear" w:color="auto" w:fill="C0FFFF"/>
          </w:tcPr>
          <w:p>
            <w:pPr>
              <w:spacing w:after="0"/>
              <w:rPr>
                <w:sz w:val="18"/>
                <w:szCs w:val="18"/>
                <w:color w:val="auto"/>
              </w:rPr>
            </w:pPr>
          </w:p>
        </w:tc>
        <w:tc>
          <w:tcPr>
            <w:tcW w:w="8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8"/>
                <w:szCs w:val="18"/>
                <w:color w:val="auto"/>
              </w:rPr>
              <w:t>(2,009)</w:t>
            </w:r>
          </w:p>
        </w:tc>
        <w:tc>
          <w:tcPr>
            <w:tcW w:w="160" w:type="dxa"/>
            <w:vAlign w:val="bottom"/>
            <w:shd w:val="clear" w:color="auto" w:fill="C0FFFF"/>
          </w:tcPr>
          <w:p>
            <w:pPr>
              <w:spacing w:after="0"/>
              <w:rPr>
                <w:sz w:val="18"/>
                <w:szCs w:val="18"/>
                <w:color w:val="auto"/>
              </w:rPr>
            </w:pPr>
          </w:p>
        </w:tc>
        <w:tc>
          <w:tcPr>
            <w:tcW w:w="8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Non-store activity contribution (4)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(1,375)</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(1,204)</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8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Store contribution</w:t>
            </w:r>
          </w:p>
        </w:tc>
        <w:tc>
          <w:tcPr>
            <w:tcW w:w="80" w:type="dxa"/>
            <w:vAlign w:val="bottom"/>
            <w:shd w:val="clear" w:color="auto" w:fill="C0FFFF"/>
          </w:tcPr>
          <w:p>
            <w:pPr>
              <w:spacing w:after="0"/>
              <w:rPr>
                <w:sz w:val="22"/>
                <w:szCs w:val="22"/>
                <w:color w:val="auto"/>
              </w:rPr>
            </w:pPr>
          </w:p>
        </w:tc>
        <w:tc>
          <w:tcPr>
            <w:tcW w:w="1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0FFFF"/>
            </w:tcBorders>
            <w:gridSpan w:val="2"/>
            <w:shd w:val="clear" w:color="auto" w:fill="C0FFFF"/>
          </w:tcPr>
          <w:p>
            <w:pPr>
              <w:jc w:val="right"/>
              <w:ind w:right="340"/>
              <w:spacing w:after="0"/>
              <w:rPr>
                <w:sz w:val="20"/>
                <w:szCs w:val="20"/>
                <w:color w:val="auto"/>
              </w:rPr>
            </w:pPr>
            <w:r>
              <w:rPr>
                <w:rFonts w:ascii="Times New Roman" w:cs="Times New Roman" w:eastAsia="Times New Roman" w:hAnsi="Times New Roman"/>
                <w:sz w:val="18"/>
                <w:szCs w:val="18"/>
                <w:color w:val="auto"/>
              </w:rPr>
              <w:t>15,751</w:t>
            </w:r>
          </w:p>
        </w:tc>
        <w:tc>
          <w:tcPr>
            <w:tcW w:w="1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0FFFF"/>
          </w:tcPr>
          <w:p>
            <w:pPr>
              <w:jc w:val="right"/>
              <w:ind w:right="320"/>
              <w:spacing w:after="0"/>
              <w:rPr>
                <w:sz w:val="20"/>
                <w:szCs w:val="20"/>
                <w:color w:val="auto"/>
              </w:rPr>
            </w:pPr>
            <w:r>
              <w:rPr>
                <w:rFonts w:ascii="Times New Roman" w:cs="Times New Roman" w:eastAsia="Times New Roman" w:hAnsi="Times New Roman"/>
                <w:sz w:val="18"/>
                <w:szCs w:val="18"/>
                <w:color w:val="auto"/>
              </w:rPr>
              <w:t>1,178</w:t>
            </w:r>
          </w:p>
        </w:tc>
        <w:tc>
          <w:tcPr>
            <w:tcW w:w="22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0FFFF"/>
          </w:tcPr>
          <w:p>
            <w:pPr>
              <w:jc w:val="right"/>
              <w:ind w:right="320"/>
              <w:spacing w:after="0"/>
              <w:rPr>
                <w:sz w:val="20"/>
                <w:szCs w:val="20"/>
                <w:color w:val="auto"/>
              </w:rPr>
            </w:pPr>
            <w:r>
              <w:rPr>
                <w:rFonts w:ascii="Times New Roman" w:cs="Times New Roman" w:eastAsia="Times New Roman" w:hAnsi="Times New Roman"/>
                <w:sz w:val="18"/>
                <w:szCs w:val="18"/>
                <w:color w:val="auto"/>
              </w:rPr>
              <w:t>16,929</w:t>
            </w:r>
          </w:p>
        </w:tc>
        <w:tc>
          <w:tcPr>
            <w:tcW w:w="1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0FFFF"/>
          </w:tcPr>
          <w:p>
            <w:pPr>
              <w:jc w:val="right"/>
              <w:ind w:right="320"/>
              <w:spacing w:after="0"/>
              <w:rPr>
                <w:sz w:val="20"/>
                <w:szCs w:val="20"/>
                <w:color w:val="auto"/>
              </w:rPr>
            </w:pPr>
            <w:r>
              <w:rPr>
                <w:rFonts w:ascii="Times New Roman" w:cs="Times New Roman" w:eastAsia="Times New Roman" w:hAnsi="Times New Roman"/>
                <w:sz w:val="18"/>
                <w:szCs w:val="18"/>
                <w:color w:val="auto"/>
              </w:rPr>
              <w:t>16,377</w:t>
            </w:r>
          </w:p>
        </w:tc>
        <w:tc>
          <w:tcPr>
            <w:tcW w:w="1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0FFFF"/>
          </w:tcPr>
          <w:p>
            <w:pPr>
              <w:jc w:val="right"/>
              <w:ind w:right="320"/>
              <w:spacing w:after="0"/>
              <w:rPr>
                <w:sz w:val="20"/>
                <w:szCs w:val="20"/>
                <w:color w:val="auto"/>
              </w:rPr>
            </w:pPr>
            <w:r>
              <w:rPr>
                <w:rFonts w:ascii="Times New Roman" w:cs="Times New Roman" w:eastAsia="Times New Roman" w:hAnsi="Times New Roman"/>
                <w:sz w:val="18"/>
                <w:szCs w:val="18"/>
                <w:color w:val="auto"/>
              </w:rPr>
              <w:t>1,257</w:t>
            </w:r>
          </w:p>
        </w:tc>
        <w:tc>
          <w:tcPr>
            <w:tcW w:w="200" w:type="dxa"/>
            <w:vAlign w:val="bottom"/>
            <w:shd w:val="clear" w:color="auto" w:fill="C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8"/>
                <w:szCs w:val="18"/>
                <w:color w:val="auto"/>
              </w:rPr>
              <w:t>17,634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Borders>
              <w:top w:val="single" w:sz="8" w:color="C0FFFF"/>
            </w:tcBorders>
          </w:tcPr>
          <w:p>
            <w:pPr>
              <w:spacing w:after="0"/>
              <w:rPr>
                <w:sz w:val="18"/>
                <w:szCs w:val="18"/>
                <w:color w:val="auto"/>
              </w:rPr>
            </w:pPr>
          </w:p>
        </w:tc>
        <w:tc>
          <w:tcPr>
            <w:tcW w:w="24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C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Total revenues from external customers</w:t>
            </w:r>
          </w:p>
        </w:tc>
        <w:tc>
          <w:tcPr>
            <w:tcW w:w="2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0FFFF"/>
            </w:tcBorders>
            <w:gridSpan w:val="2"/>
            <w:shd w:val="clear" w:color="auto" w:fill="C0FFFF"/>
          </w:tcPr>
          <w:p>
            <w:pPr>
              <w:jc w:val="right"/>
              <w:ind w:right="340"/>
              <w:spacing w:after="0"/>
              <w:rPr>
                <w:sz w:val="20"/>
                <w:szCs w:val="20"/>
                <w:color w:val="auto"/>
              </w:rPr>
            </w:pPr>
            <w:r>
              <w:rPr>
                <w:rFonts w:ascii="Times New Roman" w:cs="Times New Roman" w:eastAsia="Times New Roman" w:hAnsi="Times New Roman"/>
                <w:sz w:val="18"/>
                <w:szCs w:val="18"/>
                <w:color w:val="auto"/>
              </w:rPr>
              <w:t>147,938</w:t>
            </w:r>
          </w:p>
        </w:tc>
        <w:tc>
          <w:tcPr>
            <w:tcW w:w="1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0FFFF"/>
          </w:tcPr>
          <w:p>
            <w:pPr>
              <w:jc w:val="right"/>
              <w:ind w:right="320"/>
              <w:spacing w:after="0"/>
              <w:rPr>
                <w:sz w:val="20"/>
                <w:szCs w:val="20"/>
                <w:color w:val="auto"/>
              </w:rPr>
            </w:pPr>
            <w:r>
              <w:rPr>
                <w:rFonts w:ascii="Times New Roman" w:cs="Times New Roman" w:eastAsia="Times New Roman" w:hAnsi="Times New Roman"/>
                <w:sz w:val="18"/>
                <w:szCs w:val="18"/>
                <w:color w:val="auto"/>
              </w:rPr>
              <w:t>29,893</w:t>
            </w:r>
          </w:p>
        </w:tc>
        <w:tc>
          <w:tcPr>
            <w:tcW w:w="220" w:type="dxa"/>
            <w:vAlign w:val="bottom"/>
            <w:shd w:val="clear" w:color="auto" w:fill="C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0FFFF"/>
          </w:tcPr>
          <w:p>
            <w:pPr>
              <w:jc w:val="right"/>
              <w:ind w:right="320"/>
              <w:spacing w:after="0"/>
              <w:rPr>
                <w:sz w:val="20"/>
                <w:szCs w:val="20"/>
                <w:color w:val="auto"/>
              </w:rPr>
            </w:pPr>
            <w:r>
              <w:rPr>
                <w:rFonts w:ascii="Times New Roman" w:cs="Times New Roman" w:eastAsia="Times New Roman" w:hAnsi="Times New Roman"/>
                <w:sz w:val="18"/>
                <w:szCs w:val="18"/>
                <w:color w:val="auto"/>
              </w:rPr>
              <w:t>177,831</w:t>
            </w:r>
          </w:p>
        </w:tc>
        <w:tc>
          <w:tcPr>
            <w:tcW w:w="1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0FFFF"/>
          </w:tcPr>
          <w:p>
            <w:pPr>
              <w:jc w:val="right"/>
              <w:ind w:right="320"/>
              <w:spacing w:after="0"/>
              <w:rPr>
                <w:sz w:val="20"/>
                <w:szCs w:val="20"/>
                <w:color w:val="auto"/>
              </w:rPr>
            </w:pPr>
            <w:r>
              <w:rPr>
                <w:rFonts w:ascii="Times New Roman" w:cs="Times New Roman" w:eastAsia="Times New Roman" w:hAnsi="Times New Roman"/>
                <w:sz w:val="18"/>
                <w:szCs w:val="18"/>
                <w:color w:val="auto"/>
              </w:rPr>
              <w:t>147,638</w:t>
            </w:r>
          </w:p>
        </w:tc>
        <w:tc>
          <w:tcPr>
            <w:tcW w:w="1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0FFFF"/>
          </w:tcPr>
          <w:p>
            <w:pPr>
              <w:jc w:val="right"/>
              <w:ind w:right="320"/>
              <w:spacing w:after="0"/>
              <w:rPr>
                <w:sz w:val="20"/>
                <w:szCs w:val="20"/>
                <w:color w:val="auto"/>
              </w:rPr>
            </w:pPr>
            <w:r>
              <w:rPr>
                <w:rFonts w:ascii="Times New Roman" w:cs="Times New Roman" w:eastAsia="Times New Roman" w:hAnsi="Times New Roman"/>
                <w:sz w:val="18"/>
                <w:szCs w:val="18"/>
                <w:color w:val="auto"/>
              </w:rPr>
              <w:t>27,931</w:t>
            </w:r>
          </w:p>
        </w:tc>
        <w:tc>
          <w:tcPr>
            <w:tcW w:w="200" w:type="dxa"/>
            <w:vAlign w:val="bottom"/>
            <w:shd w:val="clear" w:color="auto" w:fill="C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8"/>
                <w:szCs w:val="18"/>
                <w:color w:val="auto"/>
              </w:rPr>
              <w:t>175,569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Franchising and licensing revenues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(3,281)</w:t>
            </w: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(3,295)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Revenues from non-store activities (4)</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0" w:type="dxa"/>
            <w:vAlign w:val="bottom"/>
            <w:tcBorders>
              <w:right w:val="single" w:sz="8" w:color="C0FFFF"/>
            </w:tcBorders>
            <w:gridSpan w:val="2"/>
            <w:shd w:val="clear" w:color="auto" w:fill="C0FFFF"/>
          </w:tcPr>
          <w:p>
            <w:pPr>
              <w:jc w:val="right"/>
              <w:ind w:right="280"/>
              <w:spacing w:after="0"/>
              <w:rPr>
                <w:sz w:val="20"/>
                <w:szCs w:val="20"/>
                <w:color w:val="auto"/>
              </w:rPr>
            </w:pPr>
            <w:r>
              <w:rPr>
                <w:rFonts w:ascii="Times New Roman" w:cs="Times New Roman" w:eastAsia="Times New Roman" w:hAnsi="Times New Roman"/>
                <w:sz w:val="18"/>
                <w:szCs w:val="18"/>
                <w:color w:val="auto"/>
              </w:rPr>
              <w:t>(8,317)</w:t>
            </w:r>
          </w:p>
        </w:tc>
        <w:tc>
          <w:tcPr>
            <w:tcW w:w="14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8"/>
                <w:szCs w:val="18"/>
                <w:color w:val="auto"/>
              </w:rPr>
              <w:t>(9,304)</w:t>
            </w:r>
          </w:p>
        </w:tc>
        <w:tc>
          <w:tcPr>
            <w:tcW w:w="12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8"/>
                <w:szCs w:val="18"/>
                <w:color w:val="auto"/>
              </w:rPr>
              <w:t>(5,056)</w:t>
            </w:r>
          </w:p>
        </w:tc>
        <w:tc>
          <w:tcPr>
            <w:tcW w:w="1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8"/>
                <w:szCs w:val="18"/>
                <w:color w:val="auto"/>
              </w:rPr>
              <w:t>(5,885)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C0FFFF"/>
          </w:tcPr>
          <w:p>
            <w:pPr>
              <w:spacing w:after="0"/>
              <w:rPr>
                <w:sz w:val="2"/>
                <w:szCs w:val="2"/>
                <w:color w:val="auto"/>
              </w:rPr>
            </w:pPr>
          </w:p>
        </w:tc>
        <w:tc>
          <w:tcPr>
            <w:tcW w:w="242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Borders>
              <w:right w:val="single" w:sz="8" w:color="C0FFFF"/>
            </w:tcBorders>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C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Store location net retail sales</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136,340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28,906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165,246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139,287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27,102</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166,389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Store contribution as a percentage of store</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40" w:type="dxa"/>
            <w:vAlign w:val="bottom"/>
            <w:tcBorders>
              <w:right w:val="single" w:sz="8" w:color="C0FFFF"/>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7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7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location net retail sales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8"/>
                <w:szCs w:val="18"/>
                <w:color w:val="auto"/>
              </w:rPr>
              <w:t>Total net loss as a percentage of total</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40" w:type="dxa"/>
            <w:vAlign w:val="bottom"/>
            <w:tcBorders>
              <w:right w:val="single" w:sz="8" w:color="C0FFFF"/>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7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7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right="120" w:hanging="492"/>
        <w:spacing w:after="0" w:line="276" w:lineRule="auto"/>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Store depreciation, amortization and impairment includes depreciation and amortization of all capitalized assets in store locations, including leasehold improvements, furniture and fixtures, and computer hardware and software and store asset impairment charges, included in cost of merchandise sold.</w:t>
      </w:r>
    </w:p>
    <w:p>
      <w:pPr>
        <w:ind w:left="500" w:right="80" w:hanging="492"/>
        <w:spacing w:after="0" w:line="250"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consist of non-store, central office general and administrative functions such as management payroll and related benefits, travel, information systems, accounting, purchasing and legal costs as well as the depreciation and amortization of central office leasehold improvements, furniture and fixtures, computer hardware and software, including assets related to the virtual world, and intellectual property. General and administrative expenses also include a central office marketing department, primarily payroll and related benefits expense, but exclude advertising expenses, such as direct mail catalogs and television advertising, which are included in store contribution.</w:t>
      </w:r>
    </w:p>
    <w:p>
      <w:pPr>
        <w:spacing w:after="0" w:line="2" w:lineRule="exact"/>
        <w:rPr>
          <w:rFonts w:ascii="Times New Roman" w:cs="Times New Roman" w:eastAsia="Times New Roman" w:hAnsi="Times New Roman"/>
          <w:sz w:val="18"/>
          <w:szCs w:val="18"/>
          <w:color w:val="auto"/>
        </w:rPr>
      </w:pPr>
    </w:p>
    <w:p>
      <w:pPr>
        <w:ind w:left="500" w:right="100" w:hanging="492"/>
        <w:spacing w:after="0" w:line="250"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Franchising and commercial contribution includes franchising and commercial revenues and all expenses attributable to the international franchising and commercial segments other than depreciation, amortization and interest expense/income. Depreciation and amortization related to franchising and commercial activities is included in the general and administrative expense caption. Interest expense/income related to commercial and franchising activities is included in the interest expense (income) caption.</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Non-store activities include our webstores, pop-ups and seasonal and event-based locations, as well as intercompany transfer pricing charges.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83"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comparable store sales; (3) fluctuations in the profitability of our stores; (4) changes in foreign currency exchange rates; (5) the timing and frequency of our marketing initiatives, including national media and other public relations events;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24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timing of new store openings may result in fluctuations in quarterly results as a result of the revenues and expenses associated with each new store location. We typically incur most preopening costs for a new store in the three months immediately preceding the store’s opening. We expect our growth, operating results and profitability to depend in some degree on our ability to increase our number of stores.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As a toy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2008 fiscal fourth quarter had 14 weeks.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83"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cash requirements are primarily for the opening of new stores, information systems, including Web site enhancements and maintenance and working capital. Historically, we have been able to meet these requirements through cash flow provided by operations. In our history, we have also generated capital from the sale and issuance of our securities to private investors and through our initial public offering, and our revolving line of credit.</w:t>
      </w:r>
    </w:p>
    <w:p>
      <w:pPr>
        <w:spacing w:after="0" w:line="228"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used in operating activities was $12.9 million for the twenty-six weeks ended July 2, 2011 as compared with $18.3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twenty-six weeks ended July 3, 2010, or a decrease of $5.5 million. Generally, changes in cash from operating activities are driven by changes in net income or loss and changes in operating assets and liabilities. In 2011, the use of cash resulting from the change in operating assets and liabilities decreased as compared to the year ago period, driven primarily by decreases and accounts payable and accrued expenses and increases in receivables, partially offset by decreases in inventory. In 2010, the use of cash resulting from the change in operating assets and liabilities increased as compared to the year ago period, primarily driven by increases in non-proprietary inventory partially offset by the changes in the timing of accounts payable and prepaid expenses</w:t>
      </w:r>
    </w:p>
    <w:p>
      <w:pPr>
        <w:spacing w:after="0" w:line="237" w:lineRule="exact"/>
        <w:rPr>
          <w:sz w:val="20"/>
          <w:szCs w:val="20"/>
          <w:color w:val="auto"/>
        </w:rPr>
      </w:pPr>
    </w:p>
    <w:p>
      <w:pPr>
        <w:ind w:right="20"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was $7.2 million for the twenty-six weeks ended July 2, 2011 as compared to $6.4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twenty-six weeks ended July 3, 2010, an increase of $0.8 million. Cash used in investing activities during the twenty-six weeks ended July 2, 2011 primarily related to investments in central office information technology systems and new store construction costs as well as the purchase of short term investments, net of maturities. Cash used in investing activities during the twenty-six weeks ended July 3, 2010 primarily related to investments in central office information technology systems, new store construction costs and the acquisition of trademarks and other intellectual property</w:t>
      </w:r>
    </w:p>
    <w:p>
      <w:pPr>
        <w:spacing w:after="0" w:line="234" w:lineRule="exact"/>
        <w:rPr>
          <w:sz w:val="20"/>
          <w:szCs w:val="20"/>
          <w:color w:val="auto"/>
        </w:rPr>
      </w:pPr>
    </w:p>
    <w:p>
      <w:pPr>
        <w:jc w:val="both"/>
        <w:ind w:right="1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was $4.7 million and $2.7 million in the twenty-six weeks ended July 2, 2011 and July 3, 2010,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which consisted primarily of cash used for repurchases of the Company’s common stock. No borrowings were made under our line of credit in either the twenty-six weeks ended July 2, 2011 or July 3, 2010.</w:t>
      </w:r>
    </w:p>
    <w:p>
      <w:pPr>
        <w:spacing w:after="0" w:line="228"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As of July 2, 2011, we had a consolidated cash balance of $34.7 million, over 30% of which was held outside of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We also have a line of credit, which we can use to finance capital expenditures and working capital needs throughout the year. The credit agreement is with U.S. Bank, National Association and was amended effective December 31, 2010. The bank line continues to provide availability of $40 million for the first half of the fiscal year and a seasonal overline of $50 million. The seasonal overline is in effect from July 1 to December 31 each year. Borrowings under the credit agreement are secured by our assets and a pledge of 65% of our ownership interest in our foreign subsidiaries. The credit agreement expires on December 31, 2012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July 2, 2011: (i) we were in compliance with these covenants; (ii) there were no borrowings under our line of credit; (iii) there was a standby letter of credit of approximately $1.1 million outstanding under the credit agreement; and (iv) there was approximately $48.9 million available for borrowing under the line of credit.</w:t>
      </w:r>
    </w:p>
    <w:p>
      <w:pPr>
        <w:spacing w:after="0" w:line="19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24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Our leases in the U.K. and Ireland typically have terms of 10 to 15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charged quarterly and paid in advance.</w:t>
      </w:r>
    </w:p>
    <w:p>
      <w:pPr>
        <w:spacing w:after="0" w:line="234"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In fiscal 2011, we expect to spend a total of $12 to $15 million on capital expenditures. Capital spending through the twenty-six weeks ended July 2, 2011 totaled $6.1 million, on track with our full year plans. Capital spending in fiscal 2011 is primarily for the, the opening of six new stores, the relocation of four stores and continued installation and upgrades of central office information technology systems.</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believe that cash generated from operations and available borrowings under our credit agreement will be sufficient to fund our working capital and other cash flow requirements for the near future. Our credit agreement expires on December 31, 2012.</w:t>
      </w:r>
    </w:p>
    <w:p>
      <w:pPr>
        <w:spacing w:after="0" w:line="216" w:lineRule="exact"/>
        <w:rPr>
          <w:sz w:val="20"/>
          <w:szCs w:val="20"/>
          <w:color w:val="auto"/>
        </w:rPr>
      </w:pPr>
    </w:p>
    <w:p>
      <w:pPr>
        <w:ind w:right="200" w:firstLine="486"/>
        <w:spacing w:after="0" w:line="254" w:lineRule="auto"/>
        <w:rPr>
          <w:sz w:val="20"/>
          <w:szCs w:val="20"/>
          <w:color w:val="auto"/>
        </w:rPr>
      </w:pPr>
      <w:r>
        <w:rPr>
          <w:rFonts w:ascii="Times New Roman" w:cs="Times New Roman" w:eastAsia="Times New Roman" w:hAnsi="Times New Roman"/>
          <w:sz w:val="18"/>
          <w:szCs w:val="18"/>
          <w:color w:val="auto"/>
        </w:rPr>
        <w:t>On February 20, 2007, we announced that our board of directors had authorized a $25 million share repurchase program of our outstanding common stock. On March 10, 2008, we announced an expansion of our share repurchase program to $50 million. On March 2, 2011, we announced that our share repurchase program had been extended to March 31, 2012. We currently intend to purchase up to an aggregate of $50 million of our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will be subsequently retired. As of August 3, 2011, approximately 3.8 million shares at an average price of $8.33 per share have been repurchased under this program for an aggregate amount of $31.5million, leaving $18.5 million of availability under the program.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8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hold a minority interest in Ridemakerz, which is accounted for under the equity method. We purchased a call option from a group of other Ridemakerz investors for $150,000 for 1.25 million Ridemakerz common units at an exercise price of $1.25 per unit. The call option was immediately exercisable and expires April 30, 2012. Simultaneously, we granted a put option to the same group of investors for 1.25 million common units at an exercise price of $0.50 per unit. The put option was exercisable on April 30, 2008 and expires on April 30, 2012. As of July 2, 2011, the book value of our investment in Ridemakerz was zero. We still retain an ownership interest of approximately 15%. Under the current agreements, we could own up to approximately 24% of fully diluted equity in Ridemakerz.</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83"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believe the application of accounting policies, and the estimates inherently required therein, are reasonable. These accounting policies and estimates, including those related to inventory, long-lived assets, goodwill and revenue recognition,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23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are discussed in and should be read in conjunction with our annual report on Form 10-K, as filed with the SEC on March 17, 2011, which includes audited consolidated financial statements for our 2010, 2009 and 2008 fiscal years. There have been no material changes to the critical accounting policies and estimates disclosed in the 2010 Form 10-K.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83"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There are no new accounting pronouncements for which adoption is expected to have a material effect on the Company’s financial statements in future accounting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8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We had no borrowings outstanding during the first half of fiscal 2011. Accordingly, a 100 basis point change in interest rates would result in no material change to our annual interest expense. The second component of interest rate risk involves the investment of excess cash in short term, investment grade interest-bearing securities. These investments are considered to be cash equivalents or short-term investments, based on their original maturity and are classified accordingly on our balance sheet. If there are changes in interest rates, those changes would affect the investment income we earn on these investments and, therefore, impact our cash flows and results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238"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engage in financial transactions for trading or speculative purposes.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right="20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The Company’s management, with the participation of the Company’s Chief Executive Bear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Financial Bear, has evaluated the effectiveness of the Company’s disclosure controls and procedures (as such term is defined in Rules 13a-15(e) and 15d-15(e) under the Securities Exchange Act of 1934, as amended (the Exchange Act)), as of the end of the period covered by this report. Our disclosure controls are designed to provide reasonable assurance of achieving their objectives and based on the aforementioned evaluation, the Company’s management, including the Chief Executive Bear and Chief Operations and Financial Bear, have concluded that the Company’s disclosure controls and procedures were effective at the reasonable assurance level as of July 2, 2011, the end of the period covered by this quarterly report.</w:t>
      </w:r>
    </w:p>
    <w:p>
      <w:pPr>
        <w:spacing w:after="0" w:line="18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Chief Executive Bear and the Chief Operations and Financial Bear, does not expect that the Company’s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1"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Chief Executive Bear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Chief Operations and Financial Bear,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83"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changes to our Risk Factors as disclosed in our Annual Report on Form 10-K for the year ended January 1, 2011 as filed with the SEC on March 17, 2011.</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6"/>
        </w:trPr>
        <w:tc>
          <w:tcPr>
            <w:tcW w:w="11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11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(or</w:t>
            </w:r>
          </w:p>
        </w:tc>
      </w:tr>
      <w:tr>
        <w:trPr>
          <w:trHeight w:val="216"/>
        </w:trPr>
        <w:tc>
          <w:tcPr>
            <w:tcW w:w="11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11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1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Dollar Value) of</w:t>
            </w:r>
          </w:p>
        </w:tc>
      </w:tr>
      <w:tr>
        <w:trPr>
          <w:trHeight w:val="216"/>
        </w:trPr>
        <w:tc>
          <w:tcPr>
            <w:tcW w:w="11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Shares (or</w:t>
            </w:r>
          </w:p>
        </w:tc>
      </w:tr>
      <w:tr>
        <w:trPr>
          <w:trHeight w:val="216"/>
        </w:trPr>
        <w:tc>
          <w:tcPr>
            <w:tcW w:w="11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the May</w:t>
            </w:r>
          </w:p>
        </w:tc>
      </w:tr>
      <w:tr>
        <w:trPr>
          <w:trHeight w:val="216"/>
        </w:trPr>
        <w:tc>
          <w:tcPr>
            <w:tcW w:w="11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Yet Be</w:t>
            </w:r>
          </w:p>
        </w:tc>
      </w:tr>
      <w:tr>
        <w:trPr>
          <w:trHeight w:val="216"/>
        </w:trPr>
        <w:tc>
          <w:tcPr>
            <w:tcW w:w="11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(b) Average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11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Paid Per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00" w:type="dxa"/>
            <w:vAlign w:val="bottom"/>
          </w:tcPr>
          <w:p>
            <w:pPr>
              <w:spacing w:after="0"/>
              <w:rPr>
                <w:sz w:val="18"/>
                <w:szCs w:val="18"/>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45"/>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2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00" w:type="dxa"/>
            <w:vAlign w:val="bottom"/>
          </w:tcPr>
          <w:p>
            <w:pPr>
              <w:spacing w:after="0"/>
              <w:rPr>
                <w:sz w:val="21"/>
                <w:szCs w:val="21"/>
                <w:color w:val="auto"/>
              </w:rPr>
            </w:pPr>
          </w:p>
        </w:tc>
      </w:tr>
      <w:tr>
        <w:trPr>
          <w:trHeight w:val="216"/>
        </w:trPr>
        <w:tc>
          <w:tcPr>
            <w:tcW w:w="5620" w:type="dxa"/>
            <w:vAlign w:val="bottom"/>
            <w:gridSpan w:val="2"/>
            <w:shd w:val="clear" w:color="auto" w:fill="C0FFFF"/>
          </w:tcPr>
          <w:p>
            <w:pPr>
              <w:ind w:left="180"/>
              <w:spacing w:after="0"/>
              <w:rPr>
                <w:sz w:val="20"/>
                <w:szCs w:val="20"/>
                <w:color w:val="auto"/>
              </w:rPr>
            </w:pPr>
            <w:r>
              <w:rPr>
                <w:rFonts w:ascii="Times New Roman" w:cs="Times New Roman" w:eastAsia="Times New Roman" w:hAnsi="Times New Roman"/>
                <w:sz w:val="18"/>
                <w:szCs w:val="18"/>
                <w:b w:val="1"/>
                <w:bCs w:val="1"/>
                <w:color w:val="auto"/>
              </w:rPr>
              <w:t>Apr. 3, 2011 – Apr. 30, 2011</w:t>
            </w:r>
          </w:p>
        </w:tc>
        <w:tc>
          <w:tcPr>
            <w:tcW w:w="13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3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0FF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8"/>
                <w:szCs w:val="18"/>
                <w:color w:val="auto"/>
              </w:rPr>
              <w:t>21,249,805</w:t>
            </w:r>
          </w:p>
        </w:tc>
      </w:tr>
      <w:tr>
        <w:trPr>
          <w:trHeight w:val="216"/>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May 1, 2011 – May 28, 2011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252,983</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252,800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19,542,996</w:t>
            </w:r>
          </w:p>
        </w:tc>
      </w:tr>
      <w:tr>
        <w:trPr>
          <w:trHeight w:val="223"/>
        </w:trPr>
        <w:tc>
          <w:tcPr>
            <w:tcW w:w="5620" w:type="dxa"/>
            <w:vAlign w:val="bottom"/>
            <w:tcBorders>
              <w:bottom w:val="single" w:sz="8" w:color="C0FFFF"/>
            </w:tcBorders>
            <w:gridSpan w:val="2"/>
            <w:shd w:val="clear" w:color="auto" w:fill="C0FFFF"/>
          </w:tcPr>
          <w:p>
            <w:pPr>
              <w:ind w:left="180"/>
              <w:spacing w:after="0"/>
              <w:rPr>
                <w:sz w:val="20"/>
                <w:szCs w:val="20"/>
                <w:color w:val="auto"/>
              </w:rPr>
            </w:pPr>
            <w:r>
              <w:rPr>
                <w:rFonts w:ascii="Times New Roman" w:cs="Times New Roman" w:eastAsia="Times New Roman" w:hAnsi="Times New Roman"/>
                <w:sz w:val="18"/>
                <w:szCs w:val="18"/>
                <w:b w:val="1"/>
                <w:bCs w:val="1"/>
                <w:color w:val="auto"/>
              </w:rPr>
              <w:t>May 29, 2011 – Jul. 2, 2011</w:t>
            </w:r>
          </w:p>
        </w:tc>
        <w:tc>
          <w:tcPr>
            <w:tcW w:w="126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136,367</w:t>
            </w:r>
          </w:p>
        </w:tc>
        <w:tc>
          <w:tcPr>
            <w:tcW w:w="12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C0FFFF"/>
            </w:tcBorders>
            <w:shd w:val="clear" w:color="auto" w:fill="C0FFFF"/>
          </w:tcPr>
          <w:p>
            <w:pPr>
              <w:spacing w:after="0"/>
              <w:rPr>
                <w:sz w:val="19"/>
                <w:szCs w:val="19"/>
                <w:color w:val="auto"/>
              </w:rPr>
            </w:pPr>
          </w:p>
        </w:tc>
        <w:tc>
          <w:tcPr>
            <w:tcW w:w="14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20" w:type="dxa"/>
            <w:vAlign w:val="bottom"/>
            <w:tcBorders>
              <w:bottom w:val="single" w:sz="8" w:color="C0FFFF"/>
            </w:tcBorders>
            <w:shd w:val="clear" w:color="auto" w:fill="C0FFFF"/>
          </w:tcPr>
          <w:p>
            <w:pPr>
              <w:spacing w:after="0"/>
              <w:rPr>
                <w:sz w:val="19"/>
                <w:szCs w:val="19"/>
                <w:color w:val="auto"/>
              </w:rPr>
            </w:pPr>
          </w:p>
        </w:tc>
        <w:tc>
          <w:tcPr>
            <w:tcW w:w="124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136,208</w:t>
            </w:r>
          </w:p>
        </w:tc>
        <w:tc>
          <w:tcPr>
            <w:tcW w:w="10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8"/>
                <w:szCs w:val="18"/>
                <w:color w:val="auto"/>
              </w:rPr>
              <w:t>18,641,289</w:t>
            </w:r>
          </w:p>
        </w:tc>
        <w:tc>
          <w:tcPr>
            <w:tcW w:w="100" w:type="dxa"/>
            <w:vAlign w:val="bottom"/>
            <w:tcBorders>
              <w:bottom w:val="single" w:sz="8" w:color="C0FFFF"/>
            </w:tcBorders>
            <w:shd w:val="clear" w:color="auto" w:fill="C0FFFF"/>
          </w:tcPr>
          <w:p>
            <w:pPr>
              <w:spacing w:after="0"/>
              <w:rPr>
                <w:sz w:val="19"/>
                <w:szCs w:val="19"/>
                <w:color w:val="auto"/>
              </w:rPr>
            </w:pPr>
          </w:p>
        </w:tc>
      </w:tr>
      <w:tr>
        <w:trPr>
          <w:trHeight w:val="22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389,518</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389,008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18,641,289</w:t>
            </w:r>
          </w:p>
        </w:tc>
      </w:tr>
      <w:tr>
        <w:trPr>
          <w:trHeight w:val="108"/>
        </w:trPr>
        <w:tc>
          <w:tcPr>
            <w:tcW w:w="1180" w:type="dxa"/>
            <w:vAlign w:val="bottom"/>
            <w:tcBorders>
              <w:bottom w:val="single" w:sz="8" w:color="808080"/>
            </w:tcBorders>
          </w:tcPr>
          <w:p>
            <w:pPr>
              <w:spacing w:after="0"/>
              <w:rPr>
                <w:sz w:val="9"/>
                <w:szCs w:val="9"/>
                <w:color w:val="auto"/>
              </w:rPr>
            </w:pPr>
          </w:p>
        </w:tc>
        <w:tc>
          <w:tcPr>
            <w:tcW w:w="4440" w:type="dxa"/>
            <w:vAlign w:val="bottom"/>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90" w:lineRule="exact"/>
        <w:rPr>
          <w:sz w:val="20"/>
          <w:szCs w:val="20"/>
          <w:color w:val="auto"/>
        </w:rPr>
      </w:pPr>
    </w:p>
    <w:p>
      <w:pPr>
        <w:ind w:left="500" w:right="120" w:hanging="492"/>
        <w:spacing w:after="0" w:line="257"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applicable period. Our equity incentive plans provide that the value of shares delivered to us to pay the withheld to cover tax obligations is calculated as the average of the high and low trading price of our common stock on the date the relevant transaction occurs.</w:t>
      </w:r>
    </w:p>
    <w:p>
      <w:pPr>
        <w:spacing w:after="0" w:line="1" w:lineRule="exact"/>
        <w:rPr>
          <w:rFonts w:ascii="Times New Roman" w:cs="Times New Roman" w:eastAsia="Times New Roman" w:hAnsi="Times New Roman"/>
          <w:sz w:val="18"/>
          <w:szCs w:val="18"/>
          <w:color w:val="auto"/>
        </w:rPr>
      </w:pPr>
    </w:p>
    <w:p>
      <w:pPr>
        <w:ind w:left="500" w:right="60" w:hanging="492"/>
        <w:spacing w:after="0" w:line="254"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 2011, we announced the further extension of our $50 million share repurchase program of our outstanding common stock until March 31, 2012. The program was authorized by our board of directors. Purchases may be made in the open market or in privately negotiated transactions, with the level and timing of activity depending on market conditions, applicable regulatory requirements, and other factors. Purchase activity may be increased, decreased or discontinued at any time without notice. Shares purchased under the program are subsequently retired.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1"/>
                <w:szCs w:val="21"/>
                <w:color w:val="auto"/>
              </w:rPr>
            </w:pPr>
          </w:p>
        </w:tc>
        <w:tc>
          <w:tcPr>
            <w:tcW w:w="10200" w:type="dxa"/>
            <w:vAlign w:val="bottom"/>
            <w:tcBorders>
              <w:bottom w:val="single" w:sz="8" w:color="auto"/>
            </w:tcBorders>
          </w:tcPr>
          <w:p>
            <w:pPr>
              <w:ind w:left="46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Agreement and Plan of Merger dated April 3, 2000 between Build-A-Bear Workshop, L.L.C. and the Registrant (incorporated by reference</w:t>
            </w: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from Exhibit 2.1 to our Registration Statement on Form S-1, filed on August 12, 2004, Registration No. 333-118142)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Third Amended and Restated Certificate of Incorporation (incorporated by reference from Exhibit 3.1 of our Current Report on Form 8-K,</w:t>
            </w: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filed on November 11, 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(incorporated by reference from Exhibit 3.4 to our Registration Statement on Form S-1, filed on August 12,</w:t>
            </w: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2004, Registration No. 333-118142)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Specimen Stock Certificate (incorporated by reference from Exhibit 4.1 to Amendment No. 3 to our Registration Statement on Form S-1,</w:t>
            </w: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filed on October 1, 2004, Registration No. 333-118142)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Agreement by and among the Registrant, Catterton Partners IV, L.P., Catterton Partners IV Offshore, L.P. and Catterton</w:t>
            </w:r>
          </w:p>
        </w:tc>
      </w:tr>
      <w:tr>
        <w:trPr>
          <w:trHeight w:val="216"/>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Partners IV Special Purpose, L.P. and the Purchasers named therein dated as of April 3, 2000 (incorporated by reference from Exhibit 4.2 to</w:t>
            </w: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our Registration Statement on Form S-1, filed on August 12, 2004, Registration No. 333-118142)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Agreement by and among the Registrant and the other Purchasers named therein dated as of September 21, 2001</w:t>
            </w:r>
          </w:p>
        </w:tc>
      </w:tr>
      <w:tr>
        <w:trPr>
          <w:trHeight w:val="216"/>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from Exhibit 4.3 to our Registration Statement on Form S-1, filed on August 12, 2004, Registration No. 333-</w:t>
            </w:r>
          </w:p>
        </w:tc>
      </w:tr>
      <w:tr>
        <w:trPr>
          <w:trHeight w:val="234"/>
        </w:trPr>
        <w:tc>
          <w:tcPr>
            <w:tcW w:w="1000" w:type="dxa"/>
            <w:vAlign w:val="bottom"/>
          </w:tcPr>
          <w:p>
            <w:pPr>
              <w:spacing w:after="0"/>
              <w:rPr>
                <w:sz w:val="20"/>
                <w:szCs w:val="20"/>
                <w:color w:val="auto"/>
              </w:rPr>
            </w:pPr>
          </w:p>
        </w:tc>
        <w:tc>
          <w:tcPr>
            <w:tcW w:w="10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118142)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Registration Rights Agreement, dated September 21, 2001 by and among Registrant and certain stockholders named</w:t>
            </w:r>
          </w:p>
        </w:tc>
      </w:tr>
      <w:tr>
        <w:trPr>
          <w:trHeight w:val="216"/>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therein (incorporated by reference from Exhibit 4.5 to our Registration Statement on Form S-1, filed on August 12, 2004, Registration No.</w:t>
            </w:r>
          </w:p>
        </w:tc>
      </w:tr>
      <w:tr>
        <w:trPr>
          <w:trHeight w:val="234"/>
        </w:trPr>
        <w:tc>
          <w:tcPr>
            <w:tcW w:w="1000" w:type="dxa"/>
            <w:vAlign w:val="bottom"/>
          </w:tcPr>
          <w:p>
            <w:pPr>
              <w:spacing w:after="0"/>
              <w:rPr>
                <w:sz w:val="20"/>
                <w:szCs w:val="20"/>
                <w:color w:val="auto"/>
              </w:rPr>
            </w:pPr>
          </w:p>
        </w:tc>
        <w:tc>
          <w:tcPr>
            <w:tcW w:w="10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333-118142)</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Rule 13a-14(a)/15d-14(a) certification (pursuant to Section 302 of the Sarbanes-Oxley Act of 2002, executed by the Chief Executive Bear)</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Rule 13a-14(a)/15d-14(a) certification (pursuant to Section 302 of the Sarbanes-Oxley Act of 2002, executed by the Chief Operations and</w:t>
            </w: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Financial Bear)</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Section 1350 Certification (pursuant to Section 906 of the Sarbanes-Oxley Act of 2002, executed by the Chief Executive Bear)</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Section 1350 Certification (pursuant to Section 906 of the Sarbanes-Oxley Act of 2002, executed by the Chief Operations and Financial</w:t>
            </w: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Bear)</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XBRL Extension Schema</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XBRL Extension Calculation</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XBRL Extension Definition</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XBRL Extension Label</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XBRL Extension Presentation</w:t>
            </w:r>
          </w:p>
        </w:tc>
      </w:tr>
      <w:tr>
        <w:trPr>
          <w:trHeight w:val="581"/>
        </w:trPr>
        <w:tc>
          <w:tcPr>
            <w:tcW w:w="1000" w:type="dxa"/>
            <w:vAlign w:val="bottom"/>
          </w:tcPr>
          <w:p>
            <w:pPr>
              <w:spacing w:after="0"/>
              <w:rPr>
                <w:sz w:val="24"/>
                <w:szCs w:val="24"/>
                <w:color w:val="auto"/>
              </w:rPr>
            </w:pPr>
          </w:p>
        </w:tc>
        <w:tc>
          <w:tcPr>
            <w:tcW w:w="10420" w:type="dxa"/>
            <w:vAlign w:val="bottom"/>
            <w:gridSpan w:val="2"/>
          </w:tcPr>
          <w:p>
            <w:pPr>
              <w:jc w:val="right"/>
              <w:ind w:right="5530"/>
              <w:spacing w:after="0"/>
              <w:rPr>
                <w:sz w:val="20"/>
                <w:szCs w:val="20"/>
                <w:color w:val="auto"/>
              </w:rPr>
            </w:pPr>
            <w:r>
              <w:rPr>
                <w:rFonts w:ascii="Times New Roman" w:cs="Times New Roman" w:eastAsia="Times New Roman" w:hAnsi="Times New Roman"/>
                <w:sz w:val="18"/>
                <w:szCs w:val="18"/>
                <w:color w:val="auto"/>
              </w:rPr>
              <w:t>22</w:t>
            </w:r>
          </w:p>
        </w:tc>
      </w:tr>
      <w:tr>
        <w:trPr>
          <w:trHeight w:val="118"/>
        </w:trPr>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2" w:name="page23"/>
    <w:bookmarkEnd w:id="2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2011</w:t>
      </w:r>
    </w:p>
    <w:p>
      <w:pPr>
        <w:spacing w:after="0" w:line="27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Maxine Clark</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Chairman of the Board and Chief Executive Bear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25298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Tina Klocke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Operations and Financial Bear, Treasurer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240" w:top="482" w:right="4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Maxine Clark, certify that:</w:t>
      </w:r>
    </w:p>
    <w:p>
      <w:pPr>
        <w:spacing w:after="0" w:line="279" w:lineRule="exact"/>
        <w:rPr>
          <w:sz w:val="20"/>
          <w:szCs w:val="20"/>
          <w:color w:val="auto"/>
        </w:rPr>
      </w:pPr>
    </w:p>
    <w:p>
      <w:pPr>
        <w:ind w:left="920" w:hanging="480"/>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79" w:lineRule="exact"/>
        <w:rPr>
          <w:rFonts w:ascii="Times New Roman" w:cs="Times New Roman" w:eastAsia="Times New Roman" w:hAnsi="Times New Roman"/>
          <w:sz w:val="18"/>
          <w:szCs w:val="18"/>
          <w:color w:val="auto"/>
        </w:rPr>
      </w:pPr>
    </w:p>
    <w:p>
      <w:pPr>
        <w:jc w:val="both"/>
        <w:ind w:left="920" w:right="20" w:hanging="480"/>
        <w:spacing w:after="0" w:line="266"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920" w:right="260" w:hanging="480"/>
        <w:spacing w:after="0" w:line="282"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left="920" w:right="20" w:hanging="480"/>
        <w:spacing w:after="0" w:line="266"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0" w:lineRule="exact"/>
        <w:rPr>
          <w:rFonts w:ascii="Times New Roman" w:cs="Times New Roman" w:eastAsia="Times New Roman" w:hAnsi="Times New Roman"/>
          <w:sz w:val="18"/>
          <w:szCs w:val="18"/>
          <w:color w:val="auto"/>
        </w:rPr>
      </w:pPr>
    </w:p>
    <w:p>
      <w:pPr>
        <w:ind w:left="1480" w:right="120" w:hanging="486"/>
        <w:spacing w:after="0" w:line="266" w:lineRule="auto"/>
        <w:tabs>
          <w:tab w:leader="none" w:pos="1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0" w:lineRule="exact"/>
        <w:rPr>
          <w:rFonts w:ascii="Times New Roman" w:cs="Times New Roman" w:eastAsia="Times New Roman" w:hAnsi="Times New Roman"/>
          <w:sz w:val="18"/>
          <w:szCs w:val="18"/>
          <w:color w:val="auto"/>
        </w:rPr>
      </w:pPr>
    </w:p>
    <w:p>
      <w:pPr>
        <w:ind w:left="1480" w:right="40" w:hanging="486"/>
        <w:spacing w:after="0" w:line="266" w:lineRule="auto"/>
        <w:tabs>
          <w:tab w:leader="none" w:pos="1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rFonts w:ascii="Times New Roman" w:cs="Times New Roman" w:eastAsia="Times New Roman" w:hAnsi="Times New Roman"/>
          <w:sz w:val="18"/>
          <w:szCs w:val="18"/>
          <w:color w:val="auto"/>
        </w:rPr>
      </w:pPr>
    </w:p>
    <w:p>
      <w:pPr>
        <w:jc w:val="both"/>
        <w:ind w:left="1480" w:right="220" w:hanging="486"/>
        <w:spacing w:after="0" w:line="313" w:lineRule="auto"/>
        <w:tabs>
          <w:tab w:leader="none" w:pos="148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2" w:lineRule="exact"/>
        <w:rPr>
          <w:rFonts w:ascii="Times New Roman" w:cs="Times New Roman" w:eastAsia="Times New Roman" w:hAnsi="Times New Roman"/>
          <w:sz w:val="17"/>
          <w:szCs w:val="17"/>
          <w:color w:val="auto"/>
        </w:rPr>
      </w:pPr>
    </w:p>
    <w:p>
      <w:pPr>
        <w:ind w:left="1480" w:right="200" w:hanging="486"/>
        <w:spacing w:after="0" w:line="266" w:lineRule="auto"/>
        <w:tabs>
          <w:tab w:leader="none" w:pos="1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rFonts w:ascii="Times New Roman" w:cs="Times New Roman" w:eastAsia="Times New Roman" w:hAnsi="Times New Roman"/>
          <w:sz w:val="18"/>
          <w:szCs w:val="18"/>
          <w:color w:val="auto"/>
        </w:rPr>
      </w:pPr>
    </w:p>
    <w:p>
      <w:pPr>
        <w:ind w:left="920" w:right="180" w:hanging="480"/>
        <w:spacing w:after="0" w:line="313" w:lineRule="auto"/>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rFonts w:ascii="Times New Roman" w:cs="Times New Roman" w:eastAsia="Times New Roman" w:hAnsi="Times New Roman"/>
          <w:sz w:val="17"/>
          <w:szCs w:val="17"/>
          <w:color w:val="auto"/>
        </w:rPr>
      </w:pPr>
    </w:p>
    <w:p>
      <w:pPr>
        <w:ind w:left="1480" w:right="460" w:hanging="486"/>
        <w:spacing w:after="0" w:line="282" w:lineRule="auto"/>
        <w:tabs>
          <w:tab w:leader="none" w:pos="1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1480" w:right="140" w:hanging="486"/>
        <w:spacing w:after="0" w:line="282" w:lineRule="auto"/>
        <w:tabs>
          <w:tab w:leader="none" w:pos="1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17145</wp:posOffset>
            </wp:positionV>
            <wp:extent cx="32588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Maxine Clark</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of the Board and Chief Executive Bear</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2011</w:t>
      </w:r>
    </w:p>
    <w:p>
      <w:pPr>
        <w:sectPr>
          <w:pgSz w:w="11900" w:h="16838" w:orient="portrait"/>
          <w:cols w:equalWidth="0" w:num="1">
            <w:col w:w="11420"/>
          </w:cols>
          <w:pgMar w:left="240" w:top="117"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Tina Klocke, certify that:</w:t>
      </w:r>
    </w:p>
    <w:p>
      <w:pPr>
        <w:spacing w:after="0" w:line="279" w:lineRule="exact"/>
        <w:rPr>
          <w:sz w:val="20"/>
          <w:szCs w:val="20"/>
          <w:color w:val="auto"/>
        </w:rPr>
      </w:pPr>
    </w:p>
    <w:p>
      <w:pPr>
        <w:ind w:left="920" w:hanging="480"/>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79" w:lineRule="exact"/>
        <w:rPr>
          <w:rFonts w:ascii="Times New Roman" w:cs="Times New Roman" w:eastAsia="Times New Roman" w:hAnsi="Times New Roman"/>
          <w:sz w:val="18"/>
          <w:szCs w:val="18"/>
          <w:color w:val="auto"/>
        </w:rPr>
      </w:pPr>
    </w:p>
    <w:p>
      <w:pPr>
        <w:jc w:val="both"/>
        <w:ind w:left="920" w:right="20" w:hanging="480"/>
        <w:spacing w:after="0" w:line="266" w:lineRule="auto"/>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920" w:right="260" w:hanging="480"/>
        <w:spacing w:after="0" w:line="282" w:lineRule="auto"/>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left="920" w:right="20" w:hanging="480"/>
        <w:spacing w:after="0" w:line="266" w:lineRule="auto"/>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0" w:lineRule="exact"/>
        <w:rPr>
          <w:rFonts w:ascii="Times New Roman" w:cs="Times New Roman" w:eastAsia="Times New Roman" w:hAnsi="Times New Roman"/>
          <w:sz w:val="18"/>
          <w:szCs w:val="18"/>
          <w:color w:val="auto"/>
        </w:rPr>
      </w:pPr>
    </w:p>
    <w:p>
      <w:pPr>
        <w:ind w:left="1480" w:right="120" w:hanging="486"/>
        <w:spacing w:after="0" w:line="266" w:lineRule="auto"/>
        <w:tabs>
          <w:tab w:leader="none" w:pos="14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0" w:lineRule="exact"/>
        <w:rPr>
          <w:rFonts w:ascii="Times New Roman" w:cs="Times New Roman" w:eastAsia="Times New Roman" w:hAnsi="Times New Roman"/>
          <w:sz w:val="18"/>
          <w:szCs w:val="18"/>
          <w:color w:val="auto"/>
        </w:rPr>
      </w:pPr>
    </w:p>
    <w:p>
      <w:pPr>
        <w:ind w:left="1480" w:right="40" w:hanging="486"/>
        <w:spacing w:after="0" w:line="266" w:lineRule="auto"/>
        <w:tabs>
          <w:tab w:leader="none" w:pos="14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rFonts w:ascii="Times New Roman" w:cs="Times New Roman" w:eastAsia="Times New Roman" w:hAnsi="Times New Roman"/>
          <w:sz w:val="18"/>
          <w:szCs w:val="18"/>
          <w:color w:val="auto"/>
        </w:rPr>
      </w:pPr>
    </w:p>
    <w:p>
      <w:pPr>
        <w:jc w:val="both"/>
        <w:ind w:left="1480" w:right="220" w:hanging="486"/>
        <w:spacing w:after="0" w:line="313" w:lineRule="auto"/>
        <w:tabs>
          <w:tab w:leader="none" w:pos="14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2" w:lineRule="exact"/>
        <w:rPr>
          <w:rFonts w:ascii="Times New Roman" w:cs="Times New Roman" w:eastAsia="Times New Roman" w:hAnsi="Times New Roman"/>
          <w:sz w:val="17"/>
          <w:szCs w:val="17"/>
          <w:color w:val="auto"/>
        </w:rPr>
      </w:pPr>
    </w:p>
    <w:p>
      <w:pPr>
        <w:ind w:left="1480" w:right="200" w:hanging="486"/>
        <w:spacing w:after="0" w:line="266" w:lineRule="auto"/>
        <w:tabs>
          <w:tab w:leader="none" w:pos="14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rFonts w:ascii="Times New Roman" w:cs="Times New Roman" w:eastAsia="Times New Roman" w:hAnsi="Times New Roman"/>
          <w:sz w:val="18"/>
          <w:szCs w:val="18"/>
          <w:color w:val="auto"/>
        </w:rPr>
      </w:pPr>
    </w:p>
    <w:p>
      <w:pPr>
        <w:ind w:left="920" w:right="180" w:hanging="480"/>
        <w:spacing w:after="0" w:line="313" w:lineRule="auto"/>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rFonts w:ascii="Times New Roman" w:cs="Times New Roman" w:eastAsia="Times New Roman" w:hAnsi="Times New Roman"/>
          <w:sz w:val="17"/>
          <w:szCs w:val="17"/>
          <w:color w:val="auto"/>
        </w:rPr>
      </w:pPr>
    </w:p>
    <w:p>
      <w:pPr>
        <w:ind w:left="1480" w:right="460" w:hanging="486"/>
        <w:spacing w:after="0" w:line="282" w:lineRule="auto"/>
        <w:tabs>
          <w:tab w:leader="none" w:pos="14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1480" w:right="140" w:hanging="486"/>
        <w:spacing w:after="0" w:line="282" w:lineRule="auto"/>
        <w:tabs>
          <w:tab w:leader="none" w:pos="14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17145</wp:posOffset>
            </wp:positionV>
            <wp:extent cx="32588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Tina Klocke</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Operations and Financial Bear, Treasurer and Secretary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2011</w:t>
      </w:r>
    </w:p>
    <w:p>
      <w:pPr>
        <w:sectPr>
          <w:pgSz w:w="11900" w:h="16838" w:orient="portrait"/>
          <w:cols w:equalWidth="0" w:num="1">
            <w:col w:w="11420"/>
          </w:cols>
          <w:pgMar w:left="240" w:top="117"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6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July 2, 2011as filed with the Securities and Exchange Commission on the date hereof (the “Report”), I, Maxine Clark, Chairman of the Board and Chief Executive Bear of the Company, certify, to the best of my knowledge, pursuant to Rule 13a-14(b) and Section 1350 of Chapter 63 of Title 18 of the United States Code, as adopted pursuant to Section 906 of the Sarbanes-Oxley Act of 2002, that:</w:t>
      </w:r>
    </w:p>
    <w:p>
      <w:pPr>
        <w:spacing w:after="0" w:line="234" w:lineRule="exact"/>
        <w:rPr>
          <w:sz w:val="20"/>
          <w:szCs w:val="20"/>
          <w:color w:val="auto"/>
        </w:rPr>
      </w:pPr>
    </w:p>
    <w:p>
      <w:pPr>
        <w:ind w:left="740" w:hanging="246"/>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17145</wp:posOffset>
            </wp:positionV>
            <wp:extent cx="32588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Maxine Clark</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Chairman of the Board and Chief Executive Bear</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Build-A-Bear Workshop, Inc.</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2011</w:t>
      </w:r>
    </w:p>
    <w:p>
      <w:pPr>
        <w:sectPr>
          <w:pgSz w:w="11900" w:h="16838" w:orient="portrait"/>
          <w:cols w:equalWidth="0" w:num="1">
            <w:col w:w="11420"/>
          </w:cols>
          <w:pgMar w:left="240" w:top="117"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6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July 2, 2011as filed with the Securities and Exchange Commission on the date hereof (the “Report”), I, Tina Klocke, Chief Operations and Financial Bear, Treasurer and Secretary of the Company, certify, to the best of my knowledge, pursuant to Rule 13a-14(b) and Section 1350 of Chapter 63 of Title 18 of the United States Code, as adopted pursuant to Section 906 of the Sarbanes-Oxley Act of 2002, that:</w:t>
      </w:r>
    </w:p>
    <w:p>
      <w:pPr>
        <w:spacing w:after="0" w:line="234" w:lineRule="exact"/>
        <w:rPr>
          <w:sz w:val="20"/>
          <w:szCs w:val="20"/>
          <w:color w:val="auto"/>
        </w:rPr>
      </w:pPr>
    </w:p>
    <w:p>
      <w:pPr>
        <w:ind w:left="740" w:hanging="246"/>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17145</wp:posOffset>
            </wp:positionV>
            <wp:extent cx="32588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Tina Klocke</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Chief Operations and Financial Bear, Treasurer and</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Build-A-Bear Workshop, Inc.</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2011</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2019-12-15T03:04:58Z</dcterms:created>
  <dcterms:modified xsi:type="dcterms:W3CDTF">2019-12-15T03:04:58Z</dcterms:modified>
</cp:coreProperties>
</file>