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4400" w:hanging="492"/>
        <w:spacing w:after="0" w:line="250"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500" w:type="dxa"/>
        <w:tblCellMar>
          <w:top w:w="0" w:type="dxa"/>
          <w:left w:w="0" w:type="dxa"/>
          <w:bottom w:w="0" w:type="dxa"/>
          <w:right w:w="0" w:type="dxa"/>
        </w:tblCellMar>
      </w:tblPr>
      <w:tr>
        <w:trPr>
          <w:trHeight w:val="190"/>
        </w:trPr>
        <w:tc>
          <w:tcPr>
            <w:tcW w:w="2360" w:type="dxa"/>
            <w:vAlign w:val="bottom"/>
          </w:tcPr>
          <w:p>
            <w:pPr>
              <w:spacing w:after="0" w:line="189" w:lineRule="exact"/>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Pr>
          <w:p>
            <w:pPr>
              <w:spacing w:after="0"/>
              <w:rPr>
                <w:sz w:val="16"/>
                <w:szCs w:val="16"/>
                <w:color w:val="auto"/>
              </w:rPr>
            </w:pPr>
          </w:p>
        </w:tc>
        <w:tc>
          <w:tcPr>
            <w:tcW w:w="3700" w:type="dxa"/>
            <w:vAlign w:val="bottom"/>
            <w:gridSpan w:val="3"/>
          </w:tcPr>
          <w:p>
            <w:pPr>
              <w:ind w:left="60"/>
              <w:spacing w:after="0" w:line="189" w:lineRule="exact"/>
              <w:rPr>
                <w:sz w:val="20"/>
                <w:szCs w:val="20"/>
                <w:color w:val="auto"/>
              </w:rPr>
            </w:pPr>
            <w:r>
              <w:rPr>
                <w:rFonts w:ascii="Arial" w:cs="Arial" w:eastAsia="Arial" w:hAnsi="Arial"/>
                <w:sz w:val="18"/>
                <w:szCs w:val="18"/>
                <w:b w:val="1"/>
                <w:bCs w:val="1"/>
                <w:color w:val="auto"/>
              </w:rPr>
              <w:t>to</w:t>
            </w:r>
          </w:p>
        </w:tc>
      </w:tr>
      <w:tr>
        <w:trPr>
          <w:trHeight w:val="237"/>
        </w:trPr>
        <w:tc>
          <w:tcPr>
            <w:tcW w:w="23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920" w:type="dxa"/>
            <w:vAlign w:val="bottom"/>
          </w:tcPr>
          <w:p>
            <w:pPr>
              <w:ind w:left="140"/>
              <w:spacing w:after="0"/>
              <w:rPr>
                <w:sz w:val="20"/>
                <w:szCs w:val="20"/>
                <w:color w:val="auto"/>
              </w:rPr>
            </w:pPr>
            <w:r>
              <w:rPr>
                <w:rFonts w:ascii="Arial" w:cs="Arial" w:eastAsia="Arial" w:hAnsi="Arial"/>
                <w:sz w:val="18"/>
                <w:szCs w:val="18"/>
                <w:b w:val="1"/>
                <w:bCs w:val="1"/>
                <w:color w:val="auto"/>
                <w:w w:val="89"/>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68580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73025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880" w:type="dxa"/>
            <w:vAlign w:val="bottom"/>
            <w:gridSpan w:val="5"/>
          </w:tcPr>
          <w:p>
            <w:pPr>
              <w:jc w:val="center"/>
              <w:ind w:right="1160"/>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43-1883836</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5"/>
          </w:tcPr>
          <w:p>
            <w:pPr>
              <w:jc w:val="center"/>
              <w:ind w:right="1180"/>
              <w:spacing w:after="0"/>
              <w:rPr>
                <w:sz w:val="20"/>
                <w:szCs w:val="20"/>
                <w:color w:val="auto"/>
              </w:rPr>
            </w:pPr>
            <w:r>
              <w:rPr>
                <w:rFonts w:ascii="Arial" w:cs="Arial" w:eastAsia="Arial" w:hAnsi="Arial"/>
                <w:sz w:val="18"/>
                <w:szCs w:val="18"/>
                <w:b w:val="1"/>
                <w:bCs w:val="1"/>
                <w:i w:val="1"/>
                <w:iCs w:val="1"/>
                <w:color w:val="auto"/>
                <w:w w:val="88"/>
              </w:rPr>
              <w:t>(State or Other Jurisdiction of Incorporation or Organization)</w:t>
            </w:r>
          </w:p>
        </w:tc>
        <w:tc>
          <w:tcPr>
            <w:tcW w:w="4540" w:type="dxa"/>
            <w:vAlign w:val="bottom"/>
            <w:gridSpan w:val="3"/>
          </w:tcPr>
          <w:p>
            <w:pPr>
              <w:jc w:val="center"/>
              <w:ind w:right="109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c>
          <w:tcPr>
            <w:tcW w:w="0" w:type="dxa"/>
            <w:vAlign w:val="bottom"/>
          </w:tcPr>
          <w:p>
            <w:pPr>
              <w:spacing w:after="0"/>
              <w:rPr>
                <w:sz w:val="1"/>
                <w:szCs w:val="1"/>
                <w:color w:val="auto"/>
              </w:rPr>
            </w:pPr>
          </w:p>
        </w:tc>
      </w:tr>
      <w:tr>
        <w:trPr>
          <w:trHeight w:val="265"/>
        </w:trPr>
        <w:tc>
          <w:tcPr>
            <w:tcW w:w="6880" w:type="dxa"/>
            <w:vAlign w:val="bottom"/>
            <w:gridSpan w:val="5"/>
          </w:tcPr>
          <w:p>
            <w:pPr>
              <w:jc w:val="center"/>
              <w:ind w:right="116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6880" w:type="dxa"/>
            <w:vAlign w:val="bottom"/>
            <w:gridSpan w:val="5"/>
          </w:tcPr>
          <w:p>
            <w:pPr>
              <w:jc w:val="center"/>
              <w:ind w:right="1160"/>
              <w:spacing w:after="0"/>
              <w:rPr>
                <w:sz w:val="20"/>
                <w:szCs w:val="20"/>
                <w:color w:val="auto"/>
              </w:rPr>
            </w:pPr>
            <w:r>
              <w:rPr>
                <w:rFonts w:ascii="Arial" w:cs="Arial" w:eastAsia="Arial" w:hAnsi="Arial"/>
                <w:sz w:val="18"/>
                <w:szCs w:val="18"/>
                <w:b w:val="1"/>
                <w:bCs w:val="1"/>
                <w:color w:val="auto"/>
                <w:w w:val="89"/>
              </w:rPr>
              <w:t>St. Louis, Missouri</w:t>
            </w:r>
          </w:p>
        </w:tc>
        <w:tc>
          <w:tcPr>
            <w:tcW w:w="24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63114</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5"/>
          </w:tcPr>
          <w:p>
            <w:pPr>
              <w:jc w:val="center"/>
              <w:ind w:right="1160"/>
              <w:spacing w:after="0"/>
              <w:rPr>
                <w:sz w:val="20"/>
                <w:szCs w:val="20"/>
                <w:color w:val="auto"/>
              </w:rPr>
            </w:pPr>
            <w:r>
              <w:rPr>
                <w:rFonts w:ascii="Arial" w:cs="Arial" w:eastAsia="Arial" w:hAnsi="Arial"/>
                <w:sz w:val="18"/>
                <w:szCs w:val="18"/>
                <w:b w:val="1"/>
                <w:bCs w:val="1"/>
                <w:i w:val="1"/>
                <w:iCs w:val="1"/>
                <w:color w:val="auto"/>
                <w:w w:val="87"/>
              </w:rPr>
              <w:t>(Address of Principal Executive Offices)</w:t>
            </w:r>
          </w:p>
        </w:tc>
        <w:tc>
          <w:tcPr>
            <w:tcW w:w="2460" w:type="dxa"/>
            <w:vAlign w:val="bottom"/>
            <w:gridSpan w:val="2"/>
          </w:tcPr>
          <w:p>
            <w:pPr>
              <w:jc w:val="center"/>
              <w:ind w:left="810"/>
              <w:spacing w:after="0"/>
              <w:rPr>
                <w:sz w:val="20"/>
                <w:szCs w:val="20"/>
                <w:color w:val="auto"/>
              </w:rPr>
            </w:pPr>
            <w:r>
              <w:rPr>
                <w:rFonts w:ascii="Arial" w:cs="Arial" w:eastAsia="Arial" w:hAnsi="Arial"/>
                <w:sz w:val="18"/>
                <w:szCs w:val="18"/>
                <w:b w:val="1"/>
                <w:bCs w:val="1"/>
                <w:i w:val="1"/>
                <w:iCs w:val="1"/>
                <w:color w:val="auto"/>
                <w:w w:val="89"/>
              </w:rPr>
              <w:t>(Zip Code)</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860" w:type="dxa"/>
            <w:vAlign w:val="bottom"/>
            <w:gridSpan w:val="4"/>
          </w:tcPr>
          <w:p>
            <w:pPr>
              <w:jc w:val="center"/>
              <w:ind w:left="4490"/>
              <w:spacing w:after="0"/>
              <w:rPr>
                <w:sz w:val="20"/>
                <w:szCs w:val="20"/>
                <w:color w:val="auto"/>
              </w:rPr>
            </w:pPr>
            <w:r>
              <w:rPr>
                <w:rFonts w:ascii="Arial" w:cs="Arial" w:eastAsia="Arial" w:hAnsi="Arial"/>
                <w:sz w:val="18"/>
                <w:szCs w:val="18"/>
                <w:b w:val="1"/>
                <w:bCs w:val="1"/>
                <w:color w:val="auto"/>
                <w:w w:val="90"/>
              </w:rPr>
              <w:t>(314) 423-8000</w:t>
            </w: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20" w:type="dxa"/>
            <w:vAlign w:val="bottom"/>
            <w:gridSpan w:val="6"/>
          </w:tcPr>
          <w:p>
            <w:pPr>
              <w:jc w:val="center"/>
              <w:ind w:left="2710"/>
              <w:spacing w:after="0"/>
              <w:rPr>
                <w:sz w:val="20"/>
                <w:szCs w:val="20"/>
                <w:color w:val="auto"/>
              </w:rPr>
            </w:pPr>
            <w:r>
              <w:rPr>
                <w:rFonts w:ascii="Arial" w:cs="Arial" w:eastAsia="Arial" w:hAnsi="Arial"/>
                <w:sz w:val="18"/>
                <w:szCs w:val="18"/>
                <w:b w:val="1"/>
                <w:bCs w:val="1"/>
                <w:i w:val="1"/>
                <w:iCs w:val="1"/>
                <w:color w:val="auto"/>
                <w:w w:val="87"/>
              </w:rPr>
              <w:t>(Registrant’s Telephone Number, Including Area Code)</w:t>
            </w:r>
          </w:p>
        </w:tc>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8620" w:type="dxa"/>
            <w:vAlign w:val="bottom"/>
            <w:gridSpan w:val="6"/>
          </w:tcPr>
          <w:p>
            <w:pPr>
              <w:jc w:val="center"/>
              <w:ind w:left="27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880" w:type="dxa"/>
            <w:vAlign w:val="bottom"/>
            <w:gridSpan w:val="5"/>
          </w:tcPr>
          <w:p>
            <w:pPr>
              <w:jc w:val="center"/>
              <w:ind w:right="1380"/>
              <w:spacing w:after="0"/>
              <w:rPr>
                <w:sz w:val="20"/>
                <w:szCs w:val="20"/>
                <w:color w:val="auto"/>
              </w:rPr>
            </w:pPr>
            <w:r>
              <w:rPr>
                <w:rFonts w:ascii="Arial" w:cs="Arial" w:eastAsia="Arial" w:hAnsi="Arial"/>
                <w:sz w:val="18"/>
                <w:szCs w:val="18"/>
                <w:b w:val="1"/>
                <w:bCs w:val="1"/>
                <w:color w:val="auto"/>
                <w:w w:val="91"/>
              </w:rPr>
              <w:t>Title of Each Class</w:t>
            </w:r>
          </w:p>
        </w:tc>
        <w:tc>
          <w:tcPr>
            <w:tcW w:w="4540" w:type="dxa"/>
            <w:vAlign w:val="bottom"/>
            <w:gridSpan w:val="3"/>
          </w:tcPr>
          <w:p>
            <w:pPr>
              <w:jc w:val="center"/>
              <w:ind w:right="85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34"/>
        </w:trPr>
        <w:tc>
          <w:tcPr>
            <w:tcW w:w="5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4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540" w:type="dxa"/>
            <w:vAlign w:val="bottom"/>
            <w:tcBorders>
              <w:top w:val="single" w:sz="8" w:color="auto"/>
            </w:tcBorders>
            <w:gridSpan w:val="3"/>
          </w:tcPr>
          <w:p>
            <w:pPr>
              <w:jc w:val="center"/>
              <w:ind w:right="850"/>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468"/>
        </w:trPr>
        <w:tc>
          <w:tcPr>
            <w:tcW w:w="8620" w:type="dxa"/>
            <w:vAlign w:val="bottom"/>
            <w:gridSpan w:val="6"/>
          </w:tcPr>
          <w:p>
            <w:pPr>
              <w:jc w:val="center"/>
              <w:ind w:left="273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2300" w:type="dxa"/>
            <w:vAlign w:val="bottom"/>
            <w:tcBorders>
              <w:bottom w:val="single" w:sz="8" w:color="808080"/>
            </w:tcBorders>
            <w:gridSpan w:val="3"/>
          </w:tcPr>
          <w:p>
            <w:pPr>
              <w:spacing w:after="0"/>
              <w:rPr>
                <w:sz w:val="9"/>
                <w:szCs w:val="9"/>
                <w:color w:val="auto"/>
              </w:rPr>
            </w:pPr>
          </w:p>
        </w:tc>
        <w:tc>
          <w:tcPr>
            <w:tcW w:w="1760" w:type="dxa"/>
            <w:vAlign w:val="bottom"/>
            <w:gridSpan w:val="2"/>
          </w:tcPr>
          <w:p>
            <w:pPr>
              <w:spacing w:after="0"/>
              <w:rPr>
                <w:sz w:val="9"/>
                <w:szCs w:val="9"/>
                <w:color w:val="auto"/>
              </w:rPr>
            </w:pPr>
          </w:p>
        </w:tc>
        <w:tc>
          <w:tcPr>
            <w:tcW w:w="72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20" w:type="dxa"/>
            <w:vAlign w:val="bottom"/>
            <w:vMerge w:val="continue"/>
          </w:tcPr>
          <w:p>
            <w:pPr>
              <w:spacing w:after="0"/>
              <w:rPr>
                <w:sz w:val="23"/>
                <w:szCs w:val="23"/>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x No</w:t>
            </w:r>
          </w:p>
        </w:tc>
        <w:tc>
          <w:tcPr>
            <w:tcW w:w="0" w:type="dxa"/>
            <w:vAlign w:val="bottom"/>
          </w:tcPr>
          <w:p>
            <w:pPr>
              <w:spacing w:after="0"/>
              <w:rPr>
                <w:sz w:val="1"/>
                <w:szCs w:val="1"/>
                <w:color w:val="auto"/>
              </w:rPr>
            </w:pPr>
          </w:p>
        </w:tc>
      </w:tr>
      <w:tr>
        <w:trPr>
          <w:trHeight w:val="265"/>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Yes</w:t>
            </w:r>
          </w:p>
        </w:tc>
        <w:tc>
          <w:tcPr>
            <w:tcW w:w="2080" w:type="dxa"/>
            <w:vAlign w:val="bottom"/>
          </w:tcPr>
          <w:p>
            <w:pPr>
              <w:ind w:left="200"/>
              <w:spacing w:after="0"/>
              <w:rPr>
                <w:sz w:val="20"/>
                <w:szCs w:val="20"/>
                <w:color w:val="auto"/>
              </w:rPr>
            </w:pPr>
            <w:r>
              <w:rPr>
                <w:rFonts w:ascii="Arial" w:cs="Arial" w:eastAsia="Arial" w:hAnsi="Arial"/>
                <w:sz w:val="18"/>
                <w:szCs w:val="18"/>
                <w:color w:val="auto"/>
              </w:rPr>
              <w:t>x No</w:t>
            </w:r>
          </w:p>
        </w:tc>
        <w:tc>
          <w:tcPr>
            <w:tcW w:w="0" w:type="dxa"/>
            <w:vAlign w:val="bottom"/>
          </w:tcPr>
          <w:p>
            <w:pPr>
              <w:spacing w:after="0"/>
              <w:rPr>
                <w:sz w:val="1"/>
                <w:szCs w:val="1"/>
                <w:color w:val="auto"/>
              </w:rPr>
            </w:pPr>
          </w:p>
        </w:tc>
      </w:tr>
    </w:tbl>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x</w:t>
      </w:r>
    </w:p>
    <w:p>
      <w:pPr>
        <w:spacing w:after="0" w:line="2" w:lineRule="exact"/>
        <w:rPr>
          <w:sz w:val="24"/>
          <w:szCs w:val="24"/>
          <w:color w:val="auto"/>
        </w:rPr>
      </w:pPr>
    </w:p>
    <w:p>
      <w:pPr>
        <w:jc w:val="both"/>
        <w:ind w:right="20"/>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right="1800" w:firstLine="1794"/>
        <w:spacing w:after="0" w:line="22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x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1" w:lineRule="exact"/>
        <w:rPr>
          <w:sz w:val="24"/>
          <w:szCs w:val="24"/>
          <w:color w:val="auto"/>
        </w:rPr>
      </w:pPr>
    </w:p>
    <w:p>
      <w:pPr>
        <w:spacing w:after="0" w:line="249" w:lineRule="auto"/>
        <w:rPr>
          <w:sz w:val="20"/>
          <w:szCs w:val="20"/>
          <w:color w:val="auto"/>
        </w:rPr>
      </w:pPr>
      <w:r>
        <w:rPr>
          <w:rFonts w:ascii="Arial" w:cs="Arial" w:eastAsia="Arial" w:hAnsi="Arial"/>
          <w:sz w:val="18"/>
          <w:szCs w:val="18"/>
          <w:color w:val="auto"/>
        </w:rPr>
        <w:t>There is no non-voting common equity. The aggregate market value of the common stock held by nonaffiliates (based upon the closing price of $6.33 for the shares on the New York Stock Exchange on July 1, 2011) was $87,573,917 as of July 2, 2011.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As of March 12, 2012, there were 17,394,457 issued and outstanding shares of the registrant’s common stock.</w:t>
      </w:r>
    </w:p>
    <w:p>
      <w:pPr>
        <w:spacing w:after="0" w:line="265"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its May 10, 2012 Annual Meeting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BUILD-A-BEAR WORKSHOP, INC.</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20" w:type="dxa"/>
            <w:vAlign w:val="bottom"/>
          </w:tcPr>
          <w:p>
            <w:pPr>
              <w:jc w:val="center"/>
              <w:ind w:right="190"/>
              <w:spacing w:after="0"/>
              <w:rPr>
                <w:sz w:val="20"/>
                <w:szCs w:val="20"/>
                <w:color w:val="auto"/>
              </w:rPr>
            </w:pPr>
            <w:r>
              <w:rPr>
                <w:rFonts w:ascii="Arial" w:cs="Arial" w:eastAsia="Arial" w:hAnsi="Arial"/>
                <w:sz w:val="18"/>
                <w:szCs w:val="18"/>
                <w:b w:val="1"/>
                <w:bCs w:val="1"/>
                <w:color w:val="auto"/>
              </w:rPr>
              <w:t>INDEX TO FORM 10-K</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Forward-Looking Statements</w:t>
            </w:r>
          </w:p>
        </w:tc>
        <w:tc>
          <w:tcPr>
            <w:tcW w:w="56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jc w:val="center"/>
              <w:ind w:right="190"/>
              <w:spacing w:after="0"/>
              <w:rPr>
                <w:sz w:val="20"/>
                <w:szCs w:val="20"/>
                <w:color w:val="auto"/>
              </w:rPr>
            </w:pPr>
            <w:r>
              <w:rPr>
                <w:rFonts w:ascii="Arial" w:cs="Arial" w:eastAsia="Arial" w:hAnsi="Arial"/>
                <w:sz w:val="18"/>
                <w:szCs w:val="18"/>
                <w:b w:val="1"/>
                <w:bCs w:val="1"/>
                <w:color w:val="auto"/>
              </w:rPr>
              <w:t>Part I</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Business</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1B.</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Unresolved Staff Comments</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80"/>
              <w:spacing w:after="0"/>
              <w:rPr>
                <w:sz w:val="20"/>
                <w:szCs w:val="20"/>
                <w:color w:val="auto"/>
              </w:rPr>
            </w:pPr>
            <w:r>
              <w:rPr>
                <w:rFonts w:ascii="Arial" w:cs="Arial" w:eastAsia="Arial" w:hAnsi="Arial"/>
                <w:sz w:val="18"/>
                <w:szCs w:val="18"/>
                <w:color w:val="auto"/>
              </w:rPr>
              <w:t>Mine Safety Disclosure</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10020" w:type="dxa"/>
            <w:vAlign w:val="bottom"/>
            <w:shd w:val="clear" w:color="auto" w:fill="C0FFFF"/>
          </w:tcPr>
          <w:p>
            <w:pPr>
              <w:jc w:val="center"/>
              <w:ind w:right="170"/>
              <w:spacing w:after="0"/>
              <w:rPr>
                <w:sz w:val="20"/>
                <w:szCs w:val="20"/>
                <w:color w:val="auto"/>
              </w:rPr>
            </w:pPr>
            <w:r>
              <w:rPr>
                <w:rFonts w:ascii="Arial" w:cs="Arial" w:eastAsia="Arial" w:hAnsi="Arial"/>
                <w:sz w:val="18"/>
                <w:szCs w:val="18"/>
                <w:b w:val="1"/>
                <w:bCs w:val="1"/>
                <w:color w:val="auto"/>
              </w:rPr>
              <w:t>Part II</w:t>
            </w:r>
          </w:p>
        </w:tc>
        <w:tc>
          <w:tcPr>
            <w:tcW w:w="56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tcPr>
          <w:p>
            <w:pPr>
              <w:ind w:left="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Selected Financial Data</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1002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7A.</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8.</w:t>
            </w:r>
          </w:p>
        </w:tc>
        <w:tc>
          <w:tcPr>
            <w:tcW w:w="10020" w:type="dxa"/>
            <w:vAlign w:val="bottom"/>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9.</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9A.</w:t>
            </w:r>
          </w:p>
        </w:tc>
        <w:tc>
          <w:tcPr>
            <w:tcW w:w="1002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9B.</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jc w:val="center"/>
              <w:ind w:right="170"/>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10.</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11.</w:t>
            </w:r>
          </w:p>
        </w:tc>
        <w:tc>
          <w:tcPr>
            <w:tcW w:w="10020" w:type="dxa"/>
            <w:vAlign w:val="bottom"/>
          </w:tcPr>
          <w:p>
            <w:pPr>
              <w:ind w:left="8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12.</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13.</w:t>
            </w:r>
          </w:p>
        </w:tc>
        <w:tc>
          <w:tcPr>
            <w:tcW w:w="10020" w:type="dxa"/>
            <w:vAlign w:val="bottom"/>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14.</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20" w:type="dxa"/>
            <w:vAlign w:val="bottom"/>
          </w:tcPr>
          <w:p>
            <w:pPr>
              <w:jc w:val="center"/>
              <w:ind w:right="19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0FFFF"/>
          </w:tcPr>
          <w:p>
            <w:pPr>
              <w:spacing w:after="0"/>
              <w:rPr>
                <w:sz w:val="20"/>
                <w:szCs w:val="20"/>
                <w:color w:val="auto"/>
              </w:rPr>
            </w:pPr>
            <w:r>
              <w:rPr>
                <w:rFonts w:ascii="Arial" w:cs="Arial" w:eastAsia="Arial" w:hAnsi="Arial"/>
                <w:sz w:val="18"/>
                <w:szCs w:val="18"/>
                <w:color w:val="auto"/>
              </w:rPr>
              <w:t>Item 15.</w:t>
            </w:r>
          </w:p>
        </w:tc>
        <w:tc>
          <w:tcPr>
            <w:tcW w:w="10020" w:type="dxa"/>
            <w:vAlign w:val="bottom"/>
            <w:shd w:val="clear" w:color="auto" w:fill="C0FFFF"/>
          </w:tcPr>
          <w:p>
            <w:pPr>
              <w:ind w:left="80"/>
              <w:spacing w:after="0"/>
              <w:rPr>
                <w:sz w:val="20"/>
                <w:szCs w:val="20"/>
                <w:color w:val="auto"/>
              </w:rPr>
            </w:pPr>
            <w:r>
              <w:rPr>
                <w:rFonts w:ascii="Arial" w:cs="Arial" w:eastAsia="Arial" w:hAnsi="Arial"/>
                <w:sz w:val="18"/>
                <w:szCs w:val="18"/>
                <w:color w:val="auto"/>
              </w:rPr>
              <w:t>Exhibits and Financial Statement Schedules</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Exhibit Index</w:t>
            </w: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2"/>
              </w:rPr>
              <w:t>Signatures</w:t>
            </w:r>
          </w:p>
        </w:tc>
        <w:tc>
          <w:tcPr>
            <w:tcW w:w="10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ind w:right="220" w:firstLine="486"/>
        <w:spacing w:after="0" w:line="297" w:lineRule="auto"/>
        <w:rPr>
          <w:sz w:val="20"/>
          <w:szCs w:val="20"/>
          <w:color w:val="auto"/>
        </w:rPr>
      </w:pPr>
      <w:r>
        <w:rPr>
          <w:rFonts w:ascii="Arial" w:cs="Arial" w:eastAsia="Arial" w:hAnsi="Arial"/>
          <w:sz w:val="16"/>
          <w:szCs w:val="16"/>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21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and growth strategies;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closures, relocations and openings;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closures, relocations and openings, and</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franchisees’ anticipated rate of international store openings.</w:t>
      </w:r>
    </w:p>
    <w:p>
      <w:pPr>
        <w:spacing w:after="0" w:line="27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22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204" w:lineRule="exact"/>
        <w:rPr>
          <w:sz w:val="20"/>
          <w:szCs w:val="20"/>
          <w:color w:val="auto"/>
        </w:rPr>
      </w:pPr>
    </w:p>
    <w:p>
      <w:pPr>
        <w:jc w:val="both"/>
        <w:ind w:right="60" w:firstLine="486"/>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40" w:firstLine="486"/>
        <w:spacing w:after="0" w:line="253" w:lineRule="auto"/>
        <w:rPr>
          <w:sz w:val="20"/>
          <w:szCs w:val="20"/>
          <w:color w:val="auto"/>
        </w:rPr>
      </w:pPr>
      <w:r>
        <w:rPr>
          <w:rFonts w:ascii="Arial" w:cs="Arial" w:eastAsia="Arial" w:hAnsi="Arial"/>
          <w:sz w:val="17"/>
          <w:szCs w:val="17"/>
          <w:color w:val="auto"/>
        </w:rPr>
        <w:t>Build-A-Bear Workshop, Inc., a Delaware corporation, was formed in 1997 and is the leading, and only international company providing a “make your own stuffed animal” interactive retail-entertainment experience. As of December 31, 2011, we operated 346 company-owned retail stores in the United States, Canada, the United Kingdom and Ireland, including 288 Build-A-Bear Workshop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stores in the United States and Canada and 58 Build-A-Bear Workshop stores in the United Kingdom and Ireland. In addition, franchisees operated 79 Build-A-Bear Workshop stores in other international locations. Our core concept is based on our guests making, personalizing and customizing their own stuffed animals, and capitalizes on what we believe is the relatively untapped demand for experience-based shopping as well as the widespread appeal of stuffed animals.</w:t>
      </w:r>
    </w:p>
    <w:p>
      <w:pPr>
        <w:spacing w:after="0" w:line="24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offer an extensive and coordinated selection of merchandise, including over 30 different styles of animals to be stuffed and a wide variety of clothing, shoes and accessories for the stuffed animals as well as other brand appropriate toy and accessory items. Our concept appeals to a broad range of age groups and demographics, including children, teens, parents and grandparents. We believe that our stores, which are primarily located in malls, are destination locations and draw guests from a large geographic reach. Our stores average approximately 2,600 square feet in size and have a highly visual and colorful appearance, including custom-designed fixtures featuring teddy bears and other themes relating to the Build-A-Bear Workshop experience.</w:t>
      </w:r>
    </w:p>
    <w:p>
      <w:pPr>
        <w:spacing w:after="0" w:line="212" w:lineRule="exact"/>
        <w:rPr>
          <w:sz w:val="20"/>
          <w:szCs w:val="20"/>
          <w:color w:val="auto"/>
        </w:rPr>
      </w:pPr>
    </w:p>
    <w:p>
      <w:pPr>
        <w:ind w:right="60" w:firstLine="486"/>
        <w:spacing w:after="0" w:line="306" w:lineRule="auto"/>
        <w:rPr>
          <w:sz w:val="20"/>
          <w:szCs w:val="20"/>
          <w:color w:val="auto"/>
        </w:rPr>
      </w:pPr>
      <w:r>
        <w:rPr>
          <w:rFonts w:ascii="Arial" w:cs="Arial" w:eastAsia="Arial" w:hAnsi="Arial"/>
          <w:sz w:val="16"/>
          <w:szCs w:val="16"/>
          <w:color w:val="auto"/>
        </w:rPr>
        <w:t>We also market our products and build our brand awareness and equity in our countries of operation through national multi-media marketing programs that target our core demographic guests, principally children and their parents. The program incorporates consistent messaging across a variety of media, and is designed to increase our brand awareness and store traffic and attract more first-time and repeat guests. In addition, our virtual world Web site, bearville.com</w:t>
      </w:r>
      <w:r>
        <w:rPr>
          <w:rFonts w:ascii="Arial" w:cs="Arial" w:eastAsia="Arial" w:hAnsi="Arial"/>
          <w:sz w:val="22"/>
          <w:szCs w:val="22"/>
          <w:color w:val="auto"/>
          <w:vertAlign w:val="superscript"/>
        </w:rPr>
        <w:t>TM</w:t>
      </w:r>
      <w:r>
        <w:rPr>
          <w:rFonts w:ascii="Arial" w:cs="Arial" w:eastAsia="Arial" w:hAnsi="Arial"/>
          <w:sz w:val="16"/>
          <w:szCs w:val="16"/>
          <w:color w:val="auto"/>
        </w:rPr>
        <w:t>, promotes brand connection and in-store products and events with branded games, activities and social connectivity features.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opening our first store in St. Louis, Missouri in October 1997, we have sold over 100 million stuffed animals.</w:t>
      </w:r>
    </w:p>
    <w:p>
      <w:pPr>
        <w:spacing w:after="0" w:line="279"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On February 20, 2007, we announced that our board of directors had authorized a $25 million share repurchase program of our outstanding common stock. On March 10, 2008, we announced that the Board of Directors had authorized an increase in our share repurchase program to up to $50 million. On February 23, 2012, we announced that our share repurchase program had been extended to March 31, 2013. As of March 12, 2012, we had $8.7 million of availability under the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Operations</w:t>
      </w:r>
    </w:p>
    <w:p>
      <w:pPr>
        <w:spacing w:after="0" w:line="283" w:lineRule="exact"/>
        <w:rPr>
          <w:sz w:val="20"/>
          <w:szCs w:val="20"/>
          <w:color w:val="auto"/>
        </w:rPr>
      </w:pPr>
    </w:p>
    <w:p>
      <w:pPr>
        <w:ind w:right="40" w:firstLine="486"/>
        <w:spacing w:after="0" w:line="265" w:lineRule="auto"/>
        <w:rPr>
          <w:sz w:val="20"/>
          <w:szCs w:val="20"/>
          <w:color w:val="auto"/>
        </w:rPr>
      </w:pPr>
      <w:r>
        <w:rPr>
          <w:rFonts w:ascii="Arial" w:cs="Arial" w:eastAsia="Arial" w:hAnsi="Arial"/>
          <w:sz w:val="16"/>
          <w:szCs w:val="16"/>
          <w:color w:val="auto"/>
        </w:rPr>
        <w:t>Guests who visit Build-A-Bear Workshop stores enter a teddy bear themed environment consisting of eight stuffed animal making stations: Choose Me, Hear Me, Stuff Me, Stitch Me, Fluff Me, Dress Me, Name Me, and Take Me Home</w:t>
      </w:r>
      <w:r>
        <w:rPr>
          <w:rFonts w:ascii="Arial" w:cs="Arial" w:eastAsia="Arial" w:hAnsi="Arial"/>
          <w:sz w:val="22"/>
          <w:szCs w:val="22"/>
          <w:color w:val="auto"/>
          <w:vertAlign w:val="superscript"/>
        </w:rPr>
        <w:t>®</w:t>
      </w:r>
      <w:r>
        <w:rPr>
          <w:rFonts w:ascii="Arial" w:cs="Arial" w:eastAsia="Arial" w:hAnsi="Arial"/>
          <w:sz w:val="16"/>
          <w:szCs w:val="16"/>
          <w:color w:val="auto"/>
        </w:rPr>
        <w:t>. To attract our target guests, we have designed stores that are open and inviting with an entryway that spans the majority of our storefront and are highly visual with colorful teddy bear themes and displays that create a “theme park” destination in the mall. The duration of a guest’s experience can vary greatly depending on his or her preferences. While most guests choose to participate in the full animal-making process and all eight stations, a process which we believe averages 45 minutes, guests can also visit a Build-A-Bear Workshop store and purchase items such as clothing, accessories, our Bear Buck$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Cub Cash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gift certificates, Bearville Outfitters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game cards or pre-made animals in only a few minutes. We also offer a wide variety of animals and accessories on our e-commerce Web site, buildabear.com</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132" w:lineRule="exact"/>
        <w:rPr>
          <w:sz w:val="20"/>
          <w:szCs w:val="20"/>
          <w:color w:val="auto"/>
        </w:rPr>
      </w:pPr>
    </w:p>
    <w:p>
      <w:pPr>
        <w:ind w:right="60" w:firstLine="486"/>
        <w:spacing w:after="0" w:line="230" w:lineRule="auto"/>
        <w:rPr>
          <w:sz w:val="20"/>
          <w:szCs w:val="20"/>
          <w:color w:val="auto"/>
        </w:rPr>
      </w:pPr>
      <w:r>
        <w:rPr>
          <w:rFonts w:ascii="Arial" w:cs="Arial" w:eastAsia="Arial" w:hAnsi="Arial"/>
          <w:sz w:val="18"/>
          <w:szCs w:val="18"/>
          <w:color w:val="auto"/>
        </w:rPr>
        <w:t>We offer an extensive and coordinated selection of merchandise including approximately 30 to 35 varieties of animals to be stuffed, as well as a wide variety of other clothing and accessory items for the animals. Our clothing is inspired by human fashion and includes authentic details such as functional buttons, working pockets, belt loops and zippers and has child-friendly, easy-to-dress details such as an opening for the stuffed animal’s tail and adjustable closures to help fit any size animal. We enhance the authentic nature of a number of our products with strategic product licensing relationships with brands that are in demand with our guests such as officially sanctioned NFL</w:t>
      </w:r>
      <w:r>
        <w:rPr>
          <w:rFonts w:ascii="Arial" w:cs="Arial" w:eastAsia="Arial" w:hAnsi="Arial"/>
          <w:sz w:val="25"/>
          <w:szCs w:val="25"/>
          <w:color w:val="auto"/>
          <w:vertAlign w:val="superscript"/>
        </w:rPr>
        <w:t>®</w:t>
      </w:r>
      <w:r>
        <w:rPr>
          <w:rFonts w:ascii="Arial" w:cs="Arial" w:eastAsia="Arial" w:hAnsi="Arial"/>
          <w:sz w:val="18"/>
          <w:szCs w:val="18"/>
          <w:color w:val="auto"/>
        </w:rPr>
        <w:t>, NBA</w:t>
      </w:r>
      <w:r>
        <w:rPr>
          <w:rFonts w:ascii="Arial" w:cs="Arial" w:eastAsia="Arial" w:hAnsi="Arial"/>
          <w:sz w:val="25"/>
          <w:szCs w:val="25"/>
          <w:color w:val="auto"/>
          <w:vertAlign w:val="superscript"/>
        </w:rPr>
        <w:t>®</w:t>
      </w:r>
      <w:r>
        <w:rPr>
          <w:rFonts w:ascii="Arial" w:cs="Arial" w:eastAsia="Arial" w:hAnsi="Arial"/>
          <w:sz w:val="18"/>
          <w:szCs w:val="18"/>
          <w:color w:val="auto"/>
        </w:rPr>
        <w:t>, MLB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FIFA™ team apparel, Skechers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shoes and Justice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clothing. We also tap into pop culture that is relevant to our guests by featuring merchandise such as a Victoria Justice bear and accessories and Alvin and the Chipmunks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Smurf</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stuffed characters.</w:t>
      </w:r>
    </w:p>
    <w:p>
      <w:pPr>
        <w:spacing w:after="0" w:line="163" w:lineRule="exact"/>
        <w:rPr>
          <w:sz w:val="20"/>
          <w:szCs w:val="20"/>
          <w:color w:val="auto"/>
        </w:rPr>
      </w:pPr>
    </w:p>
    <w:p>
      <w:pPr>
        <w:jc w:val="both"/>
        <w:ind w:right="420" w:firstLine="486"/>
        <w:spacing w:after="0" w:line="226" w:lineRule="auto"/>
        <w:rPr>
          <w:sz w:val="20"/>
          <w:szCs w:val="20"/>
          <w:color w:val="auto"/>
        </w:rPr>
      </w:pPr>
      <w:r>
        <w:rPr>
          <w:rFonts w:ascii="Arial" w:cs="Arial" w:eastAsia="Arial" w:hAnsi="Arial"/>
          <w:sz w:val="18"/>
          <w:szCs w:val="18"/>
          <w:color w:val="auto"/>
        </w:rPr>
        <w:t>While our concept is a unique combination of experience and product, we selectively promote seasonal products with special offers and discounts intended to maximize sales at peak traffic periods in the year. We also offer frequent shopper discounts associated with our Stuff Fur Stuff</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club loyalty program and strategically use coupons and gift-with-purchase promotions to drive traffic to our stores.</w:t>
      </w:r>
    </w:p>
    <w:p>
      <w:pPr>
        <w:spacing w:after="0" w:line="25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a retailer whose signature product is a stuffed animal that is typically purchased as a toy or gift, our sales are highest in our fourth quarter which ends on the Saturday nearest December 31 each year, followed by the first quarter. The timing of holidays and school vacations can impact our quarterly results. Our European-based stores have historically been more heavily weighted in the fourth quarter as compared to our North American stores. We cannot ensure that this will continue to be the case.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Growth Strategy</w:t>
      </w:r>
    </w:p>
    <w:p>
      <w:pPr>
        <w:spacing w:after="0" w:line="283"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growth strategy is to improve the productivity of our company-owned store base and to expand the reach of the Build-A-Bear Workshop brand internationally.</w:t>
      </w:r>
    </w:p>
    <w:p>
      <w:pPr>
        <w:spacing w:after="0" w:line="224"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concept is a unique combination of experience and product, both of which are keys to our growth. In terms of product innovation, we believe that the focus on larger, limited edition animal introductions that launch approximately once a month creates a sense of urgency to shop and drives traffic to our stores, increases conversion and improves sales. We plan to further increase conversion and average transaction value by offering additional toy products and other branded products that are in demand with our core demographics yet consistent with our brand attributes of creativity and imaginative play. We will use our national multi-media marketing programs to increase store traffic by promoting our interactive experience and seasonal product launches and to increase shopping frequency with guests that are members in our loyalty program. We believe our signature store experience is a competitive advantage and the full integration of product, marketing and operations enhances our guests’ brand interaction. We will continue to grow online engagement at bearville.com, as well as grow our e-commerce business. We also plan to drive sales increases related to gift-giving occasions, such as birthdays and Christmas, by promoting our products and gift cards.</w:t>
      </w:r>
    </w:p>
    <w:p>
      <w:pPr>
        <w:spacing w:after="0" w:line="236"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expect to build the appeal of our stores and improve our store productivity and profitability by closing select stores, relocating and downsizing other stores and remodeling and opening select stores in a new design. We believe that we can optimize stores in multi-store markets with fewer locations that have higher sales volumes. In fiscal 2012, we plan to close 15 to 20 stores in accordance with natural lease events such as expirations and lease termination options, primarily in multi-store markets, transferring a percentage of sales to other stores in the same markets. We also expect to relocate and downsize ten to fifteen stores within existing malls which we anticipate will lead to higher productivity metrics in these locations. We expect to open four to six new stores in North America and Europe, compared to opening three new stores in 2011 in North America and five new stores in 2011 in Europe. In 2012, we also plan to introduce a new store design which we believe will enhance our store experience and better showcase our products. We expect that a total of approximately five of the new stores and relocations will be in this model. We believe the market potential for Build-A-Bear Workshop stores in North America is approximately 300 to 325 locations and approximately 70 stores in the United Kingdom and Ireland.</w:t>
      </w:r>
    </w:p>
    <w:p>
      <w:pPr>
        <w:spacing w:after="0" w:line="22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at either the landlords’ options or ours. Many of our initial leases have expiration dates in the next 18 to 24 months as well as other more recent leases that have termination or “kick out” options in the same time period. The terms of new leases may have financial increases reflecting current market conditions and if we execute termination rights, we may have expenses and charges associated with those closures.</w:t>
      </w:r>
    </w:p>
    <w:p>
      <w:pPr>
        <w:spacing w:after="0" w:line="247" w:lineRule="exact"/>
        <w:rPr>
          <w:sz w:val="20"/>
          <w:szCs w:val="20"/>
          <w:color w:val="auto"/>
        </w:rPr>
      </w:pPr>
    </w:p>
    <w:p>
      <w:pPr>
        <w:ind w:right="180" w:firstLine="486"/>
        <w:spacing w:after="0" w:line="219" w:lineRule="auto"/>
        <w:rPr>
          <w:sz w:val="20"/>
          <w:szCs w:val="20"/>
          <w:color w:val="auto"/>
        </w:rPr>
      </w:pPr>
      <w:r>
        <w:rPr>
          <w:rFonts w:ascii="Arial" w:cs="Arial" w:eastAsia="Arial" w:hAnsi="Arial"/>
          <w:sz w:val="18"/>
          <w:szCs w:val="18"/>
          <w:color w:val="auto"/>
        </w:rPr>
        <w:t>In addition, we currently operate Build-A-Bear Workshop stores in non-traditional retail locations including six temporary locations, three Major League Baseball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ballparks, one store located in the Saint Louis Zoo, one store at the St. Louis Science Center and one store located in an airport. Build-A-Bear Workshop stores are also operated by third parties under licensing agreements. For example, Landry’s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operates Build-A-Bear Workshop stores within select Rain Forest Café</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T-Rex Café</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locations.</w:t>
      </w:r>
    </w:p>
    <w:p>
      <w:pPr>
        <w:spacing w:after="0" w:line="159"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We believe that there is continued opportunity to grow our Build-A-Bear Workshop concept and brand outside of North America, the United Kingdom and Ireland primarily through franchise agreements. Our goal is to have franchisees that are well capitalized and bring extensive retail and/or real estate experience. As of December 31, 2011, our franchisees operated 79 Build-A-Bear Workshop stores in 14 foreign countries under master franchise agreements on a country-by-country basis. We expect our franchisees to open approximately ten to twelve new stores in fiscal 2012, net of closures, under existing franchise agreements. We believe there is a market potential for approximately 300 international stores outside North America, the United Kingdom and Ireland, which we expect to be primarily operated through new and existing franchise agreements. Although we expect to continue to open international stores primarily through franchise agreements, we may open additional company-owned stores outside of the United States, Canada, Puerto Rico, the United Kingdom and Ireland, as our international plans adjust to meet a variety of market conditions in additional countries.</w:t>
      </w:r>
    </w:p>
    <w:p>
      <w:pPr>
        <w:spacing w:after="0" w:line="22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believe there are also growth opportunities to sell Build-A-Bear Workshop products in other retail stores. Over the past 15 years, we have established our store as a place where children can have a hands-on experience, express their creativity and use their imagination. We believe our brand is one that parents value and trust and kids love. We believe that our expertise in product development and the reputation and quality of our brand will drive sales of plush and other branded products in locations other than our own stores. We expect to be able to leverage our extensive guest database to market new products and build demand for them.</w:t>
      </w:r>
    </w:p>
    <w:p>
      <w:pPr>
        <w:spacing w:after="0" w:line="242" w:lineRule="exact"/>
        <w:rPr>
          <w:sz w:val="20"/>
          <w:szCs w:val="20"/>
          <w:color w:val="auto"/>
        </w:rPr>
      </w:pPr>
    </w:p>
    <w:p>
      <w:pPr>
        <w:ind w:right="200" w:firstLine="486"/>
        <w:spacing w:after="0" w:line="245" w:lineRule="auto"/>
        <w:rPr>
          <w:sz w:val="20"/>
          <w:szCs w:val="20"/>
          <w:color w:val="auto"/>
        </w:rPr>
      </w:pPr>
      <w:r>
        <w:rPr>
          <w:rFonts w:ascii="Arial" w:cs="Arial" w:eastAsia="Arial" w:hAnsi="Arial"/>
          <w:sz w:val="17"/>
          <w:szCs w:val="17"/>
          <w:color w:val="auto"/>
        </w:rPr>
        <w:t>In fiscal 2003, we began testing in certain markets a proprietary collection of Friends 2B Made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make-your-own dolls and related products. In the fiscal 2008 third quarter, we announced plans to close the Friends 2B Made concept. The closure plan affected our nine Friends 2B Made store locations, Friends 2B Made fixtures within approximately 50 Build-A-Bear Workshop stores, and the concept’s Web site. All Friends 2B Made locations were closed by the end of fiscal 2009. Eight of these locations were in or adjacent to a Build-A-Bear Workshop store.</w:t>
      </w:r>
    </w:p>
    <w:p>
      <w:pPr>
        <w:spacing w:after="0" w:line="254" w:lineRule="exact"/>
        <w:rPr>
          <w:sz w:val="20"/>
          <w:szCs w:val="20"/>
          <w:color w:val="auto"/>
        </w:rPr>
      </w:pPr>
    </w:p>
    <w:p>
      <w:pPr>
        <w:ind w:right="160" w:firstLine="486"/>
        <w:spacing w:after="0" w:line="250" w:lineRule="auto"/>
        <w:rPr>
          <w:sz w:val="20"/>
          <w:szCs w:val="20"/>
          <w:color w:val="auto"/>
        </w:rPr>
      </w:pPr>
      <w:r>
        <w:rPr>
          <w:rFonts w:ascii="Arial" w:cs="Arial" w:eastAsia="Arial" w:hAnsi="Arial"/>
          <w:sz w:val="17"/>
          <w:szCs w:val="17"/>
          <w:color w:val="auto"/>
        </w:rPr>
        <w:t>We hold a minority interest in Ridemakerz, LLC (previously Retail Entertainment Concepts, LLC). Ridemakerz</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offers a wholesale toy product line and operates interactive retail stores, primarily in selected tourist locations, that allow guests, or customizers, to build and personalize their own model cars. The concept capitalizes on the universal love of cars and a widely popular car culture that crosses ages and demographics, although the primary targets are children and their families. In 2009, Ridemakerz undertook a major restructuring of its operations that included significant store closings. As a result, we reduced the book value of our equity method investment and receivable to zero in 2009.</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5" w:name="page6"/>
    <w:bookmarkEnd w:id="5"/>
    <w:p>
      <w:pPr>
        <w:ind w:right="120" w:firstLine="486"/>
        <w:spacing w:after="0" w:line="297" w:lineRule="auto"/>
        <w:rPr>
          <w:sz w:val="20"/>
          <w:szCs w:val="20"/>
          <w:color w:val="auto"/>
        </w:rPr>
      </w:pPr>
      <w:r>
        <w:rPr>
          <w:rFonts w:ascii="Arial" w:cs="Arial" w:eastAsia="Arial" w:hAnsi="Arial"/>
          <w:sz w:val="16"/>
          <w:szCs w:val="16"/>
          <w:color w:val="auto"/>
        </w:rPr>
        <w:t>In 2007, we responded to an emerging trend of kids’ interaction and play in the online space by launching our virtual world, Bearville.com. The website is designed to complement and continue our in-store experience and enhance our core brand values. With customization options, social connectivity features, entertainment exclusives and product story development our Guests have a safe place to play and engage with the brand. By the end of 2011, there have been over 20 million accounts created. This site drives interaction with core demographic segments and creates loyalty with these guests while also encouraging and promoting future store visits. We plan to continue to leverage Bearville.com as a key piece of our digital strategy.</w:t>
      </w:r>
    </w:p>
    <w:p>
      <w:pPr>
        <w:spacing w:after="0" w:line="212" w:lineRule="exact"/>
        <w:rPr>
          <w:sz w:val="20"/>
          <w:szCs w:val="20"/>
          <w:color w:val="auto"/>
        </w:rPr>
      </w:pPr>
    </w:p>
    <w:p>
      <w:pPr>
        <w:ind w:right="100" w:firstLine="486"/>
        <w:spacing w:after="0" w:line="226" w:lineRule="auto"/>
        <w:rPr>
          <w:sz w:val="20"/>
          <w:szCs w:val="20"/>
          <w:color w:val="auto"/>
        </w:rPr>
      </w:pPr>
      <w:r>
        <w:rPr>
          <w:rFonts w:ascii="Arial" w:cs="Arial" w:eastAsia="Arial" w:hAnsi="Arial"/>
          <w:sz w:val="18"/>
          <w:szCs w:val="18"/>
          <w:color w:val="auto"/>
        </w:rPr>
        <w:t>As we continually monitor kid’s play patterns, we have seen an increase in mobile interaction and play. In November 2010, we launched the Build-A-Bear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App for mobile devices; users gain access to mobile-exclusive content and Bearville.com games. To date, there have been over 1 million downloads. In 2012, we plan to continue to update and enhance our mobile App presence.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8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Through our in-house design and product development team, we have developed a coordinated, creative and broad merchandise assortment, including a variety of animals, clothing, shoes and accessories. We believe our merchandise is an integral part of our concept and that the proprietary design of many of the products we offer is a critical element of our success, while the authentic and fashionable nature of our products greatly enhances our brand’s appeal to our guests. Our product development team regularly monitors current fashion and cultural trends in order to create products that are most appealing to our guests, often reflecting similar styling to the clothes our guests wear themselves. We test our products on an ongoing basis to ensure guest demand supports order quantities. Through our focused vendor relationships, we are able to source our merchandise in a manner that is cost-effective, maximizes our speed to market and facilitates rapid reorder of our best-selling items.</w:t>
      </w:r>
    </w:p>
    <w:p>
      <w:pPr>
        <w:spacing w:after="0" w:line="23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stuffed animal skins and clothing are produced from high quality man-made materials or natural fibers such as cotton, and the stuffing is made of a high-grade polyester fiber. We believe all of our products in our stores and online at buildabear.com meet Consumer Product Safety Commission requirements including the Consumer Product Safety Improvement Act (CPSIA) for Children’s Products. We also comply with American Society for Testing and Materials (ASTM), EN71 (European standards) and Canadian specifications for toy safety in all material respects. Our products are tested through independent third-party testing labs for compliance with toy safety standards. We believe we comply with governmental toy safety requirements specific to each country where we have stores. Packaging and labels for each product indicate to our guests the age grading for the product and any special warnings in accordance with guidelines established by the Consumer Product Safety Commission.</w:t>
      </w:r>
    </w:p>
    <w:p>
      <w:pPr>
        <w:spacing w:after="0" w:line="232"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products have earned the Good Housekeeping Seal of Approval. The Good Housekeeping Seal, introduced in 1909, is earned by products that pass Good Housekeeping Institute review and is one of America’s most trusted consumer icons assuring consumers of a quality product. Seal-backed products are covered by Good Housekeeping’s two-year money-back warranty.</w:t>
      </w:r>
    </w:p>
    <w:p>
      <w:pPr>
        <w:spacing w:after="0" w:line="235"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In order to increase store visits and give guests additional reasons for purchasing at our stores, we expect to expand our product assortment and our leadership in the toy industry by offering additional products other than our core plush animals and related items that are consistent with our interactive and hands-on experience, some of which are proprietarily developed and some that come from other toy and accessory companies. We believe the addition of complementary toy and accessory products will allow us to increase our sales and overall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8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believe there is value in the Build-A-Bear Workshop store and brand as a family-friendly destination that provides affordable experiences appealing to a broad range of age groups and demographics. This gives us a competitive advantage and is critical to our business strategy. In 2012, our goal is to continue to build brand recognition through fully integrated marketing programs.</w:t>
      </w:r>
    </w:p>
    <w:p>
      <w:pPr>
        <w:spacing w:after="0" w:line="18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Since February 2004, we have aired nationally televised advertisements in the United States. In the fourth quarter of 2010, for the first time, we expanded our television advertising to the United Kingdom. Television advertising is a key strategy to reach and acquire new guests and gives existing guests a reason to visit one of our stores. In 2012, we plan to refine our advertising strategy to include brand building and experience advertising in addition to featuring new products and seasonal promotions. Our advertising expenditures were $19.3 million (5.0% of net retail sales) in fiscal 2011, $18.5 million (4.8% of net retail sales) in fiscal 2010 and $24.4 million (6.3% of net retail sales) in fiscal 2009, reflecting the continuation and further refinement of marketing initiatives.</w:t>
      </w:r>
    </w:p>
    <w:p>
      <w:pPr>
        <w:spacing w:after="0" w:line="247"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Build-A-Bear Workshop has a community of highly engaged advocates, both adults, primarily Moms, and kids. In 2011, we continued to expand our use of social media to reach and market to these brand advocates. As of March 12, 2012, over 2 million Facebook users have “liked” the Build-A-Bear Workshop brand, we had over 25,000 Twitter followers, over 5.5 million views on You Tube and over 1 million downloads of our Build-A-Bear App. Digital media and social media have allowed us to measure success of products, events, programs and other initiatives so we can refine and replicate the programs that our guests rate highest as well as better understand our guests and listen and learn from them in new ways to improve our product and marketing activities. In 2012, the digital space will continue to be an important component in our marketing efforts. The digital space is constantly changing; therefore we continue to refine our online strategies. Our virtual world Web site, bearville.com, is targeted at kids, primarily ages six to fourteen and continues to be a tool to increase brand engagement, promote our brand and raise awareness of in-store products and events.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 w:name="page7"/>
    <w:bookmarkEnd w:id="6"/>
    <w:p>
      <w:pPr>
        <w:ind w:firstLine="486"/>
        <w:spacing w:after="0" w:line="288" w:lineRule="auto"/>
        <w:rPr>
          <w:sz w:val="20"/>
          <w:szCs w:val="20"/>
          <w:color w:val="auto"/>
        </w:rPr>
      </w:pPr>
      <w:r>
        <w:rPr>
          <w:rFonts w:ascii="Arial" w:cs="Arial" w:eastAsia="Arial" w:hAnsi="Arial"/>
          <w:sz w:val="16"/>
          <w:szCs w:val="16"/>
          <w:color w:val="auto"/>
        </w:rPr>
        <w:t>We also leverage our database of nearly four million active members of our Stuff Fur Stuff club loyalty program in the United States and Canada. The program offers shoppers the opportunity to earn reward certificates based on purchases as well as receive other member only benefits. In 2008, we launched a version of the program in the United Kingdom that did not include reward certificates, but served to gather guest data and maintain contact with our</w:t>
      </w:r>
    </w:p>
    <w:p>
      <w:pPr>
        <w:ind w:right="20"/>
        <w:spacing w:after="0" w:line="253" w:lineRule="auto"/>
        <w:rPr>
          <w:sz w:val="20"/>
          <w:szCs w:val="20"/>
          <w:color w:val="auto"/>
        </w:rPr>
      </w:pPr>
      <w:r>
        <w:rPr>
          <w:rFonts w:ascii="Arial" w:cs="Arial" w:eastAsia="Arial" w:hAnsi="Arial"/>
          <w:sz w:val="18"/>
          <w:szCs w:val="18"/>
          <w:color w:val="auto"/>
        </w:rPr>
        <w:t>guests. In February 2012, we refreshed our Stuff Fur Stuff program in all three countries to increase guest retention metrics. In North America, members will earn rewards sooner and more often, as the threshold for a reward has been lowered from 100 to 50 points. In the United Kingdom, members will now earn points and get rewards as well. The data collected provides insight into the overall purchasing history of members including visit frequency, items purchased and amounts spent on each visit and cumulatively over time. We continue to leverage this information and our database to market products, promotions and store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Strategic Relationships</w:t>
      </w:r>
    </w:p>
    <w:p>
      <w:pPr>
        <w:spacing w:after="0" w:line="28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have developed licensing and strategic relationships with some of the leading retail and cultural organizations in North America and Europe. We believe that our guest base and brand strength make us an attractive partner and our customer research and insight allow us to focus on strategic relationships with other companies. We plan to continue to add partnerships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w:t>
      </w:r>
    </w:p>
    <w:p>
      <w:pPr>
        <w:spacing w:after="0" w:line="188" w:lineRule="exact"/>
        <w:rPr>
          <w:sz w:val="20"/>
          <w:szCs w:val="20"/>
          <w:color w:val="auto"/>
        </w:rPr>
      </w:pPr>
    </w:p>
    <w:p>
      <w:pPr>
        <w:ind w:right="120" w:firstLine="486"/>
        <w:spacing w:after="0" w:line="219" w:lineRule="auto"/>
        <w:rPr>
          <w:sz w:val="20"/>
          <w:szCs w:val="20"/>
          <w:color w:val="auto"/>
        </w:rPr>
      </w:pPr>
      <w:r>
        <w:rPr>
          <w:rFonts w:ascii="Arial" w:cs="Arial" w:eastAsia="Arial" w:hAnsi="Arial"/>
          <w:sz w:val="18"/>
          <w:szCs w:val="18"/>
          <w:i w:val="1"/>
          <w:iCs w:val="1"/>
          <w:color w:val="auto"/>
        </w:rPr>
        <w:t>Product and Merchandise Licensing</w:t>
      </w:r>
      <w:r>
        <w:rPr>
          <w:rFonts w:ascii="Arial" w:cs="Arial" w:eastAsia="Arial" w:hAnsi="Arial"/>
          <w:sz w:val="18"/>
          <w:szCs w:val="18"/>
          <w:color w:val="auto"/>
        </w:rPr>
        <w:t>. We have key strategic relationships with select companies, including Disney</w:t>
      </w:r>
      <w:r>
        <w:rPr>
          <w:rFonts w:ascii="Arial" w:cs="Arial" w:eastAsia="Arial" w:hAnsi="Arial"/>
          <w:sz w:val="25"/>
          <w:szCs w:val="25"/>
          <w:color w:val="auto"/>
          <w:vertAlign w:val="superscript"/>
        </w:rPr>
        <w:t>®</w:t>
      </w:r>
      <w:r>
        <w:rPr>
          <w:rFonts w:ascii="Arial" w:cs="Arial" w:eastAsia="Arial" w:hAnsi="Arial"/>
          <w:sz w:val="18"/>
          <w:szCs w:val="18"/>
          <w:color w:val="auto"/>
        </w:rPr>
        <w:t>, Sanrio</w:t>
      </w:r>
      <w:r>
        <w:rPr>
          <w:rFonts w:ascii="Arial" w:cs="Arial" w:eastAsia="Arial" w:hAnsi="Arial"/>
          <w:sz w:val="25"/>
          <w:szCs w:val="25"/>
          <w:color w:val="auto"/>
          <w:vertAlign w:val="superscript"/>
        </w:rPr>
        <w:t>®</w:t>
      </w:r>
      <w:r>
        <w:rPr>
          <w:rFonts w:ascii="Arial" w:cs="Arial" w:eastAsia="Arial" w:hAnsi="Arial"/>
          <w:sz w:val="18"/>
          <w:szCs w:val="18"/>
          <w:color w:val="auto"/>
        </w:rPr>
        <w:t>, Skechers, Justice stores,</w:t>
      </w:r>
      <w:r>
        <w:rPr>
          <w:rFonts w:ascii="Arial" w:cs="Arial" w:eastAsia="Arial" w:hAnsi="Arial"/>
          <w:sz w:val="18"/>
          <w:szCs w:val="18"/>
          <w:i w:val="1"/>
          <w:iCs w:val="1"/>
          <w:color w:val="auto"/>
        </w:rPr>
        <w:t xml:space="preserve"> </w:t>
      </w:r>
      <w:r>
        <w:rPr>
          <w:rFonts w:ascii="Arial" w:cs="Arial" w:eastAsia="Arial" w:hAnsi="Arial"/>
          <w:sz w:val="18"/>
          <w:szCs w:val="18"/>
          <w:color w:val="auto"/>
        </w:rPr>
        <w:t>Star Wars, MLB, NBA, NFL, the NHL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World Wildlife Fund US and Canada, in which we feature their brands on products sold in our stores. These strategic relationships allow both parties to generate awareness of their brands. We have also offered selected character and media-oriented products including Sanrio’s Hello Kitty, Disney’s Wizards of Waverly Place, Sony, The Smurfs, Warner Brothers, Happy Feet Two, Peanuts Snoopy and Fox’s movie featuring Alvin and the Chipmunks, </w:t>
      </w:r>
      <w:r>
        <w:rPr>
          <w:rFonts w:ascii="Arial" w:cs="Arial" w:eastAsia="Arial" w:hAnsi="Arial"/>
          <w:sz w:val="18"/>
          <w:szCs w:val="18"/>
          <w:i w:val="1"/>
          <w:iCs w:val="1"/>
          <w:color w:val="auto"/>
        </w:rPr>
        <w:t>Chipwrecked</w:t>
      </w:r>
      <w:r>
        <w:rPr>
          <w:rFonts w:ascii="Arial" w:cs="Arial" w:eastAsia="Arial" w:hAnsi="Arial"/>
          <w:sz w:val="18"/>
          <w:szCs w:val="18"/>
          <w:color w:val="auto"/>
        </w:rPr>
        <w:t>.</w:t>
      </w:r>
    </w:p>
    <w:p>
      <w:pPr>
        <w:spacing w:after="0" w:line="205" w:lineRule="exact"/>
        <w:rPr>
          <w:sz w:val="20"/>
          <w:szCs w:val="20"/>
          <w:color w:val="auto"/>
        </w:rPr>
      </w:pPr>
    </w:p>
    <w:p>
      <w:pPr>
        <w:ind w:firstLine="486"/>
        <w:spacing w:after="0" w:line="216" w:lineRule="auto"/>
        <w:rPr>
          <w:sz w:val="20"/>
          <w:szCs w:val="20"/>
          <w:color w:val="auto"/>
        </w:rPr>
      </w:pPr>
      <w:r>
        <w:rPr>
          <w:rFonts w:ascii="Arial" w:cs="Arial" w:eastAsia="Arial" w:hAnsi="Arial"/>
          <w:sz w:val="18"/>
          <w:szCs w:val="18"/>
          <w:i w:val="1"/>
          <w:iCs w:val="1"/>
          <w:color w:val="auto"/>
        </w:rPr>
        <w:t>Promotional Arrangements</w:t>
      </w:r>
      <w:r>
        <w:rPr>
          <w:rFonts w:ascii="Arial" w:cs="Arial" w:eastAsia="Arial" w:hAnsi="Arial"/>
          <w:sz w:val="18"/>
          <w:szCs w:val="18"/>
          <w:color w:val="auto"/>
        </w:rPr>
        <w:t>. We have also developed promotional arrangements with select organizations. Our arrangements with Major League</w:t>
      </w:r>
      <w:r>
        <w:rPr>
          <w:rFonts w:ascii="Arial" w:cs="Arial" w:eastAsia="Arial" w:hAnsi="Arial"/>
          <w:sz w:val="18"/>
          <w:szCs w:val="18"/>
          <w:i w:val="1"/>
          <w:iCs w:val="1"/>
          <w:color w:val="auto"/>
        </w:rPr>
        <w:t xml:space="preserve"> </w:t>
      </w:r>
      <w:r>
        <w:rPr>
          <w:rFonts w:ascii="Arial" w:cs="Arial" w:eastAsia="Arial" w:hAnsi="Arial"/>
          <w:sz w:val="18"/>
          <w:szCs w:val="18"/>
          <w:color w:val="auto"/>
        </w:rPr>
        <w:t>Baseball teams, including the Chicago Cubs</w:t>
      </w:r>
      <w:r>
        <w:rPr>
          <w:rFonts w:ascii="Arial" w:cs="Arial" w:eastAsia="Arial" w:hAnsi="Arial"/>
          <w:sz w:val="25"/>
          <w:szCs w:val="25"/>
          <w:color w:val="auto"/>
          <w:vertAlign w:val="superscript"/>
        </w:rPr>
        <w:t>®</w:t>
      </w:r>
      <w:r>
        <w:rPr>
          <w:rFonts w:ascii="Arial" w:cs="Arial" w:eastAsia="Arial" w:hAnsi="Arial"/>
          <w:sz w:val="18"/>
          <w:szCs w:val="18"/>
          <w:color w:val="auto"/>
        </w:rPr>
        <w:t>, St. Louis Cardinals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Pittsburg Pirates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have featured stuffed animal giveaways at each club’s ballpark on a day in which our brand is highly promoted within the stadium. In 2012, we partnered with McDonald’s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fourth time to feature limited edition, collectible mini Build-A-Bear Workshop animals in Happy Meals</w:t>
      </w:r>
      <w:r>
        <w:rPr>
          <w:rFonts w:ascii="Arial" w:cs="Arial" w:eastAsia="Arial" w:hAnsi="Arial"/>
          <w:sz w:val="25"/>
          <w:szCs w:val="25"/>
          <w:color w:val="auto"/>
          <w:vertAlign w:val="superscript"/>
        </w:rPr>
        <w:t>®</w:t>
      </w:r>
      <w:r>
        <w:rPr>
          <w:rFonts w:ascii="Arial" w:cs="Arial" w:eastAsia="Arial" w:hAnsi="Arial"/>
          <w:sz w:val="18"/>
          <w:szCs w:val="18"/>
          <w:color w:val="auto"/>
        </w:rPr>
        <w:t>. We also have had arrangements featuring product sampling, cross promotions and shared media with companies such as Dairy Queen in North America, Baskin-Robbins in UK, Necco Sweethearts and Quaker Smashbars. We continue to partner with teen celebrity, Victoria Justice, who will be our brand ambassador through July 2012. The arrangement also features Victoria Justice 4 BABW branded merchandise available in our stores.</w:t>
      </w:r>
    </w:p>
    <w:p>
      <w:pPr>
        <w:spacing w:after="0" w:line="207"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i w:val="1"/>
          <w:iCs w:val="1"/>
          <w:color w:val="auto"/>
        </w:rPr>
        <w:t xml:space="preserve">Third Party Licensing. </w:t>
      </w:r>
      <w:r>
        <w:rPr>
          <w:rFonts w:ascii="Arial" w:cs="Arial" w:eastAsia="Arial" w:hAnsi="Arial"/>
          <w:sz w:val="16"/>
          <w:szCs w:val="16"/>
          <w:color w:val="auto"/>
        </w:rPr>
        <w:t>We have continued a series of licensing arrangements with leading manufacturers to develop a collection of lifestyle Build-A-Bear Workshop branded products including children’s furniture, fruit snacks, girls play sets, novelty toys, trading cards, and puzzles. We believe that each of these initiatives has the potential to enhance our brand, raise brand awareness, and drive increased revenues and profitability. We select companies for licensing relationships that we believe are leaders in their respective sectors and that understand and share our strategic vision for offering guests exciting and interactive merchandise. We have policies and practices in place intended to ensure that the products manufactured under the Build-A-Bear Workshop brand adhere to our quality, value and usability standards. We have entered into or maintained licensing arrangements for our branded products with leading manufacturers including Playmates Toys, Pulaski Furniture, ConAgra Foods, Enterplay and The Canadian Group. In addition we have entered into agreements with agencies for international third party licensing: Bulldog Licensing Ltd. for the UK and Wild Pumpkin for Australia. Many of our licensed products include a tie-in with our interactive Web site, bearville.com, and a bounce back offer to use in our stores or online.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Guest Demographics</w:t>
      </w:r>
    </w:p>
    <w:p>
      <w:pPr>
        <w:spacing w:after="0" w:line="283"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While Build-A-Bear Workshop offers consumers an interactive and personalized experience, our tangible products are stuffed animals, including our flagship product, the teddy bear, a widely adored icon for over 100 years. According to data published by the Toy Industry Association and The NPD Group, sales of the traditional toy market were $21.2 billion in the United States (excluding video games) in 2011 with plush and doll sales having a combined 18.7% share of the traditional toy market. According to further data provided by The NPD Group, worldwide toy sales topped $83.3 billion dollars in 2010.</w:t>
      </w:r>
    </w:p>
    <w:p>
      <w:pPr>
        <w:spacing w:after="0" w:line="20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guests are diverse, spanning broad age ranges and socio-economic categories. Major guest segments include families with children, primarily ages three to twelve, grandparents, aunts and uncles, teen girls who occasionally bring along their boyfriends, and child-centric organizations looking for interactive entertainment options such as scouting organizations and schools. Based on information compiled from our guest database for 2011, the average age of the recipient of our stuffed animals at the time of purchase is nine years old and children aged one to fourteen are the recipients of approximately 80% of our stuffed animals.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According to the estimates by the United States Census Bureau, in 2009 there were over 62 million children age 14 and under in the United</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States. The size of this population group is projected to remain relatively stable over the next decade. Industry sources estimate direct spending by children in the United States at over $50 billion annually and that parents and family members spend an additional $170 billion annually on children. In addition, children influence billions of dollars in other family spending.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Employees and Training</w:t>
      </w:r>
    </w:p>
    <w:p>
      <w:pPr>
        <w:spacing w:after="0" w:line="283"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In January 2012, we were recognized by Fortune magazine for the fourth consecutive year as one of the 100 Best Companies to Work For. We believe that this honor is the result of our commitment to providing a great experience for our diverse team of associates as well as our guests. We have a distinctive culture that we believe encourages contribution and collaboration. We take great pride in our culture and feel it is critical in encouraging creativity, communication, and strong store performance. All store managers receive comprehensive training through our Bear University program, which is designed to promote a friendly and personable environment in our stores and a consistent experience across our stores.</w:t>
      </w:r>
    </w:p>
    <w:p>
      <w:pPr>
        <w:spacing w:after="0" w:line="227"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We extensively train our associates on the bear-building process and the guest experience. In fiscal 2011, we hired approximately 3.5% of applicants for store manager positions. We focus on employing and retaining people who are friendly and committed to guest service. Our high employee retention rates contribute to the consistency and quality of the guest experience. Our store teams are evaluated and compensated not only on sales results but also the results from our regular guest satisfaction surveys. Each store has a recognition fund so that exceptional guest service can be immediately recognized and rewarded. We are committed to providing compensation structures that recognize individual accomplishments as well as overall team success.</w:t>
      </w:r>
    </w:p>
    <w:p>
      <w:pPr>
        <w:spacing w:after="0" w:line="212" w:lineRule="exact"/>
        <w:rPr>
          <w:sz w:val="20"/>
          <w:szCs w:val="20"/>
          <w:color w:val="auto"/>
        </w:rPr>
      </w:pPr>
    </w:p>
    <w:p>
      <w:pPr>
        <w:ind w:right="20" w:firstLine="486"/>
        <w:spacing w:after="0" w:line="272" w:lineRule="auto"/>
        <w:rPr>
          <w:sz w:val="20"/>
          <w:szCs w:val="20"/>
          <w:color w:val="auto"/>
        </w:rPr>
      </w:pPr>
      <w:r>
        <w:rPr>
          <w:rFonts w:ascii="Arial" w:cs="Arial" w:eastAsia="Arial" w:hAnsi="Arial"/>
          <w:sz w:val="16"/>
          <w:szCs w:val="16"/>
          <w:color w:val="auto"/>
        </w:rPr>
        <w:t>As of December 31, 2011, we employed approximately 1,000 full-time and 3,800 part-time employees. We divide our store base into four geographic regions, with the United Kingdom and Ireland representing one of those regions. The regions are lead by our Chief Operations and Financial Bear; our North American operations are led by our Chief Workshop Bear – North America and there are three Regional Workshop Managing Directors. Bearitory Leaders are responsible for each of our 31 store districts, or bearitories, consisting of on average, 11 stores. Historically, our stores generally have had a full-time Chief Workshop Manager, and three additional managers who are full-time or part-time, depending upon the volume at the specific location, in addition to part-time hourly Bear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associates. The number of part-time employees fluctuates depending on our seasonal needs. In addition to the approximately 4,500 employees at our store locations, we employ approximately 200 associates in general administrative functions at our World Bearquarters in St. Louis, Missouri, approximately 70 associates at our Bearhouse distribution center in Groveport, Ohio, and approximately 30 associates in our European Bearquarters in Windsor, England. We are committed to innovation and invention and generally have confidentiality agreements with our employees and</w:t>
      </w:r>
    </w:p>
    <w:p>
      <w:pPr>
        <w:spacing w:after="0" w:line="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consultants. Store managers and Bearquarters associates pass specific profile assessments. None of our employees are represented by a labor union, and we believe our relationship with our employees is good.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Franchises</w:t>
      </w:r>
    </w:p>
    <w:p>
      <w:pPr>
        <w:spacing w:after="0" w:line="283" w:lineRule="exact"/>
        <w:rPr>
          <w:sz w:val="20"/>
          <w:szCs w:val="20"/>
          <w:color w:val="auto"/>
        </w:rPr>
      </w:pPr>
    </w:p>
    <w:p>
      <w:pPr>
        <w:jc w:val="both"/>
        <w:ind w:right="460" w:firstLine="486"/>
        <w:spacing w:after="0" w:line="264" w:lineRule="auto"/>
        <w:rPr>
          <w:sz w:val="20"/>
          <w:szCs w:val="20"/>
          <w:color w:val="auto"/>
        </w:rPr>
      </w:pPr>
      <w:r>
        <w:rPr>
          <w:rFonts w:ascii="Arial" w:cs="Arial" w:eastAsia="Arial" w:hAnsi="Arial"/>
          <w:sz w:val="18"/>
          <w:szCs w:val="18"/>
          <w:color w:val="auto"/>
        </w:rPr>
        <w:t>In 2003, we began to expand Build-A-Bear Workshop stores outside of the United States, opening company-owned stores in Canada and our first franchised location in the United Kingdom. As of December 31, 2011, there were 79 Build-A-Bear Workshop franchised stores located in the following countries: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Germany</w:t>
            </w:r>
          </w:p>
        </w:tc>
        <w:tc>
          <w:tcPr>
            <w:tcW w:w="1360" w:type="dxa"/>
            <w:vAlign w:val="bottom"/>
            <w:shd w:val="clear" w:color="auto" w:fill="C0FFFF"/>
          </w:tcPr>
          <w:p>
            <w:pPr>
              <w:jc w:val="center"/>
              <w:ind w:left="10"/>
              <w:spacing w:after="0"/>
              <w:rPr>
                <w:sz w:val="20"/>
                <w:szCs w:val="20"/>
                <w:color w:val="auto"/>
              </w:rPr>
            </w:pPr>
            <w:r>
              <w:rPr>
                <w:rFonts w:ascii="Arial" w:cs="Arial" w:eastAsia="Arial" w:hAnsi="Arial"/>
                <w:sz w:val="18"/>
                <w:szCs w:val="18"/>
                <w:color w:val="auto"/>
                <w:w w:val="89"/>
              </w:rPr>
              <w:t>17</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Japan</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Australia</w:t>
            </w:r>
          </w:p>
        </w:tc>
        <w:tc>
          <w:tcPr>
            <w:tcW w:w="1360" w:type="dxa"/>
            <w:vAlign w:val="bottom"/>
            <w:shd w:val="clear" w:color="auto" w:fill="C0FFFF"/>
          </w:tcPr>
          <w:p>
            <w:pPr>
              <w:jc w:val="center"/>
              <w:ind w:left="10"/>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Denmark</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Mexico</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8</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South Africa</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Thailand</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5</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Singapore</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line="216" w:lineRule="exact"/>
              <w:rPr>
                <w:sz w:val="20"/>
                <w:szCs w:val="20"/>
                <w:color w:val="auto"/>
              </w:rPr>
            </w:pPr>
            <w:r>
              <w:rPr>
                <w:rFonts w:ascii="Arial" w:cs="Arial" w:eastAsia="Arial" w:hAnsi="Arial"/>
                <w:sz w:val="18"/>
                <w:szCs w:val="18"/>
                <w:color w:val="auto"/>
              </w:rPr>
              <w:t xml:space="preserve">Gulf States </w:t>
            </w:r>
            <w:r>
              <w:rPr>
                <w:rFonts w:ascii="Arial" w:cs="Arial" w:eastAsia="Arial" w:hAnsi="Arial"/>
                <w:sz w:val="25"/>
                <w:szCs w:val="25"/>
                <w:color w:val="auto"/>
                <w:vertAlign w:val="superscript"/>
              </w:rPr>
              <w:t>(1)</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Norway</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Brazil</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Sweden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8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0FFFF"/>
          </w:tcPr>
          <w:p>
            <w:pPr>
              <w:jc w:val="center"/>
              <w:ind w:left="10"/>
              <w:spacing w:after="0"/>
              <w:rPr>
                <w:sz w:val="20"/>
                <w:szCs w:val="20"/>
                <w:color w:val="auto"/>
              </w:rPr>
            </w:pPr>
            <w:r>
              <w:rPr>
                <w:rFonts w:ascii="Arial" w:cs="Arial" w:eastAsia="Arial" w:hAnsi="Arial"/>
                <w:sz w:val="18"/>
                <w:szCs w:val="18"/>
                <w:color w:val="auto"/>
                <w:w w:val="89"/>
              </w:rPr>
              <w:t>79</w:t>
            </w:r>
          </w:p>
        </w:tc>
        <w:tc>
          <w:tcPr>
            <w:tcW w:w="8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Gulf States agreement includes Kuwait, Bahrain, Qatar, Oman and the United Arab Emirates.</w:t>
      </w:r>
    </w:p>
    <w:p>
      <w:pPr>
        <w:spacing w:after="0" w:line="27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All stores outside of the U.S., Canada, the United Kingdom and Ireland are currently operated by third party franchisees under separate master franchise agreements covering each territory. Master franchise rights are typically granted to a franchisee for an entire country or group of countries for a specified term. The terms of these master franchise agreements vary by country but typically provide that we receive an initial, one-time development fee and continuing royalties based on a percentage of the franchisees’ stores sales. The terms of these agreements range up to 25 years with a franchisee option to renew for an additional term if certain conditions are met. All franchised stores have similar signage, store layout and merchandise characteristics to our company-owned stores. Our goal is to have well-capitalized franchisees with expertise in retail operations or franchising and real estate in their respective country. We collaborate with our franchisees in the development of their business, marketing and store growth plans. We review all franchisees’ orders for merchandise which are made in the same factories that produce products for our company-owned stores and advise our franchisees concerning their operational and business practices in an effort to ensure they are in compliance with our standards. We expect our current franchisees to open approximately ten to twelve new stores, net of closures, in fiscal 2012.</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Sourcing and Inventory Management</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do not own or operate any manufacturing facilities. Our animal skins, stuffing, clothing and accessories are produced by factories located primarily in China. We purchased approximately 81% of our inventory in fiscal 2011, approximately 73% in fiscal 2010 and approximately 80% in fiscal 2009 from three long standing vendors. After specifying the details and requirements for our products, our vendors contract orders with multiple manufacturing facilities in China that are approved by us in accordance with our quality control and labor standards. We believe that our supplier factories are compliant with the International Council of Toy Industries (ICTI) CARE certification.</w:t>
      </w:r>
    </w:p>
    <w:p>
      <w:pPr>
        <w:spacing w:after="0" w:line="24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CARE (Caring, Awareness, Responsible, Ethical) Process is the ICTI program to promote ethical manufacturing, in the form of fair labor treatment, as well as employee health and safety, in the toy industry supply chain worldwide. The program’s initial focus is in China, where 70 percent of the world’s toy volume is manufactured. In order to obtain this certification, each factory completed a rigorous evaluation performed by an accredited ICTI agent. Our vendors can be used interchangeably as each has a sourcing network for multiple product categories and can expand its factory network as needed. Our relationships with our vendors generally are on a purchase order basis and do not provide a contractual obligation to provide adequate supply or acceptable pricing on a long-term basis.</w:t>
      </w:r>
    </w:p>
    <w:p>
      <w:pPr>
        <w:spacing w:after="0" w:line="24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average time from the beginning of production to arrival of the products into our stores is approximately 90 to 120 days. Our weekly tracking and reporting tools give us the capability to adjust to shifts in demand. Through an ongoing analysis of selling trends, we regularly update our product assortment by increasing quantities of productive styles and eliminating less productive items. Our distribution centers provide further logistical efficiencies for delivering merchandise to our stores.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Logistics</w:t>
      </w:r>
    </w:p>
    <w:p>
      <w:pPr>
        <w:spacing w:after="0" w:line="28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own our 350,000 square-foot distribution center near Columbus, Ohio which serves the majority of our stores in the United States and Canada. We also engage a third-party warehouse in southern California to service our West Coast stores. The contract has a one year term and is renewable. In Europe, we contract with a third-party distribution center in Selby, England under an agreement that ends in December 2014. This agreement contains clauses that allow for termination if certain performance criteria are not met.</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Transportation from the warehouses to the stores is managed by several third-party logistics providers. In the United States, Canada and Europe,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merchandise is shipped by a variety of distribution methods, depending on the store and seasonal inventory demand. Key delivery methods are direct trucks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third-party pool points, ‘LTL’ (less-than truck load) deliveries, and direct parcel deliveries. Shipments from our third-party distribution centers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scheduled throughout the week in order to smooth workflow and stores that are part of the same shipping route are grouped together to reduce freight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costs. All items in our assortment are eligible for distribution, depending on allocation and fulfillment requirements, and we typically distribute merchandise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supplies to each store once a week on a regular schedule, which allows us to consolidate shipments in order to reduce distribution and shipping</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costs. Back-up supplies, such as Cub Condo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carrying cases and stuffing for the animals, are often stored in limited amounts at local pool points.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Information Systems and Technology</w:t>
      </w:r>
    </w:p>
    <w:p>
      <w:pPr>
        <w:spacing w:after="0" w:line="293" w:lineRule="exact"/>
        <w:rPr>
          <w:sz w:val="20"/>
          <w:szCs w:val="20"/>
          <w:color w:val="auto"/>
        </w:rPr>
      </w:pPr>
    </w:p>
    <w:p>
      <w:pPr>
        <w:ind w:right="100" w:firstLine="540"/>
        <w:spacing w:after="0" w:line="317" w:lineRule="auto"/>
        <w:rPr>
          <w:sz w:val="20"/>
          <w:szCs w:val="20"/>
          <w:color w:val="auto"/>
        </w:rPr>
      </w:pPr>
      <w:r>
        <w:rPr>
          <w:rFonts w:ascii="Arial" w:cs="Arial" w:eastAsia="Arial" w:hAnsi="Arial"/>
          <w:sz w:val="19"/>
          <w:szCs w:val="19"/>
          <w:color w:val="auto"/>
        </w:rPr>
        <w:t>Optimizing technology is a key business strategy. We are committed to utilizing and leveraging digital advancements to gain a competitive edge and improve guest experiences. We regularly evaluate strategic information technology initiatives focused on competitive differentiation, support of corporate strategy and reinforcement of our internal support systems. Most recently, we implemented a new e-commerce platform which helps propel our largest store into the future.</w:t>
      </w:r>
    </w:p>
    <w:p>
      <w:pPr>
        <w:spacing w:after="0" w:line="196" w:lineRule="exact"/>
        <w:rPr>
          <w:sz w:val="20"/>
          <w:szCs w:val="20"/>
          <w:color w:val="auto"/>
        </w:rPr>
      </w:pPr>
    </w:p>
    <w:p>
      <w:pPr>
        <w:ind w:right="220" w:firstLine="540"/>
        <w:spacing w:after="0" w:line="312" w:lineRule="auto"/>
        <w:rPr>
          <w:sz w:val="20"/>
          <w:szCs w:val="20"/>
          <w:color w:val="auto"/>
        </w:rPr>
      </w:pPr>
      <w:r>
        <w:rPr>
          <w:rFonts w:ascii="Arial" w:cs="Arial" w:eastAsia="Arial" w:hAnsi="Arial"/>
          <w:sz w:val="19"/>
          <w:szCs w:val="19"/>
          <w:color w:val="auto"/>
        </w:rPr>
        <w:t>Our information and operational systems are best in class and incorporate a broad range of purchased and internally developed technologies; each are built on a foundation of sound business processes, support guest relationships, marketing, financial, retail operations, real estate, merchandising, e-commerce and inventory management processes, and deliver solid business results. Our employees can securely access these systems over a company-wide network. Sales, daily deposit and guest information are automatically collected from the stores’ point-of-sale terminals and kiosks on a near real time basis.</w:t>
      </w:r>
    </w:p>
    <w:p>
      <w:pPr>
        <w:spacing w:after="0" w:line="200" w:lineRule="exact"/>
        <w:rPr>
          <w:sz w:val="20"/>
          <w:szCs w:val="20"/>
          <w:color w:val="auto"/>
        </w:rPr>
      </w:pPr>
    </w:p>
    <w:p>
      <w:pPr>
        <w:ind w:right="200" w:firstLine="540"/>
        <w:spacing w:after="0" w:line="266" w:lineRule="auto"/>
        <w:rPr>
          <w:sz w:val="20"/>
          <w:szCs w:val="20"/>
          <w:color w:val="auto"/>
        </w:rPr>
      </w:pPr>
      <w:r>
        <w:rPr>
          <w:rFonts w:ascii="Arial" w:cs="Arial" w:eastAsia="Arial" w:hAnsi="Arial"/>
          <w:sz w:val="20"/>
          <w:szCs w:val="20"/>
          <w:color w:val="auto"/>
        </w:rPr>
        <w:t>We have developed award-winning, proprietary software including our new Digital Sound Station, party scheduling system and domestic and international versions of our Name Me kiosk, which populates our Find-A-Bear</w:t>
      </w:r>
      <w:r>
        <w:rPr>
          <w:rFonts w:ascii="Arial" w:cs="Arial" w:eastAsia="Arial" w:hAnsi="Arial"/>
          <w:sz w:val="28"/>
          <w:szCs w:val="28"/>
          <w:color w:val="auto"/>
          <w:vertAlign w:val="superscript"/>
        </w:rPr>
        <w:t>®</w:t>
      </w:r>
      <w:r>
        <w:rPr>
          <w:rFonts w:ascii="Arial" w:cs="Arial" w:eastAsia="Arial" w:hAnsi="Arial"/>
          <w:sz w:val="20"/>
          <w:szCs w:val="20"/>
          <w:color w:val="auto"/>
        </w:rPr>
        <w:t xml:space="preserve"> identification system. Data from these systems are used to support key decisions in all areas of our business, including merchandising, allocation and operations. All data captured is secured, Payment Card Industry compliant and protected by a solid disaster recovery plan. Our critical systems are reviewed on a regular basis to evaluate security and disaster recovery.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view the Build-A-Bear Workshop experience as a distinctive combination of entertainment and retail with limited direct competition. Because our signature product is a stuffed animal, we compete with toy retailers, such as Wal-Mart, Toys “R” Us, Target, Kmart and other discount chains. Build-A-Bear Workshop was ranked by Playthings Magazine as the ninth largest toy retailer for retailers with continuing operations, based on 2008 revenues. Since we develop proprietary products, we also compete indirectly with a number of companies that sell stuffed animals in the United States, including, but not limited to, Ty, Fisher Price, Mattel, Ganz, Russ Berrie, Applause, Boyd’s, Hasbro, Commonwealth, Gund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Being a mall-based retailer, we also compete with other mall-based retailers for prime mall locations, including various apparel, footwear and specialty retailers.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0" w:gutter="0" w:footer="0" w:header="0"/>
        </w:sectPr>
      </w:pPr>
    </w:p>
    <w:bookmarkStart w:id="9" w:name="page10"/>
    <w:bookmarkEnd w:id="9"/>
    <w:p>
      <w:pPr>
        <w:ind w:right="520" w:firstLine="486"/>
        <w:spacing w:after="0" w:line="264" w:lineRule="auto"/>
        <w:rPr>
          <w:sz w:val="20"/>
          <w:szCs w:val="20"/>
          <w:color w:val="auto"/>
        </w:rPr>
      </w:pPr>
      <w:r>
        <w:rPr>
          <w:rFonts w:ascii="Arial" w:cs="Arial" w:eastAsia="Arial" w:hAnsi="Arial"/>
          <w:sz w:val="18"/>
          <w:szCs w:val="18"/>
          <w:color w:val="auto"/>
        </w:rPr>
        <w:t>We are aware of several small companies that operate “make your own” teddy bear and stuffed animal stores or kiosks in retail locations, but we believe none of those companies offer the breadth and depth of the Build-A-Bear Workshop experience or operate as a national or international retail company.</w:t>
      </w:r>
    </w:p>
    <w:p>
      <w:pPr>
        <w:spacing w:after="0" w:line="235"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We also believe that there is an emerging trend within children’s play patterns towards mobile internet and online play. According to Emarketer.com, kids aged 8 to 11 reported that they spend between one and two hours online each day. We believe our bearville.com Web site competes with other companies and internet sites that vie for children’s attention in the online space including webkinz.com, clubpenguin.com and neopets.com.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8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As of December 31, 2011, we had obtained over 232 U.S. trademark registrations, including Build-A-Bear Workshop for stuffed animals and accessories for the animals, retail store services and other goods and services, 36 issued U.S. patents with expirations ranging from 2013 through 2020 and over 389 copyright registrations. In addition, we have 12 U.S. trademark applications pending. We have exclusive patent rights from two third parties in association with our BUILD-A-SOUND message device and system. We were granted exclusive licenses to use the device and system covered by the patents in retail stores similar to ours. While we have the right to sublicense the patent, the licensors have agreed not to grant competing license rights to any of our competitors. In the event that we or the licensors have reason to believe that a third party is infringing upon the patents, the licensors are generally required to bear the expenses required to maintain and defend the patents. Our exclusive rights will last until the expiration of the latest patent covered by each agreement, calculated to be 2013 and 2017, respectively, unless the agreements are terminated by either party.</w:t>
      </w:r>
    </w:p>
    <w:p>
      <w:pPr>
        <w:spacing w:after="0" w:line="220"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and the registrations for the intellectual property. We rely on trademark, copyright and other intellectual property law to protect our proprietary rights to the extent available in any relevant jurisdiction. We also depend on trade secret protection through confidentiality and license agreements with our employees, subsidiaries, licensees, licensors and others. We may not have agreements containing adequate protective provisions in every case, and the contractual provisions that are in place may not provide us with adequate protection in all circumstances. Any infringement or misappropriation of our intellectual property rights or breach of our confidentiality or license agreements could result in significant litigation costs, and any failure to adequately protect our proprietary rights could result in our competitors offering similar products, potentially resulting in loss of one or more competitive advantages and decreased revenues. In addition, intellectual property litigation or claims could force us to do one or more of the following: cease selling or using any of our products that incorporate the challenged intellectual property, which would adversely affect our revenue; obtain a license from the holder of the intellectual property right alleged to have been infringed, which license may not be available on reasonable terms, if at all; and redesign or, in the case of trademark claims, rename our products to avoid infringing the intellectual property rights of third parties, which may not be possible and time-consuming if it is possible to do so.</w:t>
      </w:r>
    </w:p>
    <w:p>
      <w:pPr>
        <w:spacing w:after="0" w:line="16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Despite our efforts to protect our intellectual property rights, intellectual property laws afford us only limited protection. A third party could copy or otherwise obtain information from us without authorization. Accordingly, we may not be able to prevent misappropriation of our intellectual property or to deter others from developing similar products or services. Further, monitoring the unauthorized use of our intellectual property is difficult. Litigation has been and may continue to be necessary to enforce our intellectual property rights or to determine the validity and scope of the proprietary rights of others. Litigation of this type could result in substantial costs and diversion of resources, may result in counterclaims or other claims against us and could significantly harm our results of operations. In addition, the laws of some foreign countries do not protect our proprietary rights to the same extent as do the laws of the United States.</w:t>
      </w:r>
    </w:p>
    <w:p>
      <w:pPr>
        <w:spacing w:after="0" w:line="18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also conduct business in foreign countries to the extent our merchandise is manufactured or sold outside the United States and we have opened stores outside the United States either directly or indirectly through franchisees. We filed, obtained or plan to file for registration of marks in foreign countries to the degree necessary to protect these marks, although our efforts may not be successful and there may be restrictions on the use of these marks in some jurisdictions.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8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conduct our operations through three reportable segments consisting of retail, international franchising, and commercial. The retail segment includes the operating activities of company-owned stores in the United States, Canada, the United Kingdom and Ireland, and other retail operations, including our web-store and non-traditional store locations such as tourist venues, temporary locations and ballpark stores. The commercial segment includes our transactions with other business partners, mainly comprised of licensing our intellectual property, including entertainment properties, for third-party use and wholesale product sales. The international franchising segment includes the activities under our franchise agreements with locations in Asia, Australia, Africa, the Middle East, Europe, Mexico and South America.</w:t>
      </w:r>
    </w:p>
    <w:p>
      <w:pPr>
        <w:spacing w:after="0" w:line="24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reportable segments are primarily determined by the types of customers they serve and the types of products and services that they offer. Each reportable segment may operate in many geographic areas. See the financial statements included elsewhere in this Annual Report on Form 10-K for further discussion and financial information related to our segments and the geographic areas in which we operate.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Availability of Information</w:t>
      </w:r>
    </w:p>
    <w:p>
      <w:pPr>
        <w:spacing w:after="0" w:line="28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make certain filings with the SEC, including our Annual Report on Form 10-K, quarterly reports on Form 10-Q, current reports on Form 8-K, and all amendments and exhibits to those reports, available free of charge in the Investor Relations section of our corporate website,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to shareholders, press releases and recent analyst presentations are also available on our website, free of charge, in the Investor Relations section or by writing to the Investor Relations department at World Bearquarters, 1954 Innerbelt Business Center Dr., St. Louis, MO 63114.</w:t>
      </w:r>
    </w:p>
    <w:p>
      <w:pPr>
        <w:spacing w:after="0" w:line="16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8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224"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continued slowdown in the United States, Canadian or European economies or uncertainty as to the economic outlook could reduce discretionary spending or cause a shift in consumer discretionary spending to other products. Any of these factors would likely cause us to delay or slow our expansion plans, result in lower net sales and could also result in excess inventories, which could, in turn, lead to increased merchandise markdowns and related costs associated with higher levels of inventory and adversely affect our liquidity and profitability. For example, the slower economy in the United States and Europe has caused our sales to decline and led us to slow our growth plans.</w:t>
      </w:r>
    </w:p>
    <w:p>
      <w:pPr>
        <w:spacing w:after="0" w:line="2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decrease in the customer traffic generated by the shopping malls in which we are located, which we depend upon to attract guests to our stores, could adversely affect our financial condition and profitability.</w:t>
      </w:r>
    </w:p>
    <w:p>
      <w:pPr>
        <w:spacing w:after="0" w:line="22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While we invest heavily in integrated marketing efforts and believe we are more of a destination location than traditional retailers, we rely to a great extent on customer traffic in the malls in which our stores are located. In order to generate guest traffic, we generally attempt to locate our stores in prominent locations within high traffic shopping malls. We rely on the ability of the malls’ anchor tenants, generally large department stores, and on the continuing popularity of malls as shopping destinations. We cannot control the development of new shopping malls, the addition or loss of anchors and co-tenants, the availability or cost of appropriate locations within existing or new shopping malls or the desirability, safety or success of shopping malls. In addition, customer mall traffic may be reduced due to a loss of consumer confidence because of the economy, terrorism or war. If we are unable to generate sufficient guest traffic, our sales and results of operations will be harmed. A significant decrease in shopping mall traffic could have a material adverse effect on our financial condition and profitability. For example, we have experienced a decline in transactions at comparable locations over the past several years.</w:t>
      </w:r>
    </w:p>
    <w:p>
      <w:pPr>
        <w:spacing w:after="0" w:line="22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are unable to generate interest in and demand for our interactive retail experience, including being able to identify and respond to consumer preferences in a timely manner, our financial condition and profitability could be adversely affected.</w:t>
      </w:r>
    </w:p>
    <w:p>
      <w:pPr>
        <w:spacing w:after="0" w:line="22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believe that our success depends in large part upon our ability to continue to attract guests with our interactive shopping experience and our ability to anticipate, gauge and respond in a timely manner to changing consumer preferences and fashion trends. We cannot assure you that our past success will be sustained or there will continue to be a demand for our “make-your-own stuffed animal” interactive experience, or for our stuffed animals, animal apparel and accessories. A decline in demand for our interactive shopping experience, our animals, animal apparel or accessories, or a misjudgment of consumer preferences or fashion trends, could have a negative impact on our business, financial condition and results of operations. For example, in 2008 we announced plans to close the Friends 2B Made concept. The closure was completed by the end of the fiscal 2009 third quarter with pre-tax charges totaling $3.9 million.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 For example, in 2007, we wrote-off $1.6 million, net of tax, of inventory, including excess Shrek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merchandise.</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could be adversely affected if our marketing and online initiatives are not effective in generating sufficient levels of brand awareness and guest traffic.</w:t>
      </w:r>
    </w:p>
    <w:p>
      <w:pPr>
        <w:spacing w:after="0" w:line="224"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We continue to update and evaluate our marketing initiatives, focusing on brand awareness, new product news, timely promotions and rapidly changing consumer preferences. We may not be able to successfully engage children in our virtual world website, bearville.com, and achieve high enough traffic levels nor be able to leverage the site to drive traffic to our stores. Our future growth and profitability will depend in large part upon the effectiveness and efficiency of our marketing programs and future marketing efforts that we undertake, including our ability to:</w:t>
      </w:r>
    </w:p>
    <w:p>
      <w:pPr>
        <w:spacing w:after="0" w:line="225" w:lineRule="exact"/>
        <w:rPr>
          <w:sz w:val="20"/>
          <w:szCs w:val="20"/>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greater awareness of our brand, interactive shopping experience and products;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expenditures;</w:t>
      </w:r>
    </w:p>
    <w:p>
      <w:pPr>
        <w:spacing w:after="0" w:line="279" w:lineRule="exact"/>
        <w:rPr>
          <w:rFonts w:ascii="Arial" w:cs="Arial" w:eastAsia="Arial" w:hAnsi="Arial"/>
          <w:sz w:val="18"/>
          <w:szCs w:val="18"/>
          <w:color w:val="auto"/>
        </w:rPr>
      </w:pPr>
    </w:p>
    <w:p>
      <w:pPr>
        <w:ind w:left="420" w:right="800" w:hanging="317"/>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in order to maintain acceptable operating margins and return on marketing investment;</w:t>
      </w:r>
    </w:p>
    <w:p>
      <w:pPr>
        <w:spacing w:after="0" w:line="224"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 consumer awareness into actual store visits and product purchases; and</w:t>
      </w:r>
    </w:p>
    <w:p>
      <w:pPr>
        <w:spacing w:after="0" w:line="279" w:lineRule="exact"/>
        <w:rPr>
          <w:rFonts w:ascii="Arial" w:cs="Arial" w:eastAsia="Arial" w:hAnsi="Arial"/>
          <w:sz w:val="18"/>
          <w:szCs w:val="18"/>
          <w:color w:val="auto"/>
        </w:rPr>
      </w:pPr>
    </w:p>
    <w:p>
      <w:pPr>
        <w:ind w:left="420" w:right="260" w:hanging="317"/>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reach a level of engagement on the virtual world Web site with large numbers of unique visitors with frequent visitation that drives visits to our retail stores resulting in purchases.</w:t>
      </w:r>
    </w:p>
    <w:p>
      <w:pPr>
        <w:spacing w:after="0" w:line="17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Our planned marketing expenditures may not result in increased total or comparable store sales or generate sufficient levels of product and brand awareness. We may not be able to manage our marketing expenditures on a cost-effective basis.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increase our comparable store sales trends, our results of operations and financial condition could be adversely affected.</w:t>
      </w:r>
    </w:p>
    <w:p>
      <w:pPr>
        <w:spacing w:after="0" w:line="29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comparable store sales for 2011 declined 2.1% following a 2.0% decline in 2010, a 13.4% decline in fiscal 2009, a 14.0% decline in fiscal 2008 and a 9.9% decline in fiscal 2007. We believe that the decrease in 2011 was primarily attributable to the underperformance of certain licensed movie products in the fourth quarter. We believe that global economic conditions continued to impact our comparable store sales in 2010. We believe that the decrease in fiscal 2009 was primarily attributable to the continued economic recession and dramatic decrease in consumer sentiment and the decline in North American shopping mall traffic. We believe that the decrease in 2008 was primarily attributable to the economic recession and decrease in consumer disposable income, a continued decline in shopping mall customer traffic and changes in media strategies, online entertainment, children’s media consumption and play patterns. We believe that the decrease in 2007 was primarily attributable to a decline in shopping mall customer traffic and consumer spending on discretionary products, changes in media strategies, online entertainment, children’s media consumption and play patterns, competitive plush animal products and lower than expected customer purchases of select licensed movie products introduced in the fiscal 2007 second quarter. We believe the principal factors that will affect comparable store results include the following:</w:t>
      </w:r>
    </w:p>
    <w:p>
      <w:pPr>
        <w:spacing w:after="0" w:line="232" w:lineRule="exact"/>
        <w:rPr>
          <w:sz w:val="20"/>
          <w:szCs w:val="20"/>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appeal of our concept;</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marketing efforts to attract new and repeat guests;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confidence and general economic conditions;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anticipate and to respond, in a timely manner, to consumer trends;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introduction and expansion of our merchandise offerings;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store openings, closures and relocations in existing markets;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mall traffic;</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for product offerings including in the online space;</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a result of these and other factors, we may not be able to generate or achieve comparable stores sales growth in the future. If we are unable to do so, our results of operations could be significantly harmed and we may be required to record significant impairment charges.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572"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b w:val="1"/>
          <w:bCs w:val="1"/>
          <w:i w:val="1"/>
          <w:iCs w:val="1"/>
          <w:color w:val="auto"/>
        </w:rPr>
        <w:t>Our strategy requires us to operate a significant number of stores in the United States, Canada, the United Kingdom and Ireland as well as close, relocate and open store locations in these countries. If we are not able to operate these stores or to effectively manage the overall portfolio of our stores, it could adversely affect our ability to grow and could significantly harm our profitability.</w:t>
      </w:r>
    </w:p>
    <w:p>
      <w:pPr>
        <w:spacing w:after="0" w:line="235"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Our growth will largely depend on our ability to operate our stores successfully in the United States, Canada, the United Kingdom and Ireland and optimizing store productivity and profitability by closing select stores, relocating and downsizing other stores and remodeling and opening select stores in a new design. We opened 25, 50, and 35 stores in fiscal 2008, 2007 and 2006, respectively. Since then we slowed net store growth considerably with one net closure in both 2009 and 2010 and two net openings in 2011, exclusive of temporary locations. We plan to continue this trend in 2012 with fifteen to twenty strategic closures. Our ability to manage our portfolio of stores in future years in desirable locations and operate stores profitably, particularly in multi-store markets, is a key factor in our ability to grow successfully. We cannot assure you as to when or whether desirable locations will become available, the number of Build-A-Bear Workshop stores that we can or will ultimately open, or whether any such new or relocated stores can be profitably operated. We have not always succeeded in identifying desirable locations or in operating our stores successfully in those locations. For example, in 2011 and 2010, we closed five and four locations, respectively, prior to the expiration of their respective leases. Prior to 2010, we had closed four stores since our inception (excluding four stores that we closed in connection with our 2006 acquisition of Amsbra and The Bear Factory). We may decide to close other stores in the future. In addition, our ability to open new stores and manage our portfolio will be limited to some extent by market saturation of our stores. Our ability to open new stores and to manage our growth also depends on our ability to:</w:t>
      </w:r>
    </w:p>
    <w:p>
      <w:pPr>
        <w:spacing w:after="0" w:line="234" w:lineRule="exact"/>
        <w:rPr>
          <w:sz w:val="20"/>
          <w:szCs w:val="20"/>
          <w:color w:val="auto"/>
        </w:rPr>
      </w:pPr>
    </w:p>
    <w:p>
      <w:pPr>
        <w:ind w:left="420" w:hanging="31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279" w:lineRule="exact"/>
        <w:rPr>
          <w:rFonts w:ascii="Arial" w:cs="Arial" w:eastAsia="Arial" w:hAnsi="Arial"/>
          <w:sz w:val="18"/>
          <w:szCs w:val="18"/>
          <w:color w:val="auto"/>
        </w:rPr>
      </w:pPr>
    </w:p>
    <w:p>
      <w:pPr>
        <w:ind w:left="420" w:right="360" w:hanging="317"/>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finance the costs of closing, relocating and opening stores, including, severance and termination fees for store closures and capital expenditures and working capital requirements of the new and relocated stores;</w:t>
      </w:r>
    </w:p>
    <w:p>
      <w:pPr>
        <w:spacing w:after="0" w:line="224" w:lineRule="exact"/>
        <w:rPr>
          <w:rFonts w:ascii="Arial" w:cs="Arial" w:eastAsia="Arial" w:hAnsi="Arial"/>
          <w:sz w:val="18"/>
          <w:szCs w:val="18"/>
          <w:color w:val="auto"/>
        </w:rPr>
      </w:pPr>
    </w:p>
    <w:p>
      <w:pPr>
        <w:ind w:left="420" w:hanging="31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 inventory to meet the needs of new and existing stores on a timely basis;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and retain qualified store personnel;</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cooperative relationships with our landlords; and</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w:t>
      </w:r>
    </w:p>
    <w:p>
      <w:pPr>
        <w:spacing w:after="0" w:line="27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July 2005, we opened our flagship store in New York City. This store is much larger than our typical mall-based stores and as such, we may be unable to generate revenues from this store at a level that justifies keeping the store open. Closing this store could not only have an adverse impact on our profitability, as the costs of opening this store were much larger than those for a typical store, but, as our flagship store, it could also have an adverse impact on the Build-A-Bear Workshop brand and consumer perception of our brand.</w:t>
      </w:r>
    </w:p>
    <w:p>
      <w:pPr>
        <w:spacing w:after="0" w:line="24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Increased demands on our operational, managerial and administrative resources as a result of our store strategy could cause us to operate our business less effectively, which in turn could cause deterioration in our profitability. Additionally, closing multiple stores could have an adverse impact on the Build-A-Bear Workshop brand and consumer perception of our brand.</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224" w:lineRule="exact"/>
        <w:rPr>
          <w:sz w:val="20"/>
          <w:szCs w:val="20"/>
          <w:color w:val="auto"/>
        </w:rPr>
      </w:pPr>
    </w:p>
    <w:p>
      <w:pPr>
        <w:jc w:val="both"/>
        <w:ind w:right="80" w:firstLine="486"/>
        <w:spacing w:after="0" w:line="288" w:lineRule="auto"/>
        <w:rPr>
          <w:sz w:val="20"/>
          <w:szCs w:val="20"/>
          <w:color w:val="auto"/>
        </w:rPr>
      </w:pPr>
      <w:r>
        <w:rPr>
          <w:rFonts w:ascii="Arial" w:cs="Arial" w:eastAsia="Arial" w:hAnsi="Arial"/>
          <w:sz w:val="16"/>
          <w:szCs w:val="16"/>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options or</w:t>
      </w:r>
    </w:p>
    <w:p>
      <w:pPr>
        <w:ind w:right="40"/>
        <w:spacing w:after="0" w:line="265" w:lineRule="auto"/>
        <w:rPr>
          <w:sz w:val="20"/>
          <w:szCs w:val="20"/>
          <w:color w:val="auto"/>
        </w:rPr>
      </w:pPr>
      <w:r>
        <w:rPr>
          <w:rFonts w:ascii="Arial" w:cs="Arial" w:eastAsia="Arial" w:hAnsi="Arial"/>
          <w:sz w:val="16"/>
          <w:szCs w:val="16"/>
          <w:color w:val="auto"/>
        </w:rPr>
        <w:t>ours. Furthermore, some of our leases contain various restrictions relating to change of control of our company. Our leases also subject us to risks relating to compliance with changing mall rules and the exercise of discretion by our landlords on various matters within the malls. In addition, the lease for our store in the Downtown Disney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District at the Disneyland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Resort in Anaheim, California provides that the landlord may terminate the lease at any time, subject to the payment of an early termination fee. As a result, we cannot assure you that the landlord will not exercise its right to terminate this lease.</w:t>
      </w:r>
    </w:p>
    <w:p>
      <w:pPr>
        <w:spacing w:after="0" w:line="23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In addition, most of our leases will expire within the next ten years and many of our initial leases are near completion and do not contain options to renew. We may not be offered a lease renewal by our landlord, may not be able to renew leases under favorable economic terms or maintain our existing store location thereby requiring additional capital expenditure to move the store location within the mall. Those locations may be in parts of the mall that have less traffic or be positioned further from our desired co-tenants and our ongoing sales and profitability results may be negatively affected. The terms of new leases may not be as favorable, increasing store expenses and impacting overall profitability. If we execute termination rights, we may have expenses and charges associated with those closures which could negatively impact our profitability.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 w:name="page14"/>
    <w:bookmarkEnd w:id="13"/>
    <w:p>
      <w:pPr>
        <w:ind w:right="40"/>
        <w:spacing w:after="0" w:line="264" w:lineRule="auto"/>
        <w:rPr>
          <w:sz w:val="20"/>
          <w:szCs w:val="20"/>
          <w:color w:val="auto"/>
        </w:rPr>
      </w:pPr>
      <w:r>
        <w:rPr>
          <w:rFonts w:ascii="Arial" w:cs="Arial" w:eastAsia="Arial" w:hAnsi="Arial"/>
          <w:sz w:val="18"/>
          <w:szCs w:val="18"/>
          <w:b w:val="1"/>
          <w:bCs w:val="1"/>
          <w:i w:val="1"/>
          <w:i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235"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purchase our merchandise from domestic vendors who contract with manufacturers in foreign countries, primarily in China. Any event causing a disruption of imports, including the imposition of import restrictions or labor strikes or lock-outs, could adversely affect our business. For example, in fiscal 2002, we experienced disruption to our import of merchandise as well as increased shipping costs associated with a dock-worker labor dispute.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Trade restrictions in the form of tariffs or quotas, or both, applicable to the products we sell as well as increases in raw material and labor costs could also affect the importation of those products and could increase the cost and reduce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which would impact our revenue and profit in various markets.</w:t>
      </w:r>
    </w:p>
    <w:p>
      <w:pPr>
        <w:spacing w:after="0" w:line="2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be sued if the manufacturers of our merchandise ship any products that do not meet current safety standards or production requirements or if our products are recalled or cause injuries.</w:t>
      </w:r>
    </w:p>
    <w:p>
      <w:pPr>
        <w:spacing w:after="0" w:line="22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Although we require our manufacturers to meet our product specifications and safety standards and submit our products for testing, we cannot control the materials used by our manufacturers. If one of these manufacturers ships merchandise that does not meet our required standards, we could in turn experience negative publicity or be sued.</w:t>
      </w:r>
    </w:p>
    <w:p>
      <w:pPr>
        <w:spacing w:after="0" w:line="23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four products in the past three years due to possible safety issues. While the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w:t>
      </w:r>
    </w:p>
    <w:p>
      <w:pPr>
        <w:spacing w:after="0" w:line="2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22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do not own or operate any manufacturing facilities. We purchased approximately 81% of our merchandise in fiscal 2011, approximately 73% in fiscal 2010 and approximately 80% in fiscal 2009 from three vendors. Our 2010 purchases included a significant purchase of non-proprietary toy products that were incremental to our traditional purchasing. Excluding these purchases, we purchased approximately 80% of our merchandise from three vendors. These vendors in turn contract for our orders with multiple manufacturing facilities located primarily in China for the production of merchandise.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For example in 2011, one factory used by one of our vendors closed unexpectedly, causing us to quickly switch factories for one product, affecting the quality and flow of the product.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adversely affected by high petroleum products prices.</w:t>
      </w:r>
    </w:p>
    <w:p>
      <w:pPr>
        <w:spacing w:after="0" w:line="279"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For example, our results in fiscal 2011, 2008 and 2007 were impacted by significant increases in fuel surcharges due to higher petroleum products prices.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may not be able to operate our European company-owned stores in the United Kingdom and Ireland profitably.</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April 2006, we acquired The Bear Factory Limited, a stuffed animal retailer in the United Kingdom owned by The Hamleys Group Limited,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Amsbra Limited, our former United Kingdom franchisee (the UK Acquisition). Both The Bear Factory and Amsbra had losses in prior to our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acquisition. Although we have realized benefits from these operations as part of our larger company, we may be unable to continue to do so on a consistent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basis. In particular, we face business, regulatory and cultural differences from our domestic business, such as economic conditions, changes in foreign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government policies and regulations and potential restrictions and costs to convert and repatriate currency, as well as other risks that we may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anticipate. We also face difficulties realizing benefits because we have less brand awareness than in the U.S., face higher labor and rent costs, and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different holiday schedules. In 2007, we terminated our French franchise agreement and opened three company-owned stores in France. We were unable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operate the stores in France profitably and in 2010, we closed all three of our company-owned stores in France.</w:t>
      </w:r>
    </w:p>
    <w:p>
      <w:pPr>
        <w:spacing w:after="0" w:line="265"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forecast. For example, past rent reviews have resulted in increases as high as 40% in select locations within the United Kingdom.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2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are not able to franchise new stores outside of the United States, Canada, the United Kingdom and Ireland, if we are unable to effectively manage our international franchises or if the laws relating to our international franchises change, our growth and profitability could be adversely affected and we could be exposed to additional liability.</w:t>
      </w:r>
    </w:p>
    <w:p>
      <w:pPr>
        <w:spacing w:after="0" w:line="235" w:lineRule="exact"/>
        <w:rPr>
          <w:sz w:val="20"/>
          <w:szCs w:val="20"/>
          <w:color w:val="auto"/>
        </w:rPr>
      </w:pPr>
    </w:p>
    <w:p>
      <w:pPr>
        <w:ind w:right="200" w:firstLine="486"/>
        <w:spacing w:after="0" w:line="284" w:lineRule="auto"/>
        <w:rPr>
          <w:sz w:val="20"/>
          <w:szCs w:val="20"/>
          <w:color w:val="auto"/>
        </w:rPr>
      </w:pPr>
      <w:r>
        <w:rPr>
          <w:rFonts w:ascii="Arial" w:cs="Arial" w:eastAsia="Arial" w:hAnsi="Arial"/>
          <w:sz w:val="16"/>
          <w:szCs w:val="16"/>
          <w:color w:val="auto"/>
        </w:rPr>
        <w:t>In 2003, we began to expand the Build-A-Bear Workshop brand outside of the United States, opening company-owned stores in Canada and our first franchised location in the United Kingdom. We have continued to expand outside of our company-owned regions through franchising in a number of countries. As of December 31, 2011, there were 79 Build-A-Bear Workshop franchised stores located outside of the United States, Canada, the United Kingdom and Ireland. We cannot assure you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North American and European markets, which may cause these stores to be less successful than those in our existing</w:t>
      </w:r>
    </w:p>
    <w:p>
      <w:pPr>
        <w:spacing w:after="0" w:line="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markets. Additionally, our franchisees may experience merchandising and distribution expenses and challenges that are different from those we currently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w:t>
      </w:r>
    </w:p>
    <w:p>
      <w:pPr>
        <w:spacing w:after="0" w:line="24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success of our franchising strategy will depend upon our ability to attract and maintain qualified franchisees with sufficient financial resources to develop and grow the franchise operation and upon the ability of those franchisees to successfully develop and operate their franchised stores. Franchisees may not operate stores in a manner consistent with our standards and requirements, may not hire and train qualified managers and other store personnel and may not operate their stores profitably. As a result, our franchising strategy may not be profitable to us. Moreover, our brand image and reputation may suffer. When franchisees perform below expectations we may transfer those agreements to other parties or discontinue the franchise agreement. Furthermore, even if our international franchising strategy is successful, the interests of franchisees might sometimes conflict with our interests. For example, whereas franchisees are concerned with their individual business strategies and objectives, we are responsible for ensuring the success of the Build-A-Bear Workshop brand and all of our stores.</w:t>
      </w:r>
    </w:p>
    <w:p>
      <w:pPr>
        <w:spacing w:after="0" w:line="246"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The laws of the various foreign countries in which our franchisees operate govern our relationships with our franchisees. These laws, and any new laws that may be enacted, may detrimentally affect the rights and obligations between us and our franchisees and could expose us to additional liability.</w:t>
      </w:r>
    </w:p>
    <w:p>
      <w:pPr>
        <w:spacing w:after="0" w:line="17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Portions of our business are subject to privacy and security risks. If we improperly obtain, or are unable to protect, information from our guests, in violation of privacy or security laws or expectations, we could be subject to liability and damage to our reputation.</w:t>
      </w:r>
    </w:p>
    <w:p>
      <w:pPr>
        <w:spacing w:after="0" w:line="20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Web site, bearville.com</w:t>
      </w:r>
      <w:r>
        <w:rPr>
          <w:rFonts w:ascii="Arial" w:cs="Arial" w:eastAsia="Arial" w:hAnsi="Arial"/>
          <w:sz w:val="18"/>
          <w:szCs w:val="18"/>
          <w:i w:val="1"/>
          <w:iCs w:val="1"/>
          <w:color w:val="auto"/>
        </w:rPr>
        <w:t>,</w:t>
      </w:r>
      <w:r>
        <w:rPr>
          <w:rFonts w:ascii="Arial" w:cs="Arial" w:eastAsia="Arial" w:hAnsi="Arial"/>
          <w:sz w:val="18"/>
          <w:szCs w:val="18"/>
          <w:color w:val="auto"/>
        </w:rPr>
        <w:t xml:space="preserve"> features children’s games and in world e-mail and chat system. In addition, our e-commerce site, buildabear.com, features e-cards and printable party invitations and thank-you notes and provides an opportunity for children under the age of 13 to sign up, with the consent of their parent or guardian, to receive our online newsletter. We currently obtain and retain personal information about our website users, store shoppers and Stuff Fur Stuff loyalty program members. In addition, we obtain personal information about our guests as part of their registration in our Find-A-Bear identification system. Federal, state and foreign governments have enacted or may enact laws or regulations regarding the collection and use of personal information, with particular emphasis on the collection of information regarding minors. Such regulations include or may include requirements that companies establish procedures to:</w:t>
      </w:r>
    </w:p>
    <w:p>
      <w:pPr>
        <w:spacing w:after="0" w:line="243"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give adequate notice regarding information collection and disclosure practices;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consumers to have personal information deleted from a company’s database;</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consumers with access to their personal information and the ability to rectify inaccurate information;</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express parental consent prior to collecting and using personal information from children; and</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the Federal Children’s Online Privacy Protection Act.</w:t>
      </w:r>
    </w:p>
    <w:p>
      <w:pPr>
        <w:spacing w:after="0" w:line="27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Such regulation may also include enforcement and redress provisions. While we have implemented programs and procedures designed to protect the privacy of people, including children, from whom we collect information, and our websites are designed to be fully compliant with the Federal Children’s Online Privacy Protection Act, there can be no assurance that such programs will conform to all applicable laws or regulations. If we fail to fully comply, we may be subjected to liability and damage to our reputation.</w:t>
      </w:r>
    </w:p>
    <w:p>
      <w:pPr>
        <w:sectPr>
          <w:pgSz w:w="11900" w:h="16838" w:orient="portrait"/>
          <w:cols w:equalWidth="0" w:num="1">
            <w:col w:w="11420"/>
          </w:cols>
          <w:pgMar w:left="240" w:top="571"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 w:name="page17"/>
    <w:bookmarkEnd w:id="16"/>
    <w:p>
      <w:pPr>
        <w:ind w:right="100" w:firstLine="486"/>
        <w:spacing w:after="0" w:line="270" w:lineRule="auto"/>
        <w:rPr>
          <w:sz w:val="20"/>
          <w:szCs w:val="20"/>
          <w:color w:val="auto"/>
        </w:rPr>
      </w:pPr>
      <w:r>
        <w:rPr>
          <w:rFonts w:ascii="Arial" w:cs="Arial" w:eastAsia="Arial" w:hAnsi="Arial"/>
          <w:sz w:val="17"/>
          <w:szCs w:val="17"/>
          <w:color w:val="auto"/>
        </w:rPr>
        <w:t>We have a stringent, comprehensive privacy policy covering the information we collect from our guests and have established security features to protect our guest database and website. However, our security measures may not prevent security breaches. We may need to expend significant resources to protect against security breaches or to address problems caused by breaches. If unauthorized third parties were able to penetrate our network security and gain access to, or otherwise misappropriate, our guests’ personal information, it could harm our reputation and, therefore, our business and we could be subject to liability. Such liability could include claims for misuse of personal information or unauthorized use of credit cards. These claims could result in litigation, our involvement in which, regardless of the outcome, could require us to expend significant financial resources. In addition, because our guest database primarily includes personal information of young children and young children frequently interact with our website, we are potentially vulnerable to charges from parents, children’s organizations, governmental entities, and the media of engaging in inappropriate collection, distribution or other use of data collected from children. Such charges could adversely impact guest relationships and ultimately cause a decrease in net sales and also expose us to litigation and possible liability.</w:t>
      </w:r>
    </w:p>
    <w:p>
      <w:pPr>
        <w:spacing w:after="0" w:line="23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virtual world Web site, primarily for children, bearville.com, allows social interaction between users. While we have security features and chat monitoring, our security measures may not protect users’ identities and our online safety measures may be questioned which may result in negative publicity or a decrease in visitors to our site. If site users act inappropriately or seek unauthorized contact with other users of the site, it could harm our reputation and, therefore, our business and we could be subject to liability. Internet privacy is a rapidly changing area and we may be subject to future requirements and legislation that are costly to implement and negatively impact our results.</w:t>
      </w:r>
    </w:p>
    <w:p>
      <w:pPr>
        <w:spacing w:after="0" w:line="2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be sued if the manufacturers of our merchandise violate labor laws or engage in practices that our guests believe are unethical.</w:t>
      </w:r>
    </w:p>
    <w:p>
      <w:pPr>
        <w:spacing w:after="0" w:line="22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a decrease in sales or profitability if the non-proprietary toy products we sell in our stores do not meet our quality standards or fails to achieve our sales expectations.</w:t>
      </w:r>
    </w:p>
    <w:p>
      <w:pPr>
        <w:spacing w:after="0" w:line="224"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expect to expand our product assortment to include interactive toy products manufactured by other toy companies. If sales of such products do not meet our expectations or are impacted by competitors’ pricing, we may have to take markdowns or employ other strategies to liquidate the product. If other toy companies do not meet quality standards or violate any manufacturing or labor laws, we suffer negative publicity and not realize our sales plans.</w:t>
      </w:r>
    </w:p>
    <w:p>
      <w:pPr>
        <w:spacing w:after="0" w:line="20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224"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The success of our business depends upon our senior management closely supervising all aspects of our business, in particular the operation of our stores and the design, procurement and allocation of our merchandise. Also, because guest service is a defining feature of the Build-A-Bear Workshop corporate culture, we must be able to hire and train qualified managers and Bear Builder associates to succeed. The loss of certain key employees, in particular Maxine Clark, our founder and Chief Executive Bear, as well as other members of our senior management, our inability to attract and retain other qualified key employees or a labor shortage that reduces the pool of qualified store associates could have a material adverse effect on our business, financial condition and results of operations. We generally do not maintain key person insurance with respect to our executives, management or other personnel, except for limited coverage of Ms. Clark, which we do not believe would be sufficient to completely protect us against losses we may suffer if her services were to become unavailable to us in the future.</w:t>
      </w:r>
    </w:p>
    <w:p>
      <w:pPr>
        <w:spacing w:after="0" w:line="2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a company-owned distribution center to service the majority of our stores in North America, and our third-party distribution center providers used in the western United States and Europe may perform poorly.</w:t>
      </w:r>
    </w:p>
    <w:p>
      <w:pPr>
        <w:spacing w:after="0" w:line="2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efficient operation of our stores is dependent on our ability to distribute merchandise to locations throughout the United States, Canada and Europe in a timely manner. We have a 350,000-square-foot distribution center in Groveport, Ohio. We rely on this company-owned distribution center to receive, store and distribute merchandise for the majority of our North America stores. We rely on third parties to manage all of the warehousing and distribution aspects of our business on the West Coast of the United States and in Europe. Any significant interruption in the operation of the distribution centers due to natural disasters and severe weather, as well as events such as fire, accidents, power outages, system failures or other unforeseen causes could damage a significant portion of our inventory. These factors may also impair our ability to adequately stock our stores and could increase our costs associated with our supply chain.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share may be adversely impacted at any time by a significant number of competitors.</w:t>
      </w:r>
    </w:p>
    <w:p>
      <w:pPr>
        <w:spacing w:after="0" w:line="279"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We operate in a highly competitive environment characterized by low barriers to entry. We compete against a diverse group of competitors. Because we are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toy retailers, such as Wal-Mart, Toys “R” Us, Target, Kmart and other discount chains, as well as with a number of manufacturers that sell plush toys in the United States and Canada, including, but not limited to, Ty, Fisher Price, Mattel, Ganz, Russ Berrie, Applause, Boyds, Hasbro, Commonwealth, Gund and Vermont Teddy Bear.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currently none of these companies offers the breadth and depth of the Build-A-Bear Workshop products and experience, we cannot assure you that they will not compete directly with us in the future.</w:t>
      </w:r>
    </w:p>
    <w:p>
      <w:pPr>
        <w:spacing w:after="0" w:line="221" w:lineRule="exact"/>
        <w:rPr>
          <w:sz w:val="20"/>
          <w:szCs w:val="20"/>
          <w:color w:val="auto"/>
        </w:rPr>
      </w:pPr>
    </w:p>
    <w:p>
      <w:pPr>
        <w:ind w:right="300" w:firstLine="486"/>
        <w:spacing w:after="0" w:line="312" w:lineRule="auto"/>
        <w:rPr>
          <w:sz w:val="20"/>
          <w:szCs w:val="20"/>
          <w:color w:val="auto"/>
        </w:rPr>
      </w:pPr>
      <w:r>
        <w:rPr>
          <w:rFonts w:ascii="Arial" w:cs="Arial" w:eastAsia="Arial" w:hAnsi="Arial"/>
          <w:sz w:val="16"/>
          <w:szCs w:val="16"/>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ectPr>
          <w:pgSz w:w="11900" w:h="16838" w:orient="portrait"/>
          <w:cols w:equalWidth="0" w:num="1">
            <w:col w:w="11400"/>
          </w:cols>
          <w:pgMar w:left="240" w:top="517" w:right="259" w:bottom="0" w:gutter="0" w:footer="0" w:header="0"/>
        </w:sectPr>
      </w:pPr>
    </w:p>
    <w:bookmarkStart w:id="17" w:name="page18"/>
    <w:bookmarkEnd w:id="17"/>
    <w:p>
      <w:pPr>
        <w:ind w:firstLine="486"/>
        <w:spacing w:after="0" w:line="239" w:lineRule="auto"/>
        <w:rPr>
          <w:sz w:val="20"/>
          <w:szCs w:val="20"/>
          <w:color w:val="auto"/>
        </w:rPr>
      </w:pPr>
      <w:r>
        <w:rPr>
          <w:rFonts w:ascii="Arial" w:cs="Arial" w:eastAsia="Arial" w:hAnsi="Arial"/>
          <w:sz w:val="18"/>
          <w:szCs w:val="18"/>
          <w:color w:val="auto"/>
        </w:rPr>
        <w:t>We also believe that there is an emerging trend within children’s play patterns towards electronic toys, internet and online play. According to Emarketer.com, kids aged eight to eleven reported that they spend between one and two hours online each day. We believe our Web site, bearville.com, competes with other companies and internet sites that vie for children’s attention in the online space including webkinz.com, clubpenguin.com and neopets.com. A growing number of traditional children’s toy and entertainment companies have also developed their own virtual world online play sites including Barbie.com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McWorld. We cannot assure you that children’s preferences for our products will remain strong or that our on line Web site for children, bearville.com, will be successful in attracting children to our brand. If children decide to engage with other products or Web sites, our sales will be negatively impacted and our results will be materially impacted.</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8" w:name="page19"/>
    <w:bookmarkEnd w:id="18"/>
    <w:p>
      <w:pPr>
        <w:ind w:right="200"/>
        <w:spacing w:after="0" w:line="264" w:lineRule="auto"/>
        <w:rPr>
          <w:sz w:val="20"/>
          <w:szCs w:val="20"/>
          <w:color w:val="auto"/>
        </w:rPr>
      </w:pPr>
      <w:r>
        <w:rPr>
          <w:rFonts w:ascii="Arial" w:cs="Arial" w:eastAsia="Arial" w:hAnsi="Arial"/>
          <w:sz w:val="18"/>
          <w:szCs w:val="18"/>
          <w:b w:val="1"/>
          <w:bCs w:val="1"/>
          <w:i w:val="1"/>
          <w:i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235" w:lineRule="exact"/>
        <w:rPr>
          <w:sz w:val="20"/>
          <w:szCs w:val="20"/>
          <w:color w:val="auto"/>
        </w:rPr>
      </w:pPr>
    </w:p>
    <w:p>
      <w:pPr>
        <w:jc w:val="both"/>
        <w:ind w:right="100" w:firstLine="486"/>
        <w:spacing w:after="0" w:line="302" w:lineRule="auto"/>
        <w:rPr>
          <w:sz w:val="20"/>
          <w:szCs w:val="20"/>
          <w:color w:val="auto"/>
        </w:rPr>
      </w:pPr>
      <w:r>
        <w:rPr>
          <w:rFonts w:ascii="Arial" w:cs="Arial" w:eastAsia="Arial" w:hAnsi="Arial"/>
          <w:sz w:val="16"/>
          <w:szCs w:val="16"/>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20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 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Poor global economic conditions could have a material adverse effect on our liquidity and capital resources.</w:t>
      </w:r>
    </w:p>
    <w:p>
      <w:pPr>
        <w:spacing w:after="0" w:line="279"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In 2008 and 2009, the general economic and capital market conditions in the United States and other parts of the world deteriorated significantly. These conditions adversely affected borrowers’ access to capital and increased the cost of capital. Although we believe that our capital structure and credit facilities will provide sufficient liquidity, there can be no assurance that our liquidity will not be affected by changes in the capital markets or that our capital resources will at all times be sufficient to satisfy our liquidity needs. Capital market conditions may affect the renewal or replacement of our credit agreement, which was originally entered into in 2000 and has been extended annually since then and currently expires December 31, 2013.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quarterly results of operations could cause the price of our common stock to substantially decline.</w:t>
      </w:r>
    </w:p>
    <w:p>
      <w:pPr>
        <w:spacing w:after="0" w:line="27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224" w:lineRule="exact"/>
        <w:rPr>
          <w:sz w:val="20"/>
          <w:szCs w:val="20"/>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increases or decreases in comparable store sales;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shopping patterns, including whether the Easter holiday occurs in the first or second quarter and other school holiday schedules;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 and</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w:t>
      </w:r>
    </w:p>
    <w:p>
      <w:pPr>
        <w:spacing w:after="0" w:line="2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2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2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Board of Directors has implemented a $50 million share repurchase program. The program does not require the Company to repurchase any specific number of shares of our common stock,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we would like.</w:t>
      </w:r>
    </w:p>
    <w:p>
      <w:pPr>
        <w:sectPr>
          <w:pgSz w:w="11900" w:h="16838" w:orient="portrait"/>
          <w:cols w:equalWidth="0" w:num="1">
            <w:col w:w="11420"/>
          </w:cols>
          <w:pgMar w:left="240" w:top="571" w:right="239" w:bottom="9"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right="60"/>
        <w:spacing w:after="0" w:line="308" w:lineRule="auto"/>
        <w:rPr>
          <w:sz w:val="20"/>
          <w:szCs w:val="20"/>
          <w:color w:val="auto"/>
        </w:rPr>
      </w:pPr>
      <w:r>
        <w:rPr>
          <w:rFonts w:ascii="Arial" w:cs="Arial" w:eastAsia="Arial" w:hAnsi="Arial"/>
          <w:sz w:val="17"/>
          <w:szCs w:val="17"/>
          <w:b w:val="1"/>
          <w:bCs w:val="1"/>
          <w:i w:val="1"/>
          <w:i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91" w:lineRule="exact"/>
        <w:rPr>
          <w:sz w:val="20"/>
          <w:szCs w:val="20"/>
          <w:color w:val="auto"/>
        </w:rPr>
      </w:pPr>
    </w:p>
    <w:p>
      <w:pPr>
        <w:ind w:left="420" w:hanging="31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79" w:lineRule="exact"/>
        <w:rPr>
          <w:rFonts w:ascii="Arial" w:cs="Arial" w:eastAsia="Arial" w:hAnsi="Arial"/>
          <w:sz w:val="18"/>
          <w:szCs w:val="18"/>
          <w:color w:val="auto"/>
        </w:rPr>
      </w:pPr>
    </w:p>
    <w:p>
      <w:pPr>
        <w:ind w:left="420" w:hanging="31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79" w:lineRule="exact"/>
        <w:rPr>
          <w:rFonts w:ascii="Arial" w:cs="Arial" w:eastAsia="Arial" w:hAnsi="Arial"/>
          <w:sz w:val="18"/>
          <w:szCs w:val="18"/>
          <w:color w:val="auto"/>
        </w:rPr>
      </w:pPr>
    </w:p>
    <w:p>
      <w:pPr>
        <w:ind w:left="420" w:right="40" w:hanging="317"/>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224" w:lineRule="exact"/>
        <w:rPr>
          <w:rFonts w:ascii="Arial" w:cs="Arial" w:eastAsia="Arial" w:hAnsi="Arial"/>
          <w:sz w:val="18"/>
          <w:szCs w:val="18"/>
          <w:color w:val="auto"/>
        </w:rPr>
      </w:pPr>
    </w:p>
    <w:p>
      <w:pPr>
        <w:ind w:left="420" w:right="340" w:hanging="317"/>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may:</w:t>
      </w:r>
    </w:p>
    <w:p>
      <w:pPr>
        <w:spacing w:after="0" w:line="279" w:lineRule="exact"/>
        <w:rPr>
          <w:sz w:val="20"/>
          <w:szCs w:val="20"/>
          <w:color w:val="auto"/>
        </w:rPr>
      </w:pPr>
    </w:p>
    <w:p>
      <w:pPr>
        <w:ind w:left="420" w:right="20" w:hanging="317"/>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224" w:lineRule="exact"/>
        <w:rPr>
          <w:rFonts w:ascii="Arial" w:cs="Arial" w:eastAsia="Arial" w:hAnsi="Arial"/>
          <w:sz w:val="18"/>
          <w:szCs w:val="18"/>
          <w:color w:val="auto"/>
        </w:rPr>
      </w:pPr>
    </w:p>
    <w:p>
      <w:pPr>
        <w:ind w:left="420" w:hanging="317"/>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79" w:lineRule="exact"/>
        <w:rPr>
          <w:rFonts w:ascii="Arial" w:cs="Arial" w:eastAsia="Arial" w:hAnsi="Arial"/>
          <w:sz w:val="18"/>
          <w:szCs w:val="18"/>
          <w:color w:val="auto"/>
        </w:rPr>
      </w:pPr>
    </w:p>
    <w:p>
      <w:pPr>
        <w:ind w:left="440" w:hanging="324"/>
        <w:spacing w:after="0"/>
        <w:tabs>
          <w:tab w:leader="none" w:pos="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83"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As of December 31, 2011, we operated 288 retail stores located primarily in major malls throughout the United States, Canada and Puerto Rico, 56 stores located in the United Kingdom and two stores in Ireland in our Retail segment. Our North American mall-based stores generally range in size from approximately 2,000 to 4,000 gross square feet and average approximately 2,800 square feet, while our tourist location stores currently range up to 7,000 square feet and our flagship store in New York City is approximately 20,000 square feet. Our UK stores range in size from approximately 800 to 2,300 selling square feet and average approximately 1,500 square feet. Our stores are highly visual and colorful featuring a teddy bear theme and larger than life details including a “sentry bear” at the front entry, custom-designed fixtures as well as a customized Build-A-Bear Workshop tile logo in our entryway. Our stores are designed to be open and inviting so that guests can fully immerse in the shopping experience and actively participate in the creation and customization of their purchase. Our typical store features one or two stuffing machines, three to five Name Me computer stations and numerous displays of fully-dressed stuffed animals throughout the store. We select malls and make site selections within the mall based upon demographic analysis, market research, site visits and mall dynamics as well as a proprietary forecasting model that projects a potential location’s first year sales. We have identified additional target sites that meet our criteria for new stores in new and existing markets. We seek to locate our mall-based stores in areas with maximum customer traffic, often near to or in the center of the mall, as well as offering adjacencies to other children, teen and family retailers.</w:t>
      </w:r>
    </w:p>
    <w:p>
      <w:pPr>
        <w:spacing w:after="0" w:line="22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lease all of our store locations. Due to our attraction as a family-oriented entertainment destination concept, we have received numerous requests from mall owners and developers to locate a Build-A-Bear Workshop store in their malls. We believe that we generally have negotiated favorable lease terms including provisions providing for exclusivity of operation of our concept in the mall. Our stores are located in a variety of shopping center types. As of December 31, 2011, the distribution of our stores is as follows: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Super regional center</w:t>
            </w:r>
          </w:p>
        </w:tc>
        <w:tc>
          <w:tcPr>
            <w:tcW w:w="1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Regional center</w:t>
            </w: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Open air lifestyle center</w:t>
            </w:r>
          </w:p>
        </w:tc>
        <w:tc>
          <w:tcPr>
            <w:tcW w:w="1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line="216" w:lineRule="exact"/>
              <w:rPr>
                <w:sz w:val="20"/>
                <w:szCs w:val="20"/>
                <w:color w:val="auto"/>
              </w:rPr>
            </w:pPr>
            <w:r>
              <w:rPr>
                <w:rFonts w:ascii="Arial" w:cs="Arial" w:eastAsia="Arial" w:hAnsi="Arial"/>
                <w:sz w:val="18"/>
                <w:szCs w:val="18"/>
                <w:color w:val="auto"/>
              </w:rPr>
              <w:t xml:space="preserve">Outlet center </w:t>
            </w:r>
            <w:r>
              <w:rPr>
                <w:rFonts w:ascii="Arial" w:cs="Arial" w:eastAsia="Arial" w:hAnsi="Arial"/>
                <w:sz w:val="25"/>
                <w:szCs w:val="25"/>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 (theme, NYC, concession)</w:t>
            </w:r>
          </w:p>
        </w:tc>
        <w:tc>
          <w:tcPr>
            <w:tcW w:w="13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Total company-owned stores</w:t>
            </w:r>
          </w:p>
        </w:tc>
        <w:tc>
          <w:tcPr>
            <w:tcW w:w="136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Temporary locations</w:t>
            </w:r>
          </w:p>
        </w:tc>
        <w:tc>
          <w:tcPr>
            <w:tcW w:w="1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(ballparks, zoo)</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Total company-owned retail locations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Build-A-Bear Workshop stores in outlet centers are not merchandised with outlet merchandise.</w:t>
      </w:r>
    </w:p>
    <w:p>
      <w:pPr>
        <w:sectPr>
          <w:pgSz w:w="11900" w:h="16838" w:orient="portrait"/>
          <w:cols w:equalWidth="0" w:num="1">
            <w:col w:w="11380"/>
          </w:cols>
          <w:pgMar w:left="240" w:top="571" w:right="27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22" w:name="page23"/>
    <w:bookmarkEnd w:id="22"/>
    <w:p>
      <w:pPr>
        <w:ind w:right="40" w:firstLine="486"/>
        <w:spacing w:after="0" w:line="270" w:lineRule="auto"/>
        <w:rPr>
          <w:sz w:val="20"/>
          <w:szCs w:val="20"/>
          <w:color w:val="auto"/>
        </w:rPr>
      </w:pPr>
      <w:r>
        <w:rPr>
          <w:rFonts w:ascii="Arial" w:cs="Arial" w:eastAsia="Arial" w:hAnsi="Arial"/>
          <w:sz w:val="17"/>
          <w:szCs w:val="17"/>
          <w:color w:val="auto"/>
        </w:rPr>
        <w:t>Most of our leases have an initial term of ten years and do not have renewal options or clauses although our leases in the United Kingdom are typically covered by laws and regulations that give us priority rights of renewal. A number of our leases provide a lease termination or “kick out” option, which may be mutual, allowing either party to exercise the option in a pre-determined year or years, typically the third or fourth year and sixth or seventh year of the lease, if we do not meet certain agreed upon minimum sales levels. In addition,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Most of our leases in North America also require the payment of a fixed minimum rent as well as percentage rent based on sales in excess of agreed upon minimum annual sales levels. Our leases in the United Kingdom and Ireland typically have rent reviews every five years in which the base rental rate is adjusted to current market rates if they are higher than the original rent agreed.</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Following is a list of our 346 company-owned stores in the United States, Canada, the United Kingdom and Ireland as of December 31, 2011: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State</w:t>
            </w:r>
          </w:p>
        </w:tc>
        <w:tc>
          <w:tcPr>
            <w:tcW w:w="6520" w:type="dxa"/>
            <w:vAlign w:val="bottom"/>
          </w:tcPr>
          <w:p>
            <w:pPr>
              <w:spacing w:after="0"/>
              <w:rPr>
                <w:sz w:val="17"/>
                <w:szCs w:val="17"/>
                <w:color w:val="auto"/>
              </w:rPr>
            </w:pPr>
          </w:p>
        </w:tc>
        <w:tc>
          <w:tcPr>
            <w:tcW w:w="1500" w:type="dxa"/>
            <w:vAlign w:val="bottom"/>
          </w:tcPr>
          <w:p>
            <w:pPr>
              <w:ind w:left="120"/>
              <w:spacing w:after="0"/>
              <w:rPr>
                <w:sz w:val="20"/>
                <w:szCs w:val="20"/>
                <w:color w:val="auto"/>
              </w:rPr>
            </w:pPr>
            <w:r>
              <w:rPr>
                <w:rFonts w:ascii="Arial" w:cs="Arial" w:eastAsia="Arial" w:hAnsi="Arial"/>
                <w:sz w:val="18"/>
                <w:szCs w:val="18"/>
                <w:b w:val="1"/>
                <w:bCs w:val="1"/>
                <w:color w:val="auto"/>
                <w:w w:val="90"/>
              </w:rPr>
              <w:t>Number of Stores</w:t>
            </w:r>
          </w:p>
        </w:tc>
      </w:tr>
      <w:tr>
        <w:trPr>
          <w:trHeight w:val="28"/>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Alabama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Alaska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Arizona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California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6</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Connecticut</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Florida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89"/>
              </w:rPr>
              <w:t>21</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8</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Idaho</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Indiana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Iowa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Kansas</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Louisiana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Maine</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Maryland</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Michigan</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Mississippi</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Montana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Nevada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New Jersey</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New York</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Ohio</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Oregon</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89"/>
              </w:rPr>
              <w:t>11</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Puerto Rico</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South Carolina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Texas</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Utah</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Virginia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West Virginia</w:t>
            </w:r>
          </w:p>
        </w:tc>
        <w:tc>
          <w:tcPr>
            <w:tcW w:w="8020" w:type="dxa"/>
            <w:vAlign w:val="bottom"/>
            <w:gridSpan w:val="2"/>
            <w:shd w:val="clear" w:color="auto" w:fill="C0FFFF"/>
          </w:tcPr>
          <w:p>
            <w:pPr>
              <w:jc w:val="center"/>
              <w:ind w:left="6550"/>
              <w:spacing w:after="0"/>
              <w:rPr>
                <w:sz w:val="20"/>
                <w:szCs w:val="20"/>
                <w:color w:val="auto"/>
              </w:rPr>
            </w:pPr>
            <w:r>
              <w:rPr>
                <w:rFonts w:ascii="Arial" w:cs="Arial" w:eastAsia="Arial" w:hAnsi="Arial"/>
                <w:sz w:val="18"/>
                <w:szCs w:val="18"/>
                <w:color w:val="auto"/>
                <w:w w:val="99"/>
              </w:rPr>
              <w:t>1</w:t>
            </w:r>
          </w:p>
        </w:tc>
      </w:tr>
      <w:tr>
        <w:trPr>
          <w:trHeight w:val="230"/>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8020" w:type="dxa"/>
            <w:vAlign w:val="bottom"/>
            <w:gridSpan w:val="2"/>
          </w:tcPr>
          <w:p>
            <w:pPr>
              <w:jc w:val="center"/>
              <w:ind w:left="6550"/>
              <w:spacing w:after="0"/>
              <w:rPr>
                <w:sz w:val="20"/>
                <w:szCs w:val="20"/>
                <w:color w:val="auto"/>
              </w:rPr>
            </w:pPr>
            <w:r>
              <w:rPr>
                <w:rFonts w:ascii="Arial" w:cs="Arial" w:eastAsia="Arial" w:hAnsi="Arial"/>
                <w:sz w:val="18"/>
                <w:szCs w:val="18"/>
                <w:color w:val="auto"/>
                <w:w w:val="99"/>
              </w:rPr>
              <w:t>5</w:t>
            </w:r>
          </w:p>
        </w:tc>
      </w:tr>
      <w:tr>
        <w:trPr>
          <w:trHeight w:val="64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520" w:type="dxa"/>
            <w:vAlign w:val="bottom"/>
          </w:tcPr>
          <w:p>
            <w:pPr>
              <w:jc w:val="right"/>
              <w:ind w:right="4030"/>
              <w:spacing w:after="0"/>
              <w:rPr>
                <w:sz w:val="20"/>
                <w:szCs w:val="20"/>
                <w:color w:val="auto"/>
              </w:rPr>
            </w:pPr>
            <w:r>
              <w:rPr>
                <w:rFonts w:ascii="Arial" w:cs="Arial" w:eastAsia="Arial" w:hAnsi="Arial"/>
                <w:sz w:val="18"/>
                <w:szCs w:val="18"/>
                <w:color w:val="auto"/>
              </w:rPr>
              <w:t>17</w:t>
            </w:r>
          </w:p>
        </w:tc>
        <w:tc>
          <w:tcPr>
            <w:tcW w:w="15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65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9920" w:type="dxa"/>
            <w:vAlign w:val="bottom"/>
            <w:gridSpan w:val="4"/>
          </w:tcPr>
          <w:p>
            <w:pPr>
              <w:spacing w:after="0"/>
              <w:rPr>
                <w:sz w:val="20"/>
                <w:szCs w:val="20"/>
                <w:color w:val="auto"/>
              </w:rPr>
            </w:pPr>
            <w:r>
              <w:rPr>
                <w:rFonts w:ascii="Arial" w:cs="Arial" w:eastAsia="Arial" w:hAnsi="Arial"/>
                <w:sz w:val="18"/>
                <w:szCs w:val="18"/>
                <w:b w:val="1"/>
                <w:bCs w:val="1"/>
                <w:color w:val="auto"/>
              </w:rPr>
              <w:t>Canadian Province</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91"/>
              </w:rPr>
              <w:t>Number of Stores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Alberta</w:t>
            </w:r>
          </w:p>
        </w:tc>
        <w:tc>
          <w:tcPr>
            <w:tcW w:w="15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British Columbia</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Manitoba</w:t>
            </w:r>
          </w:p>
        </w:tc>
        <w:tc>
          <w:tcPr>
            <w:tcW w:w="15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Nova Scotia</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Ontario</w:t>
            </w:r>
          </w:p>
        </w:tc>
        <w:tc>
          <w:tcPr>
            <w:tcW w:w="15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Quebec</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Saskatchewan</w:t>
            </w:r>
          </w:p>
        </w:tc>
        <w:tc>
          <w:tcPr>
            <w:tcW w:w="15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9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United Kingdom</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England</w:t>
            </w:r>
          </w:p>
        </w:tc>
        <w:tc>
          <w:tcPr>
            <w:tcW w:w="15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Scotland</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Wales</w:t>
            </w:r>
          </w:p>
        </w:tc>
        <w:tc>
          <w:tcPr>
            <w:tcW w:w="15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Northern Ireland</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Ireland</w:t>
            </w:r>
          </w:p>
        </w:tc>
        <w:tc>
          <w:tcPr>
            <w:tcW w:w="15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to leasing all of our store locations, we lease approximately 59,000 square feet for our corporate headquarters, or World Bearquarters, in St. Louis, Missouri. Our World Bearquarters houses our corporate staff, our call center and our on-site training facilities. The lease was amended, effective January 1, 2008 with a five-year term, and may be extended for two additional five-year terms. In September 2006, we completed construction of a company-owned warehouse and distribution center, or Bearhouse, in Groveport, Ohio, which is utilized primarily by our Retail segment. The facility is approximately 350,000 square feet. In 2007, our web fulfillment site moved to the Bearhouse.</w:t>
      </w:r>
    </w:p>
    <w:p>
      <w:pPr>
        <w:spacing w:after="0" w:line="242"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In the United Kingdom, we lease approximately 2,000 square feet for our regional headquarters in Windsor, England. The lease commenced in August 2003. The lease can be terminated at any time by either party giving notice of termination six months prior to cancellation.</w:t>
      </w:r>
    </w:p>
    <w:p>
      <w:pPr>
        <w:spacing w:after="0" w:line="19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8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We are involved in several court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20"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89"/>
              </w:rPr>
              <w:t>Fiscal 2011</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2010</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Low</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Low</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8"/>
                <w:szCs w:val="18"/>
                <w:color w:val="auto"/>
              </w:rPr>
              <w:t>First Quarter</w:t>
            </w:r>
          </w:p>
        </w:tc>
        <w:tc>
          <w:tcPr>
            <w:tcW w:w="17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0FFFF"/>
          </w:tcPr>
          <w:p>
            <w:pPr>
              <w:ind w:left="580"/>
              <w:spacing w:after="0"/>
              <w:rPr>
                <w:sz w:val="20"/>
                <w:szCs w:val="20"/>
                <w:color w:val="auto"/>
              </w:rPr>
            </w:pPr>
            <w:r>
              <w:rPr>
                <w:rFonts w:ascii="Arial" w:cs="Arial" w:eastAsia="Arial" w:hAnsi="Arial"/>
                <w:sz w:val="18"/>
                <w:szCs w:val="18"/>
                <w:b w:val="1"/>
                <w:bCs w:val="1"/>
                <w:color w:val="auto"/>
                <w:w w:val="85"/>
              </w:rPr>
              <w:t>8.66</w:t>
            </w:r>
          </w:p>
        </w:tc>
        <w:tc>
          <w:tcPr>
            <w:tcW w:w="54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6.00</w:t>
            </w:r>
          </w:p>
        </w:tc>
        <w:tc>
          <w:tcPr>
            <w:tcW w:w="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7.43</w:t>
            </w:r>
          </w:p>
        </w:tc>
        <w:tc>
          <w:tcPr>
            <w:tcW w:w="52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Second Quarter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580"/>
              <w:spacing w:after="0"/>
              <w:rPr>
                <w:sz w:val="20"/>
                <w:szCs w:val="20"/>
                <w:color w:val="auto"/>
              </w:rPr>
            </w:pPr>
            <w:r>
              <w:rPr>
                <w:rFonts w:ascii="Arial" w:cs="Arial" w:eastAsia="Arial" w:hAnsi="Arial"/>
                <w:sz w:val="18"/>
                <w:szCs w:val="18"/>
                <w:b w:val="1"/>
                <w:bCs w:val="1"/>
                <w:color w:val="auto"/>
                <w:w w:val="85"/>
              </w:rPr>
              <w:t>7.00</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9.76</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0FFFF"/>
          </w:tcPr>
          <w:p>
            <w:pPr>
              <w:spacing w:after="0"/>
              <w:rPr>
                <w:sz w:val="20"/>
                <w:szCs w:val="20"/>
                <w:color w:val="auto"/>
              </w:rPr>
            </w:pPr>
            <w:r>
              <w:rPr>
                <w:rFonts w:ascii="Arial" w:cs="Arial" w:eastAsia="Arial" w:hAnsi="Arial"/>
                <w:sz w:val="18"/>
                <w:szCs w:val="18"/>
                <w:color w:val="auto"/>
              </w:rPr>
              <w:t>Third Quarter</w:t>
            </w:r>
          </w:p>
        </w:tc>
        <w:tc>
          <w:tcPr>
            <w:tcW w:w="17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0FFFF"/>
          </w:tcPr>
          <w:p>
            <w:pPr>
              <w:ind w:left="580"/>
              <w:spacing w:after="0"/>
              <w:rPr>
                <w:sz w:val="20"/>
                <w:szCs w:val="20"/>
                <w:color w:val="auto"/>
              </w:rPr>
            </w:pPr>
            <w:r>
              <w:rPr>
                <w:rFonts w:ascii="Arial" w:cs="Arial" w:eastAsia="Arial" w:hAnsi="Arial"/>
                <w:sz w:val="18"/>
                <w:szCs w:val="18"/>
                <w:b w:val="1"/>
                <w:bCs w:val="1"/>
                <w:color w:val="auto"/>
                <w:w w:val="85"/>
              </w:rPr>
              <w:t>6.63</w:t>
            </w:r>
          </w:p>
        </w:tc>
        <w:tc>
          <w:tcPr>
            <w:tcW w:w="54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4.60</w:t>
            </w:r>
          </w:p>
        </w:tc>
        <w:tc>
          <w:tcPr>
            <w:tcW w:w="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7.45</w:t>
            </w:r>
          </w:p>
        </w:tc>
        <w:tc>
          <w:tcPr>
            <w:tcW w:w="52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0FF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Fourth Quarter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580"/>
              <w:spacing w:after="0"/>
              <w:rPr>
                <w:sz w:val="20"/>
                <w:szCs w:val="20"/>
                <w:color w:val="auto"/>
              </w:rPr>
            </w:pPr>
            <w:r>
              <w:rPr>
                <w:rFonts w:ascii="Arial" w:cs="Arial" w:eastAsia="Arial" w:hAnsi="Arial"/>
                <w:sz w:val="18"/>
                <w:szCs w:val="18"/>
                <w:b w:val="1"/>
                <w:bCs w:val="1"/>
                <w:color w:val="auto"/>
                <w:w w:val="85"/>
              </w:rPr>
              <w:t>8.80</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9.24</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March 12, 2012, the number of holders of record of the Company’s common stock totaled approximately 2,544.</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color w:val="auto"/>
        </w:rPr>
        <w:t>The following performance graph compares the 60-month cumulative total stockholder return of our common stock, with the cumulative total return on the Russell 2000</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it from retailers in the Peer Group. However, in the absence of any other readily identifiable peer group, we believe the use of the Peer Group is appropriate.</w:t>
      </w:r>
    </w:p>
    <w:p>
      <w:pPr>
        <w:spacing w:after="0" w:line="24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performance graph starts on December 30, 2006 and ends on December 30, 2011, the last trading day prior to December 31, 2011, the end of our fiscal 2011. The graph assumes that $100 was invested on December 30, 2006 in each of our common stock, the Russell 2000 Index and the Peer Group, and that all dividends were reinvested.</w:t>
      </w:r>
    </w:p>
    <w:p>
      <w:pPr>
        <w:spacing w:after="0" w:line="235"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These indices are included only for comparative purposes as required by Securities and Exchange Commission rules and do not necessarily reflect management’s opinion that such indices are an appropriate measure of the relative performance of the common stock. They are not intended to forecast the possible future performance of our common stock.</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1143635</wp:posOffset>
            </wp:positionH>
            <wp:positionV relativeFrom="page">
              <wp:posOffset>372110</wp:posOffset>
            </wp:positionV>
            <wp:extent cx="5282565" cy="4202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282565" cy="420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060" w:type="dxa"/>
            <w:vAlign w:val="bottom"/>
            <w:gridSpan w:val="6"/>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of Shares (or</w:t>
            </w:r>
          </w:p>
        </w:tc>
        <w:tc>
          <w:tcPr>
            <w:tcW w:w="18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18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of Shares (or</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Units) the</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Part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(b) Average</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of Publicly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of Shares (or</w:t>
            </w:r>
          </w:p>
        </w:tc>
        <w:tc>
          <w:tcPr>
            <w:tcW w:w="1400" w:type="dxa"/>
            <w:vAlign w:val="bottom"/>
            <w:gridSpan w:val="4"/>
          </w:tcPr>
          <w:p>
            <w:pPr>
              <w:ind w:left="200"/>
              <w:spacing w:after="0"/>
              <w:rPr>
                <w:sz w:val="20"/>
                <w:szCs w:val="20"/>
                <w:color w:val="auto"/>
              </w:rPr>
            </w:pPr>
            <w:r>
              <w:rPr>
                <w:rFonts w:ascii="Arial" w:cs="Arial" w:eastAsia="Arial" w:hAnsi="Arial"/>
                <w:sz w:val="18"/>
                <w:szCs w:val="18"/>
                <w:b w:val="1"/>
                <w:bCs w:val="1"/>
                <w:color w:val="auto"/>
                <w:w w:val="97"/>
              </w:rPr>
              <w:t>Price Paid Per</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Share (or</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r>
      <w:tr>
        <w:trPr>
          <w:trHeight w:val="241"/>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5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Unit)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18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Programs (2)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0FFFF"/>
          </w:tcPr>
          <w:p>
            <w:pPr>
              <w:ind w:left="160"/>
              <w:spacing w:after="0"/>
              <w:rPr>
                <w:sz w:val="20"/>
                <w:szCs w:val="20"/>
                <w:color w:val="auto"/>
              </w:rPr>
            </w:pPr>
            <w:r>
              <w:rPr>
                <w:rFonts w:ascii="Arial" w:cs="Arial" w:eastAsia="Arial" w:hAnsi="Arial"/>
                <w:sz w:val="18"/>
                <w:szCs w:val="18"/>
                <w:b w:val="1"/>
                <w:bCs w:val="1"/>
                <w:color w:val="auto"/>
              </w:rPr>
              <w:t>Oct. 2, 2011 – Oct. 29, 2011</w:t>
            </w:r>
          </w:p>
        </w:tc>
        <w:tc>
          <w:tcPr>
            <w:tcW w:w="26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517,148</w:t>
            </w:r>
          </w:p>
        </w:tc>
        <w:tc>
          <w:tcPr>
            <w:tcW w:w="280" w:type="dxa"/>
            <w:vAlign w:val="bottom"/>
            <w:gridSpan w:val="2"/>
            <w:shd w:val="clear" w:color="auto" w:fill="C0FF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516,490</w:t>
            </w:r>
          </w:p>
        </w:tc>
        <w:tc>
          <w:tcPr>
            <w:tcW w:w="2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10,817,301</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w w:val="97"/>
              </w:rPr>
              <w:t>Oct. 30, 2011 – Nov. 26, 2011</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314,588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314,588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8,711,999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0FFFF"/>
          </w:tcPr>
          <w:p>
            <w:pPr>
              <w:ind w:left="160"/>
              <w:spacing w:after="0"/>
              <w:rPr>
                <w:sz w:val="20"/>
                <w:szCs w:val="20"/>
                <w:color w:val="auto"/>
              </w:rPr>
            </w:pPr>
            <w:r>
              <w:rPr>
                <w:rFonts w:ascii="Arial" w:cs="Arial" w:eastAsia="Arial" w:hAnsi="Arial"/>
                <w:sz w:val="18"/>
                <w:szCs w:val="18"/>
                <w:b w:val="1"/>
                <w:bCs w:val="1"/>
                <w:color w:val="auto"/>
                <w:w w:val="96"/>
              </w:rPr>
              <w:t>Nov. 27, 2011 – Dec. 31, 2011</w:t>
            </w:r>
          </w:p>
        </w:tc>
        <w:tc>
          <w:tcPr>
            <w:tcW w:w="156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gridSpan w:val="2"/>
            <w:shd w:val="clear" w:color="auto" w:fill="C0FF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8,711,999</w:t>
            </w:r>
          </w:p>
        </w:tc>
        <w:tc>
          <w:tcPr>
            <w:tcW w:w="80" w:type="dxa"/>
            <w:vAlign w:val="bottom"/>
            <w:shd w:val="clear" w:color="auto" w:fill="C0FF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560" w:type="dxa"/>
            <w:vAlign w:val="bottom"/>
            <w:shd w:val="clear" w:color="auto" w:fill="C0FFFF"/>
          </w:tcPr>
          <w:p>
            <w:pPr>
              <w:spacing w:after="0"/>
              <w:rPr>
                <w:sz w:val="2"/>
                <w:szCs w:val="2"/>
                <w:color w:val="auto"/>
              </w:rPr>
            </w:pPr>
          </w:p>
        </w:tc>
        <w:tc>
          <w:tcPr>
            <w:tcW w:w="1560" w:type="dxa"/>
            <w:vAlign w:val="bottom"/>
            <w:shd w:val="clear" w:color="auto" w:fill="C0FF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831,864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831,078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492"/>
        <w:spacing w:after="0" w:line="256"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as the closing trading price of our common stock on the date the relevant transaction occurs.</w:t>
      </w:r>
    </w:p>
    <w:p>
      <w:pPr>
        <w:ind w:left="500" w:right="140" w:hanging="492"/>
        <w:spacing w:after="0" w:line="25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23, 2012, we announced the further extension of our $50 million share repurchase program of our outstanding common stock until March 31, 2013.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 As of March 12, 2012, we had $8.7 million of availability under the program.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sales of unregistered securities during the fourth quarter of fiscal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anticipate that we will retain any future earnings to support operations, to finance the growth and development of our business and to repurchase shares of our common stock from time to time and we do not expect, at this time, to pay cash dividends in the future.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“Management’s Discussion and Analysis of Financial Condition and Results of Operations — Liquidity and Capital Resources”.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27" w:name="page28"/>
    <w:bookmarkEnd w:id="27"/>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Throughout this Annual Report on Form 10-K, we refer to our fiscal years ended December 31, 2011, January 1, 2011, January 2, 2010, January 3, 2009 and December 29, 2007, as fiscal years 2011, 2010, 2009, 2008 and 2007, respectively. Our fiscal year consists of 52 or 53 weeks, and ends on the Saturday nearest December 31 in each year. Fiscal years 2011, 2010, 2009 and 2007 included 52 weeks and fiscal year 2008 included 53 weeks. All of our fiscal quarters presented in this Annual Report on Form 10-K included 13 weeks, with the exception of the fourth quarter of fiscal 2008 which included 14 weeks. When we refer to our fiscal quarters, or any three month period ending as of a specified date, we are referring to the 13-week or 14-week period prior to that date.</w:t>
      </w:r>
    </w:p>
    <w:p>
      <w:pPr>
        <w:spacing w:after="0" w:line="247"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The following table sets forth, for the periods and dates indicated, our selected consolidated financial and operating data. The balance sheet data as of December 31, 2011 and January 1, 2011 and the statement of operations and other financial data for our fiscal years ended December 31, 2011, January 1, 2011 and January 2, 2010 are derived from our audited financial statements included elsewhere in this Annual Report on Form 10-K. The balance sheet data as of January 2, 2010, January 3, 2009 and December 29, 2007, and the statement of income and other financial data for our fiscal years ended January 3, 2009 and December 29, 2007 are derived from our audited consolidated financial statements that are not included in this Annual Report on Form 10-K. You should read our selected consolidated financial and operating data in conjunction with our consolidated financial statements and related notes and with “Management’s Discussion and Analysis of Financial Condition and Results of Operations” appearing elsewhere in this Annual Report on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8"/>
              </w:rPr>
              <w:t>Fiscal Year</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(Dollars in</w:t>
            </w:r>
          </w:p>
        </w:tc>
        <w:tc>
          <w:tcPr>
            <w:tcW w:w="1400" w:type="dxa"/>
            <w:vAlign w:val="bottom"/>
            <w:gridSpan w:val="4"/>
          </w:tcPr>
          <w:p>
            <w:pPr>
              <w:jc w:val="right"/>
              <w:ind w:right="70"/>
              <w:spacing w:after="0" w:line="198" w:lineRule="exact"/>
              <w:rPr>
                <w:sz w:val="20"/>
                <w:szCs w:val="20"/>
                <w:color w:val="auto"/>
              </w:rPr>
            </w:pPr>
            <w:r>
              <w:rPr>
                <w:rFonts w:ascii="Arial" w:cs="Arial" w:eastAsia="Arial" w:hAnsi="Arial"/>
                <w:sz w:val="18"/>
                <w:szCs w:val="18"/>
                <w:b w:val="1"/>
                <w:bCs w:val="1"/>
                <w:color w:val="auto"/>
                <w:w w:val="77"/>
              </w:rPr>
              <w:t>thousands, except</w:t>
            </w:r>
          </w:p>
        </w:tc>
        <w:tc>
          <w:tcPr>
            <w:tcW w:w="4160" w:type="dxa"/>
            <w:vAlign w:val="bottom"/>
            <w:gridSpan w:val="12"/>
          </w:tcPr>
          <w:p>
            <w:pPr>
              <w:jc w:val="right"/>
              <w:ind w:right="280"/>
              <w:spacing w:after="0" w:line="198" w:lineRule="exact"/>
              <w:rPr>
                <w:sz w:val="20"/>
                <w:szCs w:val="20"/>
                <w:color w:val="auto"/>
              </w:rPr>
            </w:pPr>
            <w:r>
              <w:rPr>
                <w:rFonts w:ascii="Arial" w:cs="Arial" w:eastAsia="Arial" w:hAnsi="Arial"/>
                <w:sz w:val="18"/>
                <w:szCs w:val="18"/>
                <w:b w:val="1"/>
                <w:bCs w:val="1"/>
                <w:color w:val="auto"/>
                <w:w w:val="85"/>
              </w:rPr>
              <w:t>share, per share, per store and per gross square foot</w:t>
            </w:r>
          </w:p>
        </w:tc>
        <w:tc>
          <w:tcPr>
            <w:tcW w:w="0" w:type="dxa"/>
            <w:vAlign w:val="bottom"/>
          </w:tcPr>
          <w:p>
            <w:pPr>
              <w:spacing w:after="0"/>
              <w:rPr>
                <w:sz w:val="1"/>
                <w:szCs w:val="1"/>
                <w:color w:val="auto"/>
              </w:rPr>
            </w:pPr>
          </w:p>
        </w:tc>
      </w:tr>
      <w:tr>
        <w:trPr>
          <w:trHeight w:val="234"/>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 revenues</w:t>
            </w:r>
          </w:p>
        </w:tc>
        <w:tc>
          <w:tcPr>
            <w:tcW w:w="520" w:type="dxa"/>
            <w:vAlign w:val="bottom"/>
            <w:gridSpan w:val="2"/>
            <w:shd w:val="clear" w:color="auto" w:fill="C0FF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b w:val="1"/>
                <w:bCs w:val="1"/>
                <w:color w:val="auto"/>
              </w:rPr>
              <w:t>394,375</w:t>
            </w:r>
          </w:p>
        </w:tc>
        <w:tc>
          <w:tcPr>
            <w:tcW w:w="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401,452</w:t>
            </w: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395,906</w:t>
            </w: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468,316</w:t>
            </w:r>
          </w:p>
        </w:tc>
        <w:tc>
          <w:tcPr>
            <w:tcW w:w="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475,360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Cost of merchandise sold</w:t>
            </w:r>
          </w:p>
        </w:tc>
        <w:tc>
          <w:tcPr>
            <w:tcW w:w="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b w:val="1"/>
                <w:bCs w:val="1"/>
                <w:color w:val="auto"/>
              </w:rPr>
              <w:t>234,227</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239,556</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247,511</w:t>
            </w:r>
          </w:p>
        </w:tc>
        <w:tc>
          <w:tcPr>
            <w:tcW w:w="2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270,918</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162,334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163,910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161,692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185,608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Store preopening</w:t>
            </w:r>
          </w:p>
        </w:tc>
        <w:tc>
          <w:tcPr>
            <w:tcW w:w="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b w:val="1"/>
                <w:bCs w:val="1"/>
                <w:color w:val="auto"/>
              </w:rPr>
              <w:t>547</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Store closing</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981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Losses from investment in affiliate</w:t>
            </w:r>
          </w:p>
        </w:tc>
        <w:tc>
          <w:tcPr>
            <w:tcW w:w="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9,615</w:t>
            </w:r>
          </w:p>
        </w:tc>
        <w:tc>
          <w:tcPr>
            <w:tcW w:w="2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costs and expenses</w:t>
            </w:r>
          </w:p>
        </w:tc>
        <w:tc>
          <w:tcPr>
            <w:tcW w:w="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b w:val="1"/>
                <w:bCs w:val="1"/>
                <w:color w:val="auto"/>
              </w:rPr>
              <w:t>397,027</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403,924</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419,746</w:t>
            </w:r>
          </w:p>
        </w:tc>
        <w:tc>
          <w:tcPr>
            <w:tcW w:w="2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461,089</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440,337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0FFFF"/>
          </w:tcPr>
          <w:p>
            <w:pPr>
              <w:spacing w:after="0"/>
              <w:rPr>
                <w:sz w:val="2"/>
                <w:szCs w:val="2"/>
                <w:color w:val="auto"/>
              </w:rPr>
            </w:pPr>
          </w:p>
        </w:tc>
        <w:tc>
          <w:tcPr>
            <w:tcW w:w="3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(2,652)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(23,840)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b w:val="1"/>
                <w:bCs w:val="1"/>
                <w:color w:val="auto"/>
              </w:rPr>
              <w:t>14,410</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(11,367)</w:t>
            </w:r>
          </w:p>
        </w:tc>
        <w:tc>
          <w:tcPr>
            <w:tcW w:w="2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2,663</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0FFFF"/>
          </w:tcPr>
          <w:p>
            <w:pPr>
              <w:spacing w:after="0"/>
              <w:rPr>
                <w:sz w:val="2"/>
                <w:szCs w:val="2"/>
                <w:color w:val="auto"/>
              </w:rPr>
            </w:pPr>
          </w:p>
        </w:tc>
        <w:tc>
          <w:tcPr>
            <w:tcW w:w="3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(17,062)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104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(12,473)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4,564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0FFFF"/>
          </w:tcPr>
          <w:p>
            <w:pPr>
              <w:spacing w:after="0"/>
              <w:rPr>
                <w:sz w:val="20"/>
                <w:szCs w:val="20"/>
                <w:color w:val="auto"/>
              </w:rPr>
            </w:pPr>
            <w:r>
              <w:rPr>
                <w:rFonts w:ascii="Arial" w:cs="Arial" w:eastAsia="Arial" w:hAnsi="Arial"/>
                <w:sz w:val="18"/>
                <w:szCs w:val="18"/>
                <w:color w:val="auto"/>
              </w:rPr>
              <w:t>Earnings (loss) per common share:</w:t>
            </w:r>
          </w:p>
        </w:tc>
        <w:tc>
          <w:tcPr>
            <w:tcW w:w="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(0.98)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0FF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b w:val="1"/>
                <w:bCs w:val="1"/>
                <w:color w:val="auto"/>
              </w:rPr>
              <w:t>(0.98)</w:t>
            </w:r>
          </w:p>
        </w:tc>
        <w:tc>
          <w:tcPr>
            <w:tcW w:w="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0.01</w:t>
            </w: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Shares used in computing common per share amounts: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b w:val="1"/>
                <w:bCs w:val="1"/>
                <w:color w:val="auto"/>
              </w:rPr>
              <w:t>17,371,315</w:t>
            </w:r>
          </w:p>
        </w:tc>
        <w:tc>
          <w:tcPr>
            <w:tcW w:w="1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18,601,465</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18,874,352</w:t>
            </w:r>
          </w:p>
        </w:tc>
        <w:tc>
          <w:tcPr>
            <w:tcW w:w="2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9"/>
              </w:rPr>
              <w:t>19,153,123</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20,256,847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17,371,315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18,653,012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18,874,352</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19,224,273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20,448,793</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Fiscal Year</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(Dollars in</w:t>
            </w:r>
          </w:p>
        </w:tc>
        <w:tc>
          <w:tcPr>
            <w:tcW w:w="5960" w:type="dxa"/>
            <w:vAlign w:val="bottom"/>
            <w:gridSpan w:val="15"/>
          </w:tcPr>
          <w:p>
            <w:pPr>
              <w:jc w:val="right"/>
              <w:ind w:right="300"/>
              <w:spacing w:after="0"/>
              <w:rPr>
                <w:sz w:val="20"/>
                <w:szCs w:val="20"/>
                <w:color w:val="auto"/>
              </w:rPr>
            </w:pPr>
            <w:r>
              <w:rPr>
                <w:rFonts w:ascii="Arial" w:cs="Arial" w:eastAsia="Arial" w:hAnsi="Arial"/>
                <w:sz w:val="18"/>
                <w:szCs w:val="18"/>
                <w:b w:val="1"/>
                <w:bCs w:val="1"/>
                <w:color w:val="auto"/>
                <w:w w:val="84"/>
              </w:rPr>
              <w:t>thousands, except share, per share, per store and per gross square foot data)</w:t>
            </w:r>
          </w:p>
        </w:tc>
        <w:tc>
          <w:tcPr>
            <w:tcW w:w="0" w:type="dxa"/>
            <w:vAlign w:val="bottom"/>
          </w:tcPr>
          <w:p>
            <w:pPr>
              <w:spacing w:after="0"/>
              <w:rPr>
                <w:sz w:val="1"/>
                <w:szCs w:val="1"/>
                <w:color w:val="auto"/>
              </w:rPr>
            </w:pPr>
          </w:p>
        </w:tc>
      </w:tr>
      <w:tr>
        <w:trPr>
          <w:trHeight w:val="198"/>
        </w:trPr>
        <w:tc>
          <w:tcPr>
            <w:tcW w:w="4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Retail gross margin ($) (1)</w:t>
            </w:r>
          </w:p>
        </w:tc>
        <w:tc>
          <w:tcPr>
            <w:tcW w:w="220" w:type="dxa"/>
            <w:vAlign w:val="bottom"/>
            <w:shd w:val="clear" w:color="auto" w:fill="C0FF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154,468</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155,128</w:t>
            </w: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142,572</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190,500</w:t>
            </w:r>
          </w:p>
        </w:tc>
        <w:tc>
          <w:tcPr>
            <w:tcW w:w="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209,090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Retail gross margin (%) (1)</w:t>
            </w:r>
          </w:p>
        </w:tc>
        <w:tc>
          <w:tcPr>
            <w:tcW w:w="2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39.9%</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 expenditures, net (2)</w:t>
            </w:r>
          </w:p>
        </w:tc>
        <w:tc>
          <w:tcPr>
            <w:tcW w:w="220" w:type="dxa"/>
            <w:vAlign w:val="bottom"/>
            <w:shd w:val="clear" w:color="auto" w:fill="C0FF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12,248</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14,649</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8,148</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23,215</w:t>
            </w:r>
          </w:p>
        </w:tc>
        <w:tc>
          <w:tcPr>
            <w:tcW w:w="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24,232</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26,976</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28,487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28,883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Cash flows provided by operating activities</w:t>
            </w:r>
          </w:p>
        </w:tc>
        <w:tc>
          <w:tcPr>
            <w:tcW w:w="220" w:type="dxa"/>
            <w:vAlign w:val="bottom"/>
            <w:shd w:val="clear" w:color="auto" w:fill="C0FF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16,010</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22,021</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23,990</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23,615</w:t>
            </w:r>
          </w:p>
        </w:tc>
        <w:tc>
          <w:tcPr>
            <w:tcW w:w="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Cash flows used in investing activities</w:t>
            </w:r>
          </w:p>
        </w:tc>
        <w:tc>
          <w:tcPr>
            <w:tcW w:w="220" w:type="dxa"/>
            <w:vAlign w:val="bottom"/>
          </w:tcPr>
          <w:p>
            <w:pPr>
              <w:spacing w:after="0"/>
              <w:rPr>
                <w:sz w:val="18"/>
                <w:szCs w:val="18"/>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(13,318)</w:t>
            </w: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(8,898)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(26,629)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Cash flows provided by (used in) financing activities</w:t>
            </w:r>
          </w:p>
        </w:tc>
        <w:tc>
          <w:tcPr>
            <w:tcW w:w="2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90"/>
              <w:spacing w:after="0"/>
              <w:rPr>
                <w:sz w:val="20"/>
                <w:szCs w:val="20"/>
                <w:color w:val="auto"/>
              </w:rPr>
            </w:pPr>
            <w:r>
              <w:rPr>
                <w:rFonts w:ascii="Arial" w:cs="Arial" w:eastAsia="Arial" w:hAnsi="Arial"/>
                <w:sz w:val="18"/>
                <w:szCs w:val="18"/>
                <w:b w:val="1"/>
                <w:bCs w:val="1"/>
                <w:color w:val="auto"/>
              </w:rPr>
              <w:t>(14,587)</w:t>
            </w:r>
          </w:p>
        </w:tc>
        <w:tc>
          <w:tcPr>
            <w:tcW w:w="24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(7,216)</w:t>
            </w:r>
          </w:p>
        </w:tc>
        <w:tc>
          <w:tcPr>
            <w:tcW w:w="1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(14,024)</w:t>
            </w: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Store data (3):</w:t>
            </w: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Number of stores at end of period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288</w:t>
            </w:r>
          </w:p>
        </w:tc>
        <w:tc>
          <w:tcPr>
            <w:tcW w:w="24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stores</w:t>
            </w: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346</w:t>
            </w:r>
          </w:p>
        </w:tc>
        <w:tc>
          <w:tcPr>
            <w:tcW w:w="3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Square footage at end of period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830,437</w:t>
            </w:r>
          </w:p>
        </w:tc>
        <w:tc>
          <w:tcPr>
            <w:tcW w:w="240" w:type="dxa"/>
            <w:vAlign w:val="bottom"/>
            <w:shd w:val="clear" w:color="auto" w:fill="C0FFFF"/>
          </w:tcPr>
          <w:p>
            <w:pPr>
              <w:spacing w:after="0"/>
              <w:rPr>
                <w:sz w:val="18"/>
                <w:szCs w:val="18"/>
                <w:color w:val="auto"/>
              </w:rPr>
            </w:pPr>
          </w:p>
        </w:tc>
        <w:tc>
          <w:tcPr>
            <w:tcW w:w="8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841,600</w:t>
            </w: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846,373</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856,504</w:t>
            </w: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810,208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Europe (4)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84,022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77,870</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77,520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77,520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70,577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Total square footage</w:t>
            </w: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914,459</w:t>
            </w:r>
          </w:p>
        </w:tc>
        <w:tc>
          <w:tcPr>
            <w:tcW w:w="3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919,470</w:t>
            </w: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923,893</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934,024</w:t>
            </w: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880,785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60"/>
              <w:spacing w:after="0" w:line="201" w:lineRule="exact"/>
              <w:rPr>
                <w:sz w:val="20"/>
                <w:szCs w:val="20"/>
                <w:color w:val="auto"/>
              </w:rPr>
            </w:pPr>
            <w:r>
              <w:rPr>
                <w:rFonts w:ascii="Arial" w:cs="Arial" w:eastAsia="Arial" w:hAnsi="Arial"/>
                <w:sz w:val="18"/>
                <w:szCs w:val="18"/>
                <w:color w:val="auto"/>
                <w:w w:val="98"/>
              </w:rPr>
              <w:t>Average net retail sales per store - North America (5)</w:t>
            </w:r>
          </w:p>
        </w:tc>
        <w:tc>
          <w:tcPr>
            <w:tcW w:w="22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1,021</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340"/>
              <w:spacing w:after="0"/>
              <w:rPr>
                <w:sz w:val="20"/>
                <w:szCs w:val="20"/>
                <w:color w:val="auto"/>
              </w:rPr>
            </w:pPr>
            <w:r>
              <w:rPr>
                <w:rFonts w:ascii="Arial" w:cs="Arial" w:eastAsia="Arial" w:hAnsi="Arial"/>
                <w:sz w:val="18"/>
                <w:szCs w:val="18"/>
                <w:color w:val="auto"/>
              </w:rPr>
              <w:t>(6)</w:t>
            </w:r>
          </w:p>
        </w:tc>
        <w:tc>
          <w:tcPr>
            <w:tcW w:w="22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1,044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1,329</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w w:val="97"/>
              </w:rPr>
              <w:t>Net retail sales per gross square foot - North America</w:t>
            </w:r>
          </w:p>
        </w:tc>
        <w:tc>
          <w:tcPr>
            <w:tcW w:w="220" w:type="dxa"/>
            <w:vAlign w:val="bottom"/>
            <w:vMerge w:val="restart"/>
            <w:shd w:val="clear" w:color="auto" w:fill="C0FF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vMerge w:val="restart"/>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354</w:t>
            </w:r>
          </w:p>
        </w:tc>
        <w:tc>
          <w:tcPr>
            <w:tcW w:w="240" w:type="dxa"/>
            <w:vAlign w:val="bottom"/>
            <w:shd w:val="clear" w:color="auto" w:fill="C0FFFF"/>
          </w:tcPr>
          <w:p>
            <w:pPr>
              <w:spacing w:after="0"/>
              <w:rPr>
                <w:sz w:val="17"/>
                <w:szCs w:val="17"/>
                <w:color w:val="auto"/>
              </w:rPr>
            </w:pPr>
          </w:p>
        </w:tc>
        <w:tc>
          <w:tcPr>
            <w:tcW w:w="86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26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26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(6) (7)</w:t>
            </w:r>
          </w:p>
        </w:tc>
        <w:tc>
          <w:tcPr>
            <w:tcW w:w="220" w:type="dxa"/>
            <w:vAlign w:val="bottom"/>
            <w:vMerge w:val="continue"/>
            <w:shd w:val="clear" w:color="auto" w:fill="C0FFFF"/>
          </w:tcPr>
          <w:p>
            <w:pPr>
              <w:spacing w:after="0"/>
              <w:rPr>
                <w:sz w:val="20"/>
                <w:szCs w:val="20"/>
                <w:color w:val="auto"/>
              </w:rPr>
            </w:pPr>
          </w:p>
        </w:tc>
        <w:tc>
          <w:tcPr>
            <w:tcW w:w="1220" w:type="dxa"/>
            <w:vAlign w:val="bottom"/>
            <w:gridSpan w:val="2"/>
            <w:vMerge w:val="continue"/>
            <w:shd w:val="clear" w:color="auto" w:fill="C0FFFF"/>
          </w:tcPr>
          <w:p>
            <w:pPr>
              <w:spacing w:after="0"/>
              <w:rPr>
                <w:sz w:val="20"/>
                <w:szCs w:val="20"/>
                <w:color w:val="auto"/>
              </w:rPr>
            </w:pP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358</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445</w:t>
            </w:r>
          </w:p>
        </w:tc>
        <w:tc>
          <w:tcPr>
            <w:tcW w:w="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8"/>
              </w:rPr>
              <w:t>Consolidated comparable store sales change (%) (8)</w:t>
            </w:r>
          </w:p>
        </w:tc>
        <w:tc>
          <w:tcPr>
            <w:tcW w:w="22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0FF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46,367</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58,755</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60,399</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47,000</w:t>
            </w:r>
          </w:p>
        </w:tc>
        <w:tc>
          <w:tcPr>
            <w:tcW w:w="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18"/>
                <w:szCs w:val="18"/>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37,610</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51,671</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53,865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38,880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50"/>
              <w:spacing w:after="0"/>
              <w:rPr>
                <w:sz w:val="20"/>
                <w:szCs w:val="20"/>
                <w:color w:val="auto"/>
              </w:rPr>
            </w:pPr>
            <w:r>
              <w:rPr>
                <w:rFonts w:ascii="Arial" w:cs="Arial" w:eastAsia="Arial" w:hAnsi="Arial"/>
                <w:sz w:val="18"/>
                <w:szCs w:val="18"/>
                <w:b w:val="1"/>
                <w:bCs w:val="1"/>
                <w:color w:val="auto"/>
              </w:rPr>
              <w:t>241,571</w:t>
            </w:r>
          </w:p>
        </w:tc>
        <w:tc>
          <w:tcPr>
            <w:tcW w:w="240" w:type="dxa"/>
            <w:vAlign w:val="bottom"/>
            <w:shd w:val="clear" w:color="auto" w:fill="C0FFFF"/>
          </w:tcPr>
          <w:p>
            <w:pPr>
              <w:spacing w:after="0"/>
              <w:rPr>
                <w:sz w:val="18"/>
                <w:szCs w:val="18"/>
                <w:color w:val="auto"/>
              </w:rPr>
            </w:pPr>
          </w:p>
        </w:tc>
        <w:tc>
          <w:tcPr>
            <w:tcW w:w="8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275,794</w:t>
            </w:r>
          </w:p>
        </w:tc>
        <w:tc>
          <w:tcPr>
            <w:tcW w:w="3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284,273</w:t>
            </w:r>
          </w:p>
        </w:tc>
        <w:tc>
          <w:tcPr>
            <w:tcW w:w="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300,152</w:t>
            </w: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339,531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129,243</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157,713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164,780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167,725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193,608</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00" w:right="320" w:hanging="492"/>
        <w:spacing w:after="0" w:line="258"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percentage represents retail gross margin divided by net retail sales.</w:t>
      </w:r>
    </w:p>
    <w:p>
      <w:pPr>
        <w:spacing w:after="0" w:line="1"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 net consist of leasehold improvements, furniture and fixtures, land, buildings, computer equipment and software purchases, as well as trademarks, intellectual property, key money deposits and deferred leasing fees.</w:t>
      </w: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our webstore and temporary, seasonal and event-based locations.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Square footage for stores located in Europe is estimated selling square footage and includes stores in the United Kingdom, Ireland and France.</w:t>
      </w:r>
    </w:p>
    <w:p>
      <w:pPr>
        <w:spacing w:after="0" w:line="20" w:lineRule="exact"/>
        <w:rPr>
          <w:rFonts w:ascii="Arial" w:cs="Arial" w:eastAsia="Arial" w:hAnsi="Arial"/>
          <w:sz w:val="17"/>
          <w:szCs w:val="17"/>
          <w:color w:val="auto"/>
        </w:rPr>
      </w:pPr>
    </w:p>
    <w:p>
      <w:pPr>
        <w:ind w:left="500" w:right="8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net retail sales per store represents net retail sales from stores open throughout the entire period in North America divided by the total number of such stores.</w:t>
      </w:r>
    </w:p>
    <w:p>
      <w:pPr>
        <w:ind w:left="500" w:right="14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we refer to average net retail sales per store and net retail sales per gross square foot for any period, we include in those calculations only those stores that have been open for that entire period in North America. European stores are not included.</w:t>
      </w:r>
    </w:p>
    <w:p>
      <w:pPr>
        <w:ind w:left="500" w:right="38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gross square foot represents net retail sales from stores open throughout the entire period in North America divided by the total gross square footage of such stores. European stores are not included.</w:t>
      </w:r>
    </w:p>
    <w:p>
      <w:pPr>
        <w:ind w:left="500" w:right="180" w:hanging="492"/>
        <w:spacing w:after="0" w:line="25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Stores are considered comparable beginning in their thirteenth full month of operation. Fiscal 2008 first quarter was the first quarter that our European operations met the criteria for inclusion in our comparable store calculation. As such, fiscal 2008 is the first period to include comparable store sales change for Europe in the consolidated comparable store sales change.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9" w:name="page30"/>
    <w:bookmarkEnd w:id="29"/>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 As of December 31, 2011, we operated 288 stores in the United States, Canada and Puerto Rico, 56 stores in the United Kingdom and two stores in Ireland, and had 79 franchised stores operating in international locations under the Build-A-Bear Workshop brand. In addition to our stores, we sell our products on our e-commerce Web site, buildabear.com and market our products and build our brand through our “virtual world” Web site, bearville.com, which complements our interactive shopping experience and positively enhances our core brand value. We also operate non-traditional store locations in Major League Baseball ballparks, six temporary locations, one location in a zoo, one location in a science center and an airport.</w:t>
      </w:r>
    </w:p>
    <w:p>
      <w:pPr>
        <w:spacing w:after="0" w:line="2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224" w:lineRule="exact"/>
        <w:rPr>
          <w:sz w:val="20"/>
          <w:szCs w:val="20"/>
          <w:color w:val="auto"/>
        </w:rPr>
      </w:pPr>
    </w:p>
    <w:p>
      <w:pPr>
        <w:ind w:left="440" w:right="6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Company-owned retail stores located in the United States, Canada, Puerto Rico, the United Kingdom and Ireland, a webstore and seasonal, event-based locations;</w:t>
      </w:r>
    </w:p>
    <w:p>
      <w:pPr>
        <w:spacing w:after="0" w:line="224" w:lineRule="exact"/>
        <w:rPr>
          <w:rFonts w:ascii="Arial" w:cs="Arial" w:eastAsia="Arial" w:hAnsi="Arial"/>
          <w:sz w:val="18"/>
          <w:szCs w:val="18"/>
          <w:color w:val="auto"/>
        </w:rPr>
      </w:pPr>
    </w:p>
    <w:p>
      <w:pPr>
        <w:ind w:left="440" w:right="28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Transactions with other business partners, mainly comprised of licensing our intellectual property, including entertainment properties, for third-party use and wholesale product sales; and</w:t>
      </w:r>
    </w:p>
    <w:p>
      <w:pPr>
        <w:spacing w:after="0" w:line="224" w:lineRule="exact"/>
        <w:rPr>
          <w:rFonts w:ascii="Arial" w:cs="Arial" w:eastAsia="Arial" w:hAnsi="Arial"/>
          <w:sz w:val="18"/>
          <w:szCs w:val="18"/>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stores operated under franchise agreements.</w:t>
      </w:r>
    </w:p>
    <w:p>
      <w:pPr>
        <w:spacing w:after="0" w:line="27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Selected financial data attributable to each segment for fiscal 2011, 2010 and 2009, are set forth in Note 19 to our consolidated financial statements included elsewhere in this Annual Report on Form 10-K.</w:t>
      </w:r>
    </w:p>
    <w:p>
      <w:pPr>
        <w:spacing w:after="0" w:line="224"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For a discussion of the key trends and uncertainties that have affected our revenues, income and liquidity, see the “— Revenues,” “— Costs and Expenses” and “— Expansion and Growth Potential” subsections of this Overview.</w:t>
      </w:r>
    </w:p>
    <w:p>
      <w:pPr>
        <w:spacing w:after="0" w:line="224"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We believe that we have developed an appealing retail store concept that, for North American stores open for the entire year, averaged $1.0 million in fiscal 2011, fiscal 2010 and fiscal 2009 in net retail sales per store. For a discussion of the changes in comparable store sales in fiscal years 2011, 2010 and 2009, see “— Revenues” below. Store contribution, which consists of income (loss) before income tax expense (benefit); interest; store depreciation, amortization and impairment; store preopening expense; store closing expense; losses from investment in affiliate and general and administrative expense, excluding franchise fees, income from commercial activities and contribution from our webstore, temporary and seasonal event-based locations, as a percentage of net retail sales, excluding revenue from our webstore, temporary and seasonal and event-based locations, was 15.2% for fiscal 2011, 15.3% for fiscal 2010 and 12.4% for fiscal 2009. Total company net loss as a percentage of total revenues was 4.3% for fiscal 2011 and 3.2% for fiscal 2009. Total company net income as a percentage of total revenues was 0.0% for fiscal 2010. See “— Non-GAAP Financial Measures” for a reconciliation of store contribution to net (loss) income. The net loss in 2011 was primarily attributable to the decrease in comparable store sales and the recording of a valuation allowance on the Company’s US deferred tax assets. Net income increased in 2010 due to stable store sales trends, continued cost reductions, improvements in margin and leverage of fixed costs. Additionally, certain non-cash charges included in 2009 did not recur, or were significantly lower in 2010. Net income declined in 2009 due primarily to the decrease in comparable store sales and the impact of certain non-cash charges. In 2009, merchandise margin improvement was more than offset by fixed occupancy cost deleverage due primarily to the decrease in comparable store sales.</w:t>
      </w:r>
    </w:p>
    <w:p>
      <w:pPr>
        <w:spacing w:after="0" w:line="175"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In 2011, our results reflect stablizing economic trends and modest mall traffic increases but continuing low levels of consumer confidence. In 2011, our store contribution percentage was essentially flat with 2010, as declining sales were offset by lower store expenses, specifically payroll and supplies. In 2009 and 2010, our results reflect the challenging retail environment – economic recession, declining mall traffic, and slowing consumer spending – factors impacting many retailers and particularly our company given the discretionary nature of our products and our experience. In 2010, our store contribution increased, primarily due to a significant decrease in store asset impairment charges as compared to 2009 as well as improvements in margin and leverage of fixed store costs. In 2009, our total store contribution declined, primarily due to a 13.4% decrease in comparable store sales. This decrease in total store contribution was partially offset by approximately $25 million in cost reductions in North America in 2009.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ind w:right="40" w:firstLine="486"/>
        <w:spacing w:after="0" w:line="268" w:lineRule="auto"/>
        <w:rPr>
          <w:sz w:val="20"/>
          <w:szCs w:val="20"/>
          <w:color w:val="auto"/>
        </w:rPr>
      </w:pPr>
      <w:r>
        <w:rPr>
          <w:rFonts w:ascii="Arial" w:cs="Arial" w:eastAsia="Arial" w:hAnsi="Arial"/>
          <w:sz w:val="17"/>
          <w:szCs w:val="17"/>
          <w:color w:val="auto"/>
        </w:rPr>
        <w:t>Our 2012 plan balances our long term business goals while recognizing the continuing challenges of the retail environment. We plan to improve store productivity and profitability by strategically closing fifteen to twenty stores during the year and reducing the square footage of select stores by relocating them within the same malls. While we believe our market potential in North America is approximately 300 to 325, stores, this right-sizing will allow us to focus on our business and align all operations around our goals of improving our comparable stores sales performance and store productivity, while also building our long term brand value. At the same time, we will build our first newly designed stores that feature a bold new look and enhanced experience as we continue to be a leader in the interactive experiential retail space. While Build-A-Bear Workshop in North America will be leaner with fewer stores that have higher volumes and profitability, we will continue to grow internationally in our company-owned operations in the UK and through our franchisees. We also intend to increase shopping frequency by increasing new guest traffic to its stores, specifically focusing on families with children, by refreshing our loyalty program and intensifying digital engagement to increase visits from our existing guests and by reinforcing our store as a top destination for gifts. In 2009, we implemented cost reduction initiatives that resulted in approximately $25 million in pre-tax savings. We were able to maintain these savings in 2010 and 2011 and saved an additional $3 million in 2011. We anticipate an additional $9 million in savings in 2012, a portion of which will offset expected product cost increases. We ended fiscal 2011 with no borrowings under our bank loan agreement and with $46 million in cash and cash equivalents after investing $12 million in capital projects and $15 million in share repurchases.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8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i w:val="1"/>
          <w:iCs w:val="1"/>
          <w:color w:val="auto"/>
        </w:rPr>
        <w:t xml:space="preserve">Net retail sales: </w:t>
      </w:r>
      <w:r>
        <w:rPr>
          <w:rFonts w:ascii="Arial" w:cs="Arial" w:eastAsia="Arial" w:hAnsi="Arial"/>
          <w:sz w:val="17"/>
          <w:szCs w:val="17"/>
          <w:color w:val="auto"/>
        </w:rPr>
        <w:t>Net retail sales are revenues from retail sales (including our webstore and other non-store locations), are net of discounts, exclude sales</w:t>
      </w:r>
      <w:r>
        <w:rPr>
          <w:rFonts w:ascii="Arial" w:cs="Arial" w:eastAsia="Arial" w:hAnsi="Arial"/>
          <w:sz w:val="17"/>
          <w:szCs w:val="17"/>
          <w:i w:val="1"/>
          <w:iCs w:val="1"/>
          <w:color w:val="auto"/>
        </w:rPr>
        <w:t xml:space="preserve"> </w:t>
      </w:r>
      <w:r>
        <w:rPr>
          <w:rFonts w:ascii="Arial" w:cs="Arial" w:eastAsia="Arial" w:hAnsi="Arial"/>
          <w:sz w:val="17"/>
          <w:szCs w:val="17"/>
          <w:color w:val="auto"/>
        </w:rPr>
        <w:t>tax, include shipping and handling costs billed to customers, and are recognized at the time of sale. Revenues from gift cards are recognized at the time of redemption. Our guests use cash, checks, gift cards and third party credit cards to make purchases. We classify stores as new, non-comparable and comparable stores. Stores enter the comparable store calculation in their thirteenth full month of operation. Our webstore and temporary, seasonal and event-based locations are not included in our store count or in our comparable store calculations. Non-comparable stores also result from a store relocation or remodel that results in a significant change in square footage. The net retail sales for that location are excluded from comparable store sales calculations until the thirteenth full month of operation after the date of the change. In fiscal 2008 and 2009, we closed all Friends 2B Made locations. All but one of these locations were inside or adjacent to a Build-A-Bear Workshop store and were excluded from our store count Other than one stand-alone store in Ontario, California, the closures of these locations were considered remodels of existing Build-A-Bear Workshop stores and were not included as closures. The net retail sales of these expanded Build-A-Bear Workshop stores were excluded from comparable store sales calculations until the thirteenth full month of operation after the date of the expansion as well as after the subsequent closure.</w:t>
      </w:r>
    </w:p>
    <w:p>
      <w:pPr>
        <w:spacing w:after="0" w:line="23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have a loyalty program with a frequent shopper reward feature in North America, the Stuff Fur Stuff club. Through 2011, guests enrolled in the program received one point for every dollar or partial dollar spent and, after reaching 100 points, received a $10 discount on a future purchase. On a quarterly basis, an estimate of the obligation related to the program, based on actual points and certificates outstanding and historical point conversion and certificate redemption patterns, is recorded as an adjustment to deferred revenue and net retail sales. At the time of redemption of the $10 discount, the deferred revenue obligation is reduced, and a corresponding amount is recognized in net retail sales. As the reward certificates can be earned or redeemed at any of our store locations, we account for changes in the deferred revenue account at the total company level only. Therefore, when we refer to net retail sales by location, such as comparable stores or new stores, these amounts do not include any changes in the deferred revenue amount. See “---Critical Accounting Estimates” for additional details on the accounting for the deferred revenue under our customer loyalty program.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1" w:name="page32"/>
    <w:bookmarkEnd w:id="31"/>
    <w:p>
      <w:pPr>
        <w:ind w:firstLine="486"/>
        <w:spacing w:after="0" w:line="277" w:lineRule="auto"/>
        <w:rPr>
          <w:sz w:val="20"/>
          <w:szCs w:val="20"/>
          <w:color w:val="auto"/>
        </w:rPr>
      </w:pPr>
      <w:r>
        <w:rPr>
          <w:rFonts w:ascii="Arial" w:cs="Arial" w:eastAsia="Arial" w:hAnsi="Arial"/>
          <w:sz w:val="18"/>
          <w:szCs w:val="18"/>
          <w:color w:val="auto"/>
        </w:rPr>
        <w:t>We use net retail sales per gross square foot and comparable store sales as performance measures for our business. The following table details net retail sales per gross square foot by age of store for the periods presented: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Fiscal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Fiscal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Fiscal</w:t>
            </w: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6"/>
        </w:trPr>
        <w:tc>
          <w:tcPr>
            <w:tcW w:w="48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Net retail sales per gross square foot - North America </w:t>
            </w:r>
            <w:r>
              <w:rPr>
                <w:rFonts w:ascii="Arial" w:cs="Arial" w:eastAsia="Arial" w:hAnsi="Arial"/>
                <w:sz w:val="25"/>
                <w:szCs w:val="25"/>
                <w:color w:val="auto"/>
                <w:vertAlign w:val="superscript"/>
              </w:rPr>
              <w:t>(1) (2)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0FFFF"/>
          </w:tcPr>
          <w:p>
            <w:pPr>
              <w:ind w:left="180"/>
              <w:spacing w:after="0"/>
              <w:rPr>
                <w:sz w:val="20"/>
                <w:szCs w:val="20"/>
                <w:color w:val="auto"/>
              </w:rPr>
            </w:pPr>
            <w:r>
              <w:rPr>
                <w:rFonts w:ascii="Arial" w:cs="Arial" w:eastAsia="Arial" w:hAnsi="Arial"/>
                <w:sz w:val="18"/>
                <w:szCs w:val="18"/>
                <w:color w:val="auto"/>
                <w:w w:val="96"/>
              </w:rPr>
              <w:t>Store Age &gt; 5 years (220, 194 and 164 stores, respectively)</w:t>
            </w:r>
          </w:p>
        </w:tc>
        <w:tc>
          <w:tcPr>
            <w:tcW w:w="5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362</w:t>
            </w:r>
          </w:p>
        </w:tc>
        <w:tc>
          <w:tcPr>
            <w:tcW w:w="4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370</w:t>
            </w:r>
          </w:p>
        </w:tc>
        <w:tc>
          <w:tcPr>
            <w:tcW w:w="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Store Age 3-5 years (56, 71 and 62 stores respectively)</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0FFFF"/>
          </w:tcPr>
          <w:p>
            <w:pPr>
              <w:ind w:left="180"/>
              <w:spacing w:after="0"/>
              <w:rPr>
                <w:sz w:val="20"/>
                <w:szCs w:val="20"/>
                <w:color w:val="auto"/>
              </w:rPr>
            </w:pPr>
            <w:r>
              <w:rPr>
                <w:rFonts w:ascii="Arial" w:cs="Arial" w:eastAsia="Arial" w:hAnsi="Arial"/>
                <w:sz w:val="18"/>
                <w:szCs w:val="18"/>
                <w:color w:val="auto"/>
              </w:rPr>
              <w:t>Store Age &lt;3 years (4, 21 and 59 stores, respectively)</w:t>
            </w:r>
          </w:p>
        </w:tc>
        <w:tc>
          <w:tcPr>
            <w:tcW w:w="5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369</w:t>
            </w:r>
          </w:p>
        </w:tc>
        <w:tc>
          <w:tcPr>
            <w:tcW w:w="4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317</w:t>
            </w:r>
          </w:p>
        </w:tc>
        <w:tc>
          <w:tcPr>
            <w:tcW w:w="3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0FF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All comparable stores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93" w:lineRule="exact"/>
        <w:rPr>
          <w:sz w:val="20"/>
          <w:szCs w:val="20"/>
          <w:color w:val="auto"/>
        </w:rPr>
      </w:pPr>
    </w:p>
    <w:p>
      <w:pPr>
        <w:ind w:left="500" w:right="20" w:hanging="492"/>
        <w:spacing w:after="0" w:line="258"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retail sales per gross square foot represents net retail sales from North American stores open throughout the entire period divided by the total gross square footage of such stores. Calculated on an annual basis only.</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our webstore, temporary and seasonal and event-based locations.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increase (or decrease) in comparable store sales for the periods presented below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Fiscal</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Fiscal</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w:t>
            </w:r>
          </w:p>
        </w:tc>
        <w:tc>
          <w:tcPr>
            <w:tcW w:w="0" w:type="dxa"/>
            <w:vAlign w:val="bottom"/>
          </w:tcPr>
          <w:p>
            <w:pPr>
              <w:spacing w:after="0"/>
              <w:rPr>
                <w:sz w:val="1"/>
                <w:szCs w:val="1"/>
                <w:color w:val="auto"/>
              </w:rPr>
            </w:pPr>
          </w:p>
        </w:tc>
      </w:tr>
      <w:tr>
        <w:trPr>
          <w:trHeight w:val="241"/>
        </w:trPr>
        <w:tc>
          <w:tcPr>
            <w:tcW w:w="5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Comparable store sales change - North America (%) </w:t>
            </w:r>
            <w:r>
              <w:rPr>
                <w:rFonts w:ascii="Arial" w:cs="Arial" w:eastAsia="Arial" w:hAnsi="Arial"/>
                <w:sz w:val="25"/>
                <w:szCs w:val="25"/>
                <w:color w:val="auto"/>
                <w:vertAlign w:val="superscript"/>
              </w:rPr>
              <w:t>(1) (2)</w:t>
            </w: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0FFFF"/>
          </w:tcPr>
          <w:p>
            <w:pPr>
              <w:ind w:left="180"/>
              <w:spacing w:after="0"/>
              <w:rPr>
                <w:sz w:val="20"/>
                <w:szCs w:val="20"/>
                <w:color w:val="auto"/>
              </w:rPr>
            </w:pPr>
            <w:r>
              <w:rPr>
                <w:rFonts w:ascii="Arial" w:cs="Arial" w:eastAsia="Arial" w:hAnsi="Arial"/>
                <w:sz w:val="18"/>
                <w:szCs w:val="18"/>
                <w:color w:val="auto"/>
              </w:rPr>
              <w:t>Store Age &gt; 5 years (220, 194 and 164 stores, respectively)</w:t>
            </w:r>
          </w:p>
        </w:tc>
        <w:tc>
          <w:tcPr>
            <w:tcW w:w="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w w:val="98"/>
              </w:rPr>
              <w:t>(2.1)%</w:t>
            </w:r>
          </w:p>
        </w:tc>
        <w:tc>
          <w:tcPr>
            <w:tcW w:w="82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4"/>
              </w:rPr>
              <w:t>(0.4)%</w:t>
            </w:r>
          </w:p>
        </w:tc>
        <w:tc>
          <w:tcPr>
            <w:tcW w:w="1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Arial" w:cs="Arial" w:eastAsia="Arial" w:hAnsi="Arial"/>
                <w:sz w:val="18"/>
                <w:szCs w:val="18"/>
                <w:color w:val="auto"/>
              </w:rPr>
              <w:t>Store Age 3-5 years (56, 71 and 62 stores respectively)</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(5.1)%</w:t>
            </w:r>
          </w:p>
        </w:tc>
        <w:tc>
          <w:tcPr>
            <w:tcW w:w="8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0FFFF"/>
          </w:tcPr>
          <w:p>
            <w:pPr>
              <w:ind w:left="180"/>
              <w:spacing w:after="0"/>
              <w:rPr>
                <w:sz w:val="20"/>
                <w:szCs w:val="20"/>
                <w:color w:val="auto"/>
              </w:rPr>
            </w:pPr>
            <w:r>
              <w:rPr>
                <w:rFonts w:ascii="Arial" w:cs="Arial" w:eastAsia="Arial" w:hAnsi="Arial"/>
                <w:sz w:val="18"/>
                <w:szCs w:val="18"/>
                <w:color w:val="auto"/>
              </w:rPr>
              <w:t>Store Age &lt;3 years (4, 21 and 59 stores, respectively)</w:t>
            </w:r>
          </w:p>
        </w:tc>
        <w:tc>
          <w:tcPr>
            <w:tcW w:w="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82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4"/>
              </w:rPr>
              <w:t>(3.8)%</w:t>
            </w:r>
          </w:p>
        </w:tc>
        <w:tc>
          <w:tcPr>
            <w:tcW w:w="1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80"/>
              <w:spacing w:after="0"/>
              <w:rPr>
                <w:sz w:val="20"/>
                <w:szCs w:val="20"/>
                <w:color w:val="auto"/>
              </w:rPr>
            </w:pPr>
            <w:r>
              <w:rPr>
                <w:rFonts w:ascii="Arial" w:cs="Arial" w:eastAsia="Arial" w:hAnsi="Arial"/>
                <w:sz w:val="18"/>
                <w:szCs w:val="18"/>
                <w:color w:val="auto"/>
              </w:rPr>
              <w:t>Total comparable store sales change</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(2.5)%</w:t>
            </w:r>
          </w:p>
        </w:tc>
        <w:tc>
          <w:tcPr>
            <w:tcW w:w="8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Comparable store sales change - Europe (%) </w:t>
            </w:r>
            <w:r>
              <w:rPr>
                <w:rFonts w:ascii="Arial" w:cs="Arial" w:eastAsia="Arial" w:hAnsi="Arial"/>
                <w:sz w:val="25"/>
                <w:szCs w:val="25"/>
                <w:color w:val="auto"/>
                <w:vertAlign w:val="superscript"/>
              </w:rPr>
              <w:t>(1) (2)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(0.2)%</w:t>
            </w:r>
          </w:p>
        </w:tc>
        <w:tc>
          <w:tcPr>
            <w:tcW w:w="8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vMerge w:val="continue"/>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 xml:space="preserve">Comparable store sales change - Consolidated (%) </w:t>
            </w:r>
            <w:r>
              <w:rPr>
                <w:rFonts w:ascii="Arial" w:cs="Arial" w:eastAsia="Arial" w:hAnsi="Arial"/>
                <w:sz w:val="25"/>
                <w:szCs w:val="25"/>
                <w:color w:val="auto"/>
                <w:vertAlign w:val="superscript"/>
              </w:rPr>
              <w:t>(1) (2)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(2.1)%</w:t>
            </w:r>
          </w:p>
        </w:tc>
        <w:tc>
          <w:tcPr>
            <w:tcW w:w="82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46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99" w:lineRule="exact"/>
        <w:rPr>
          <w:sz w:val="20"/>
          <w:szCs w:val="20"/>
          <w:color w:val="auto"/>
        </w:rPr>
      </w:pPr>
    </w:p>
    <w:p>
      <w:pPr>
        <w:ind w:left="500" w:right="140" w:hanging="492"/>
        <w:spacing w:after="0" w:line="25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and stores are considered comparable beginning in their thirteenth full month of operation.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our webstore, temporary and seasonal and event-based locations.</w:t>
      </w:r>
    </w:p>
    <w:p>
      <w:pPr>
        <w:spacing w:after="0" w:line="265"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Fiscal 2011 consolidated comparable store sales decreased by 2.1%, including a 0.2% decrease in Europe and a 2.5% decrease in North America (full year comparable store sales are compared to the 52 week period ended Jan. 1, 2011). We believe the overall decline in consolidated comparable store sales for the full year was attributed primarily to the following factors:</w:t>
      </w:r>
    </w:p>
    <w:p>
      <w:pPr>
        <w:spacing w:after="0" w:line="235" w:lineRule="exact"/>
        <w:rPr>
          <w:sz w:val="20"/>
          <w:szCs w:val="20"/>
          <w:color w:val="auto"/>
        </w:rPr>
      </w:pPr>
    </w:p>
    <w:p>
      <w:pPr>
        <w:jc w:val="both"/>
        <w:ind w:left="660" w:right="8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Through the third quarter, we had experienced a 0.9% decrease in consolidated comparable store sale. Growth in third quarter sales, which resulted from improved merchandise assortments and successful promotional events, only partially offset comparable stores sales declines in the first half of the year, which were primarily driven by a decline in transactions and negative consumer sentiment and spending in the UK.</w:t>
      </w:r>
    </w:p>
    <w:p>
      <w:pPr>
        <w:spacing w:after="0" w:line="219"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Further sales declines in the fourth quarter, attributable to underperforming licensed movie product, resulted in a decline for the full year.</w:t>
      </w:r>
    </w:p>
    <w:p>
      <w:pPr>
        <w:spacing w:after="0" w:line="29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Fiscal 2010 consolidated comparable store sales decreased by 2.0%, including a 5.5% decrease in Europe and a 1.2% decrease in North America (full year comparable store sales are compared to the 52 week period ended Jan. 2, 2010). We believe the decline in consolidated comparable store sales was attributed primarily to the following factors:</w:t>
      </w:r>
    </w:p>
    <w:p>
      <w:pPr>
        <w:spacing w:after="0" w:line="235" w:lineRule="exact"/>
        <w:rPr>
          <w:sz w:val="20"/>
          <w:szCs w:val="20"/>
          <w:color w:val="auto"/>
        </w:rPr>
      </w:pPr>
    </w:p>
    <w:p>
      <w:pPr>
        <w:ind w:left="660" w:right="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continuing impact of the economic recession and resulting pullback in consumer spending impacted our comparable store sales particularly in Europe. While these factors impact many retailers we believe that they impact our comparable store sales particularly given the discretionary nature of our products and our experience.</w:t>
      </w:r>
    </w:p>
    <w:p>
      <w:pPr>
        <w:spacing w:after="0" w:line="23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believe that our product selection and improved integration of product marketing and store operations positively impacted our North American comparable store sales trend in 2010.</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2" w:name="page33"/>
    <w:bookmarkEnd w:id="32"/>
    <w:p>
      <w:pPr>
        <w:ind w:firstLine="486"/>
        <w:spacing w:after="0" w:line="255" w:lineRule="auto"/>
        <w:rPr>
          <w:sz w:val="20"/>
          <w:szCs w:val="20"/>
          <w:color w:val="auto"/>
        </w:rPr>
      </w:pPr>
      <w:r>
        <w:rPr>
          <w:rFonts w:ascii="Arial" w:cs="Arial" w:eastAsia="Arial" w:hAnsi="Arial"/>
          <w:sz w:val="18"/>
          <w:szCs w:val="18"/>
          <w:i w:val="1"/>
          <w:iCs w:val="1"/>
          <w:color w:val="auto"/>
        </w:rPr>
        <w:t xml:space="preserve">Commercial revenue: </w:t>
      </w:r>
      <w:r>
        <w:rPr>
          <w:rFonts w:ascii="Arial" w:cs="Arial" w:eastAsia="Arial" w:hAnsi="Arial"/>
          <w:sz w:val="18"/>
          <w:szCs w:val="18"/>
          <w:color w:val="auto"/>
        </w:rPr>
        <w:t>Commercial revenue, includes the company’s transactions with other businesses, mainly through wholesale and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Revenue from licensing activities is generally based on a percentage of sales made by licensees to third parties and is recognized at the time the product is shipped by the licensee or at the point of sale. We have entered into a number of licensing arrangements whereby third parties manufacture and sell to other retailers merchandise carrying the Build-A-Bear Workshop trademark. Revenue from wholesale product sales includes revenue from merchandise sold at stores operated by third parties under licensing agreements like Landry’s restaurants. In 2010, it also includes two transactions totaling $6.4 million with no associated gross margin.</w:t>
      </w:r>
    </w:p>
    <w:p>
      <w:pPr>
        <w:spacing w:after="0" w:line="24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Franchise fees: </w:t>
      </w:r>
      <w:r>
        <w:rPr>
          <w:rFonts w:ascii="Arial" w:cs="Arial" w:eastAsia="Arial" w:hAnsi="Arial"/>
          <w:sz w:val="18"/>
          <w:szCs w:val="18"/>
          <w:color w:val="auto"/>
        </w:rPr>
        <w:t>We receive an initial, one-time franchise fee for each master franchise agreement which is amortized to revenue over the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franchise agreements, which extend for periods up to 25 years. Master franchise rights are typically granted to a franchisee for an entire country or countries. Continuing franchise fees are based on a percentage of sales made by the franchisees’ stores and are recognized as revenue at the time of those sales.</w:t>
      </w:r>
    </w:p>
    <w:p>
      <w:pPr>
        <w:spacing w:after="0" w:line="241"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As of December 31, 2011, we had 79 stores, including 19 opened and three closed in fiscal 2011, operating under franchise arrangements in the following countries: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Germany</w:t>
            </w:r>
          </w:p>
        </w:tc>
        <w:tc>
          <w:tcPr>
            <w:tcW w:w="1360" w:type="dxa"/>
            <w:vAlign w:val="bottom"/>
            <w:shd w:val="clear" w:color="auto" w:fill="C0FFFF"/>
          </w:tcPr>
          <w:p>
            <w:pPr>
              <w:jc w:val="center"/>
              <w:ind w:left="10"/>
              <w:spacing w:after="0"/>
              <w:rPr>
                <w:sz w:val="20"/>
                <w:szCs w:val="20"/>
                <w:color w:val="auto"/>
              </w:rPr>
            </w:pPr>
            <w:r>
              <w:rPr>
                <w:rFonts w:ascii="Arial" w:cs="Arial" w:eastAsia="Arial" w:hAnsi="Arial"/>
                <w:sz w:val="18"/>
                <w:szCs w:val="18"/>
                <w:color w:val="auto"/>
                <w:w w:val="89"/>
              </w:rPr>
              <w:t>17</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Japan</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Australia</w:t>
            </w:r>
          </w:p>
        </w:tc>
        <w:tc>
          <w:tcPr>
            <w:tcW w:w="1360" w:type="dxa"/>
            <w:vAlign w:val="bottom"/>
            <w:shd w:val="clear" w:color="auto" w:fill="C0FFFF"/>
          </w:tcPr>
          <w:p>
            <w:pPr>
              <w:jc w:val="center"/>
              <w:ind w:left="10"/>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Denmark</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Mexico</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8</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South Africa</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Thailand</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5</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Singapore</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line="216" w:lineRule="exact"/>
              <w:rPr>
                <w:sz w:val="20"/>
                <w:szCs w:val="20"/>
                <w:color w:val="auto"/>
              </w:rPr>
            </w:pPr>
            <w:r>
              <w:rPr>
                <w:rFonts w:ascii="Arial" w:cs="Arial" w:eastAsia="Arial" w:hAnsi="Arial"/>
                <w:sz w:val="18"/>
                <w:szCs w:val="18"/>
                <w:color w:val="auto"/>
              </w:rPr>
              <w:t xml:space="preserve">Gulf States </w:t>
            </w:r>
            <w:r>
              <w:rPr>
                <w:rFonts w:ascii="Arial" w:cs="Arial" w:eastAsia="Arial" w:hAnsi="Arial"/>
                <w:sz w:val="25"/>
                <w:szCs w:val="25"/>
                <w:color w:val="auto"/>
                <w:vertAlign w:val="superscript"/>
              </w:rPr>
              <w:t>(1)</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4</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Norway</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0FFFF"/>
          </w:tcPr>
          <w:p>
            <w:pPr>
              <w:spacing w:after="0"/>
              <w:rPr>
                <w:sz w:val="20"/>
                <w:szCs w:val="20"/>
                <w:color w:val="auto"/>
              </w:rPr>
            </w:pPr>
            <w:r>
              <w:rPr>
                <w:rFonts w:ascii="Arial" w:cs="Arial" w:eastAsia="Arial" w:hAnsi="Arial"/>
                <w:sz w:val="18"/>
                <w:szCs w:val="18"/>
                <w:color w:val="auto"/>
              </w:rPr>
              <w:t>Brazil</w:t>
            </w:r>
          </w:p>
        </w:tc>
        <w:tc>
          <w:tcPr>
            <w:tcW w:w="136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Sweden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8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0FFFF"/>
          </w:tcPr>
          <w:p>
            <w:pPr>
              <w:jc w:val="center"/>
              <w:ind w:left="10"/>
              <w:spacing w:after="0"/>
              <w:rPr>
                <w:sz w:val="20"/>
                <w:szCs w:val="20"/>
                <w:color w:val="auto"/>
              </w:rPr>
            </w:pPr>
            <w:r>
              <w:rPr>
                <w:rFonts w:ascii="Arial" w:cs="Arial" w:eastAsia="Arial" w:hAnsi="Arial"/>
                <w:sz w:val="18"/>
                <w:szCs w:val="18"/>
                <w:color w:val="auto"/>
                <w:w w:val="89"/>
              </w:rPr>
              <w:t>79</w:t>
            </w:r>
          </w:p>
        </w:tc>
        <w:tc>
          <w:tcPr>
            <w:tcW w:w="8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Gulf States agreement includes Kuwait, Bahrain, Qatar, Oman and the United Arab Emirates.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83"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i w:val="1"/>
          <w:iCs w:val="1"/>
          <w:color w:val="auto"/>
        </w:rPr>
        <w:t xml:space="preserve">Cost of merchandise sold and retail gross margin: </w:t>
      </w:r>
      <w:r>
        <w:rPr>
          <w:rFonts w:ascii="Arial" w:cs="Arial" w:eastAsia="Arial" w:hAnsi="Arial"/>
          <w:sz w:val="17"/>
          <w:szCs w:val="17"/>
          <w:color w:val="auto"/>
        </w:rPr>
        <w:t>Cost of merchandise sold includes the cost of the merchandise, including royalties paid to licensors</w:t>
      </w:r>
      <w:r>
        <w:rPr>
          <w:rFonts w:ascii="Arial" w:cs="Arial" w:eastAsia="Arial" w:hAnsi="Arial"/>
          <w:sz w:val="17"/>
          <w:szCs w:val="17"/>
          <w:i w:val="1"/>
          <w:iCs w:val="1"/>
          <w:color w:val="auto"/>
        </w:rPr>
        <w:t xml:space="preserve"> </w:t>
      </w:r>
      <w:r>
        <w:rPr>
          <w:rFonts w:ascii="Arial" w:cs="Arial" w:eastAsia="Arial" w:hAnsi="Arial"/>
          <w:sz w:val="17"/>
          <w:szCs w:val="17"/>
          <w:color w:val="auto"/>
        </w:rPr>
        <w:t>of third party branded merchandise; store occupancy cost, including store depreciation and store asset impairment charges; cost of warehousing and distribution; packaging; stuffing; damages and shortages; and shipping and handling costs incurred in shipment to customers. Retail gross margin is defined as net retail sales less the cost of retail merchandise sold, which excludes cost of wholesale merchandise sold.</w:t>
      </w:r>
    </w:p>
    <w:p>
      <w:pPr>
        <w:spacing w:after="0" w:line="225"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These expenses include store payroll and benefits, advertising, credit card fees, and store supplies,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central office general and administrative expenses, including costs for virtual world maintenance, management payroll, benefits, stock-based compensation, travel, information systems, accounting, insurance, normal store closings, legal and public relations. These expenses also include depreciation and amortization of central office leasehold improvements, furniture, fixtures and equipment as well as the amortization of intellectual property costs.</w:t>
      </w:r>
    </w:p>
    <w:p>
      <w:pPr>
        <w:spacing w:after="0" w:line="20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2009, we achieved $22 million in savings in selling, general and administrative expenses including marketing, central office payroll and outside services. We were able to maintain these savings in 2010 and 2011. We anticipate an additional $9 million in savings in 2012, which we expect to offset expected product cost increases. Other store expenses such as credit card fees and supplies historically have increased or decreased proportionately with net retail sales.</w:t>
      </w:r>
    </w:p>
    <w:p>
      <w:pPr>
        <w:spacing w:after="0" w:line="24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have share-based compensation plans covering the majority of our management groups and our Board of Directors. We account for share-based payments utilizing the fair value recognition provisions of Accounting Standards Codification (ASC) Section 718 – Stock Compensation. We recognize compensation cost for equity awards on a straight-line basis over the requisite service period for the entire award. In 2011, 2010 and 2009, we recorded stock based compensation of approximately $4.6 million, $4.8 million and $4.3 million,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33" w:name="page34"/>
    <w:bookmarkEnd w:id="33"/>
    <w:p>
      <w:pPr>
        <w:ind w:right="160" w:firstLine="486"/>
        <w:spacing w:after="0" w:line="277" w:lineRule="auto"/>
        <w:rPr>
          <w:sz w:val="20"/>
          <w:szCs w:val="20"/>
          <w:color w:val="auto"/>
        </w:rPr>
      </w:pPr>
      <w:r>
        <w:rPr>
          <w:rFonts w:ascii="Arial" w:cs="Arial" w:eastAsia="Arial" w:hAnsi="Arial"/>
          <w:sz w:val="18"/>
          <w:szCs w:val="18"/>
          <w:i w:val="1"/>
          <w:iCs w:val="1"/>
          <w:color w:val="auto"/>
        </w:rPr>
        <w:t xml:space="preserve">Store preopening: </w:t>
      </w:r>
      <w:r>
        <w:rPr>
          <w:rFonts w:ascii="Arial" w:cs="Arial" w:eastAsia="Arial" w:hAnsi="Arial"/>
          <w:sz w:val="18"/>
          <w:szCs w:val="18"/>
          <w:color w:val="auto"/>
        </w:rPr>
        <w:t>Preopening costs are expensed as incurred and include store set-up, certain labor and hiring costs, and rental charges incurred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a store’s opening.</w:t>
      </w:r>
    </w:p>
    <w:p>
      <w:pPr>
        <w:spacing w:after="0" w:line="2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auto"/>
        </w:rPr>
        <w:t xml:space="preserve">Losses from investment in affiliate. </w:t>
      </w:r>
      <w:r>
        <w:rPr>
          <w:rFonts w:ascii="Arial" w:cs="Arial" w:eastAsia="Arial" w:hAnsi="Arial"/>
          <w:sz w:val="18"/>
          <w:szCs w:val="18"/>
          <w:color w:val="auto"/>
        </w:rPr>
        <w:t>Equity losses from investment in affiliate are the result of the allocation of losses related to our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Ridemakerz, LLC. Ridemakerz, while still in its start-up phase, had incurred substantial losses including charges resulting from a major restructuring of its operations that included store closings. Under the agreements in place in 2009, we were the sole member of an equity class that is allocated losses only following the allocation of losses to all other common and preferred equity holders to the extent of their capital contributions. All of the priority equity members’ capital was reduced to zero in the fiscal 2009 second quarter. We continued to provide services to Ridemakerz in exchange for equity in 2010. The book value of our investment was $-0- at December 31, 2011 and January 1, 2011.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and Growth Potential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7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number of Build-A-Bear Workshop stores in the United States, Canada, Puerto Rico, the United Kingdom, Ireland and France for the last three fiscal years can be summarized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Fiscal</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Fiscal</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Fiscal</w:t>
            </w:r>
          </w:p>
        </w:tc>
      </w:tr>
      <w:tr>
        <w:trPr>
          <w:trHeight w:val="241"/>
        </w:trPr>
        <w:tc>
          <w:tcPr>
            <w:tcW w:w="2320" w:type="dxa"/>
            <w:vAlign w:val="bottom"/>
            <w:gridSpan w:val="2"/>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Beginning of period</w:t>
            </w:r>
          </w:p>
        </w:tc>
        <w:tc>
          <w:tcPr>
            <w:tcW w:w="380" w:type="dxa"/>
            <w:vAlign w:val="bottom"/>
            <w:shd w:val="clear" w:color="auto" w:fill="C0FFFF"/>
          </w:tcPr>
          <w:p>
            <w:pPr>
              <w:jc w:val="center"/>
              <w:spacing w:after="0"/>
              <w:rPr>
                <w:sz w:val="20"/>
                <w:szCs w:val="20"/>
                <w:color w:val="auto"/>
              </w:rPr>
            </w:pPr>
            <w:r>
              <w:rPr>
                <w:rFonts w:ascii="Arial" w:cs="Arial" w:eastAsia="Arial" w:hAnsi="Arial"/>
                <w:sz w:val="18"/>
                <w:szCs w:val="18"/>
                <w:b w:val="1"/>
                <w:bCs w:val="1"/>
                <w:color w:val="auto"/>
                <w:w w:val="86"/>
              </w:rPr>
              <w:t>344</w:t>
            </w:r>
          </w:p>
        </w:tc>
        <w:tc>
          <w:tcPr>
            <w:tcW w:w="10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38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6"/>
              </w:rPr>
              <w:t>345</w:t>
            </w:r>
          </w:p>
        </w:tc>
        <w:tc>
          <w:tcPr>
            <w:tcW w:w="2460" w:type="dxa"/>
            <w:vAlign w:val="bottom"/>
            <w:gridSpan w:val="2"/>
            <w:shd w:val="clear" w:color="auto" w:fill="C0FFFF"/>
          </w:tcPr>
          <w:p>
            <w:pPr>
              <w:jc w:val="center"/>
              <w:ind w:left="2010"/>
              <w:spacing w:after="0"/>
              <w:rPr>
                <w:sz w:val="20"/>
                <w:szCs w:val="20"/>
                <w:color w:val="auto"/>
              </w:rPr>
            </w:pPr>
            <w:r>
              <w:rPr>
                <w:rFonts w:ascii="Arial" w:cs="Arial" w:eastAsia="Arial" w:hAnsi="Arial"/>
                <w:sz w:val="18"/>
                <w:szCs w:val="18"/>
                <w:color w:val="auto"/>
                <w:w w:val="93"/>
              </w:rPr>
              <w:t>346</w:t>
            </w:r>
          </w:p>
        </w:tc>
        <w:tc>
          <w:tcPr>
            <w:tcW w:w="54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460" w:type="dxa"/>
            <w:vAlign w:val="bottom"/>
            <w:gridSpan w:val="2"/>
          </w:tcPr>
          <w:p>
            <w:pPr>
              <w:jc w:val="center"/>
              <w:ind w:left="2010"/>
              <w:spacing w:after="0"/>
              <w:rPr>
                <w:sz w:val="20"/>
                <w:szCs w:val="20"/>
                <w:color w:val="auto"/>
              </w:rPr>
            </w:pPr>
            <w:r>
              <w:rPr>
                <w:rFonts w:ascii="Arial" w:cs="Arial" w:eastAsia="Arial" w:hAnsi="Arial"/>
                <w:sz w:val="18"/>
                <w:szCs w:val="18"/>
                <w:color w:val="auto"/>
                <w:w w:val="79"/>
              </w:rPr>
              <w:t>1</w:t>
            </w:r>
          </w:p>
        </w:tc>
        <w:tc>
          <w:tcPr>
            <w:tcW w:w="5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Closed</w:t>
            </w:r>
          </w:p>
        </w:tc>
        <w:tc>
          <w:tcPr>
            <w:tcW w:w="980" w:type="dxa"/>
            <w:vAlign w:val="bottom"/>
            <w:tcBorders>
              <w:bottom w:val="single" w:sz="8" w:color="auto"/>
            </w:tcBorders>
            <w:shd w:val="clear" w:color="auto" w:fill="C0FFFF"/>
          </w:tcPr>
          <w:p>
            <w:pPr>
              <w:spacing w:after="0"/>
              <w:rPr>
                <w:sz w:val="19"/>
                <w:szCs w:val="19"/>
                <w:color w:val="auto"/>
              </w:rPr>
            </w:pPr>
          </w:p>
        </w:tc>
        <w:tc>
          <w:tcPr>
            <w:tcW w:w="380" w:type="dxa"/>
            <w:vAlign w:val="bottom"/>
            <w:tcBorders>
              <w:bottom w:val="single" w:sz="8" w:color="auto"/>
            </w:tcBorders>
            <w:shd w:val="clear" w:color="auto" w:fill="C0FFFF"/>
          </w:tcPr>
          <w:p>
            <w:pPr>
              <w:jc w:val="center"/>
              <w:spacing w:after="0"/>
              <w:rPr>
                <w:sz w:val="20"/>
                <w:szCs w:val="20"/>
                <w:color w:val="auto"/>
              </w:rPr>
            </w:pPr>
            <w:r>
              <w:rPr>
                <w:rFonts w:ascii="Arial" w:cs="Arial" w:eastAsia="Arial" w:hAnsi="Arial"/>
                <w:sz w:val="18"/>
                <w:szCs w:val="18"/>
                <w:b w:val="1"/>
                <w:bCs w:val="1"/>
                <w:color w:val="auto"/>
                <w:w w:val="99"/>
              </w:rPr>
              <w:t>(6)</w:t>
            </w:r>
          </w:p>
        </w:tc>
        <w:tc>
          <w:tcPr>
            <w:tcW w:w="1080" w:type="dxa"/>
            <w:vAlign w:val="bottom"/>
            <w:tcBorders>
              <w:bottom w:val="single" w:sz="8" w:color="C0FFFF"/>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spacing w:after="0"/>
              <w:rPr>
                <w:sz w:val="19"/>
                <w:szCs w:val="19"/>
                <w:color w:val="auto"/>
              </w:rPr>
            </w:pPr>
          </w:p>
        </w:tc>
        <w:tc>
          <w:tcPr>
            <w:tcW w:w="380" w:type="dxa"/>
            <w:vAlign w:val="bottom"/>
            <w:tcBorders>
              <w:bottom w:val="single" w:sz="8" w:color="auto"/>
            </w:tcBorders>
            <w:shd w:val="clear" w:color="auto" w:fill="C0FFFF"/>
          </w:tcPr>
          <w:p>
            <w:pPr>
              <w:jc w:val="center"/>
              <w:spacing w:after="0"/>
              <w:rPr>
                <w:sz w:val="20"/>
                <w:szCs w:val="20"/>
                <w:color w:val="auto"/>
              </w:rPr>
            </w:pPr>
            <w:r>
              <w:rPr>
                <w:rFonts w:ascii="Arial" w:cs="Arial" w:eastAsia="Arial" w:hAnsi="Arial"/>
                <w:sz w:val="18"/>
                <w:szCs w:val="18"/>
                <w:color w:val="auto"/>
                <w:w w:val="99"/>
              </w:rPr>
              <w:t>(5)</w:t>
            </w:r>
          </w:p>
        </w:tc>
        <w:tc>
          <w:tcPr>
            <w:tcW w:w="1080" w:type="dxa"/>
            <w:vAlign w:val="bottom"/>
            <w:tcBorders>
              <w:bottom w:val="single" w:sz="8" w:color="C0FFFF"/>
            </w:tcBorders>
            <w:shd w:val="clear" w:color="auto" w:fill="C0FFFF"/>
          </w:tcPr>
          <w:p>
            <w:pPr>
              <w:spacing w:after="0"/>
              <w:rPr>
                <w:sz w:val="19"/>
                <w:szCs w:val="19"/>
                <w:color w:val="auto"/>
              </w:rPr>
            </w:pPr>
          </w:p>
        </w:tc>
        <w:tc>
          <w:tcPr>
            <w:tcW w:w="1380" w:type="dxa"/>
            <w:vAlign w:val="bottom"/>
            <w:tcBorders>
              <w:bottom w:val="single" w:sz="8" w:color="auto"/>
            </w:tcBorders>
            <w:shd w:val="clear" w:color="auto" w:fill="C0FFFF"/>
          </w:tcPr>
          <w:p>
            <w:pPr>
              <w:jc w:val="center"/>
              <w:ind w:left="930"/>
              <w:spacing w:after="0"/>
              <w:rPr>
                <w:sz w:val="20"/>
                <w:szCs w:val="20"/>
                <w:color w:val="auto"/>
              </w:rPr>
            </w:pPr>
            <w:r>
              <w:rPr>
                <w:rFonts w:ascii="Arial" w:cs="Arial" w:eastAsia="Arial" w:hAnsi="Arial"/>
                <w:sz w:val="18"/>
                <w:szCs w:val="18"/>
                <w:color w:val="auto"/>
                <w:w w:val="90"/>
              </w:rPr>
              <w:t>(2)</w:t>
            </w:r>
          </w:p>
        </w:tc>
        <w:tc>
          <w:tcPr>
            <w:tcW w:w="54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6"/>
              </w:rPr>
              <w:t>346</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6"/>
              </w:rPr>
              <w:t>344</w:t>
            </w:r>
          </w:p>
        </w:tc>
        <w:tc>
          <w:tcPr>
            <w:tcW w:w="2460" w:type="dxa"/>
            <w:vAlign w:val="bottom"/>
            <w:gridSpan w:val="2"/>
          </w:tcPr>
          <w:p>
            <w:pPr>
              <w:jc w:val="center"/>
              <w:ind w:left="2010"/>
              <w:spacing w:after="0"/>
              <w:rPr>
                <w:sz w:val="20"/>
                <w:szCs w:val="20"/>
                <w:color w:val="auto"/>
              </w:rPr>
            </w:pPr>
            <w:r>
              <w:rPr>
                <w:rFonts w:ascii="Arial" w:cs="Arial" w:eastAsia="Arial" w:hAnsi="Arial"/>
                <w:sz w:val="18"/>
                <w:szCs w:val="18"/>
                <w:color w:val="auto"/>
                <w:w w:val="93"/>
              </w:rPr>
              <w:t>345</w:t>
            </w:r>
          </w:p>
        </w:tc>
        <w:tc>
          <w:tcPr>
            <w:tcW w:w="5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Friends 2B Made stores are not included in the number of store openings or closures in fiscal 2009 as noted above but rather are considered remodels of Build-A-Bear Workshop stores. In the fiscal 2008 third quarter, we announced plans to close the Friends 2B Made concept; concept closure was completed in the fiscal 2009 third quarter.</w:t>
      </w:r>
    </w:p>
    <w:p>
      <w:pPr>
        <w:spacing w:after="0" w:line="235"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 fiscal 2011, we opened three Build-A-Bear Workshop stores in North America and five in the United Kingdom. In fiscal 2012, we anticipate opening four to six Build-A-Bear Workshop stores and closing 15 to 20 stores, in accordance with natural lease events such as expirations and lease termination options. We will also relocate and downsize ten to fifteen stores within existing malls which will lead to higher productivity metrics in these locations. We believe there is a market potential for approximately 300 to 325 Build-A-Bear Workshop stores in the United States, Puerto Rico and Canada and 70 stores in the United Kingdom and Ireland.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Non-store Locations:</w:t>
      </w:r>
    </w:p>
    <w:p>
      <w:pPr>
        <w:spacing w:after="0" w:line="279" w:lineRule="exact"/>
        <w:rPr>
          <w:sz w:val="20"/>
          <w:szCs w:val="20"/>
          <w:color w:val="auto"/>
        </w:rPr>
      </w:pPr>
    </w:p>
    <w:p>
      <w:pPr>
        <w:ind w:right="180" w:firstLine="486"/>
        <w:spacing w:after="0" w:line="286" w:lineRule="auto"/>
        <w:rPr>
          <w:sz w:val="20"/>
          <w:szCs w:val="20"/>
          <w:color w:val="auto"/>
        </w:rPr>
      </w:pPr>
      <w:r>
        <w:rPr>
          <w:rFonts w:ascii="Arial" w:cs="Arial" w:eastAsia="Arial" w:hAnsi="Arial"/>
          <w:sz w:val="16"/>
          <w:szCs w:val="16"/>
          <w:color w:val="auto"/>
        </w:rPr>
        <w:t>In 2004 we began offering merchandise in seasonal, event-based locations such as Major League Baseball ballparks. We expect to expand our future presence at select seasonal and non-traditional locations contingent on their availability. As of December 31, 2011, we had a total of three ballpark locations. We opened our first store in a zoo during fiscal 2006, our first store in a science center during fiscal 2007 and our first store in an airport in 2011. In 2010, we opened our first temporary stores, which generally have lease terms of six to eighteen months and are excluded from our store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count. These locations are intended to capitalize on short-term opportunities in specific locations. As of December 31, 2011, six temporary stores were open.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Revenue:</w:t>
      </w:r>
    </w:p>
    <w:p>
      <w:pPr>
        <w:spacing w:after="0" w:line="27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fiscal 2004, we began entering into license agreements pursuant to which we receive royalties on Build-A-Bear Workshop brand products produced and sold by third parties. These agreements generated revenue of $1.8 million in 2011, $2.8 million in 2010 and $2.5 million in 2009. Wholesale revenue is primarily generated under agreements with third-parties who operate Build-A-Bear Workshop locations or sell our product in agreed-upon outlets. These agreements generated revenue of $2.1 million in 2011, $2.0 million in 2010 and $1.5 million in 2009. In addition to our normal wholesale business, in 2010, we had two wholesale transactions totaling $6.4 million with no gross margin. We anticipate entering into additional license and wholesale agreements in the future.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34" w:name="page35"/>
    <w:bookmarkEnd w:id="34"/>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79"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Our first franchisee location was opened in November 2003. The number of international, franchised stores opened and closed for the periods presented below can be summarized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8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Fiscal</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Fiscal</w:t>
            </w:r>
          </w:p>
        </w:tc>
        <w:tc>
          <w:tcPr>
            <w:tcW w:w="1080" w:type="dxa"/>
            <w:vAlign w:val="bottom"/>
          </w:tcPr>
          <w:p>
            <w:pPr>
              <w:spacing w:after="0"/>
              <w:rPr>
                <w:sz w:val="18"/>
                <w:szCs w:val="18"/>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Fiscal</w:t>
            </w:r>
          </w:p>
        </w:tc>
      </w:tr>
      <w:tr>
        <w:trPr>
          <w:trHeight w:val="241"/>
        </w:trPr>
        <w:tc>
          <w:tcPr>
            <w:tcW w:w="2340" w:type="dxa"/>
            <w:vAlign w:val="bottom"/>
            <w:gridSpan w:val="2"/>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Beginning of period</w:t>
            </w:r>
          </w:p>
        </w:tc>
        <w:tc>
          <w:tcPr>
            <w:tcW w:w="360" w:type="dxa"/>
            <w:vAlign w:val="bottom"/>
            <w:shd w:val="clear" w:color="auto" w:fill="C0FFFF"/>
          </w:tcPr>
          <w:p>
            <w:pPr>
              <w:jc w:val="center"/>
              <w:spacing w:after="0"/>
              <w:rPr>
                <w:sz w:val="20"/>
                <w:szCs w:val="20"/>
                <w:color w:val="auto"/>
              </w:rPr>
            </w:pPr>
            <w:r>
              <w:rPr>
                <w:rFonts w:ascii="Arial" w:cs="Arial" w:eastAsia="Arial" w:hAnsi="Arial"/>
                <w:sz w:val="18"/>
                <w:szCs w:val="18"/>
                <w:b w:val="1"/>
                <w:bCs w:val="1"/>
                <w:color w:val="auto"/>
                <w:w w:val="89"/>
              </w:rPr>
              <w:t>63</w:t>
            </w:r>
          </w:p>
        </w:tc>
        <w:tc>
          <w:tcPr>
            <w:tcW w:w="2500" w:type="dxa"/>
            <w:vAlign w:val="bottom"/>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65</w:t>
            </w:r>
          </w:p>
        </w:tc>
        <w:tc>
          <w:tcPr>
            <w:tcW w:w="2420" w:type="dxa"/>
            <w:vAlign w:val="bottom"/>
            <w:gridSpan w:val="2"/>
            <w:shd w:val="clear" w:color="auto" w:fill="C0FFFF"/>
          </w:tcPr>
          <w:p>
            <w:pPr>
              <w:jc w:val="center"/>
              <w:ind w:left="1990"/>
              <w:spacing w:after="0"/>
              <w:rPr>
                <w:sz w:val="20"/>
                <w:szCs w:val="20"/>
                <w:color w:val="auto"/>
              </w:rPr>
            </w:pPr>
            <w:r>
              <w:rPr>
                <w:rFonts w:ascii="Arial" w:cs="Arial" w:eastAsia="Arial" w:hAnsi="Arial"/>
                <w:sz w:val="18"/>
                <w:szCs w:val="18"/>
                <w:color w:val="auto"/>
                <w:w w:val="89"/>
              </w:rPr>
              <w:t>62</w:t>
            </w:r>
          </w:p>
        </w:tc>
        <w:tc>
          <w:tcPr>
            <w:tcW w:w="54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19</w:t>
            </w:r>
          </w:p>
        </w:tc>
        <w:tc>
          <w:tcPr>
            <w:tcW w:w="250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24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10</w:t>
            </w:r>
          </w:p>
        </w:tc>
        <w:tc>
          <w:tcPr>
            <w:tcW w:w="5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Closed</w:t>
            </w:r>
          </w:p>
        </w:tc>
        <w:tc>
          <w:tcPr>
            <w:tcW w:w="980" w:type="dxa"/>
            <w:vAlign w:val="bottom"/>
            <w:tcBorders>
              <w:bottom w:val="single" w:sz="8" w:color="auto"/>
            </w:tcBorders>
            <w:shd w:val="clear" w:color="auto" w:fill="C0FFFF"/>
          </w:tcPr>
          <w:p>
            <w:pPr>
              <w:spacing w:after="0"/>
              <w:rPr>
                <w:sz w:val="19"/>
                <w:szCs w:val="19"/>
                <w:color w:val="auto"/>
              </w:rPr>
            </w:pPr>
          </w:p>
        </w:tc>
        <w:tc>
          <w:tcPr>
            <w:tcW w:w="360" w:type="dxa"/>
            <w:vAlign w:val="bottom"/>
            <w:tcBorders>
              <w:bottom w:val="single" w:sz="8" w:color="auto"/>
            </w:tcBorders>
            <w:shd w:val="clear" w:color="auto" w:fill="C0FFFF"/>
          </w:tcPr>
          <w:p>
            <w:pPr>
              <w:jc w:val="center"/>
              <w:spacing w:after="0"/>
              <w:rPr>
                <w:sz w:val="20"/>
                <w:szCs w:val="20"/>
                <w:color w:val="auto"/>
              </w:rPr>
            </w:pPr>
            <w:r>
              <w:rPr>
                <w:rFonts w:ascii="Arial" w:cs="Arial" w:eastAsia="Arial" w:hAnsi="Arial"/>
                <w:sz w:val="18"/>
                <w:szCs w:val="18"/>
                <w:b w:val="1"/>
                <w:bCs w:val="1"/>
                <w:color w:val="auto"/>
                <w:w w:val="99"/>
              </w:rPr>
              <w:t>(3)</w:t>
            </w:r>
          </w:p>
        </w:tc>
        <w:tc>
          <w:tcPr>
            <w:tcW w:w="1080" w:type="dxa"/>
            <w:vAlign w:val="bottom"/>
            <w:tcBorders>
              <w:bottom w:val="single" w:sz="8" w:color="C0FFFF"/>
            </w:tcBorders>
            <w:shd w:val="clear" w:color="auto" w:fill="C0FFFF"/>
          </w:tcPr>
          <w:p>
            <w:pPr>
              <w:spacing w:after="0"/>
              <w:rPr>
                <w:sz w:val="19"/>
                <w:szCs w:val="19"/>
                <w:color w:val="auto"/>
              </w:rPr>
            </w:pPr>
          </w:p>
        </w:tc>
        <w:tc>
          <w:tcPr>
            <w:tcW w:w="14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C0FFFF"/>
            </w:tcBorders>
            <w:shd w:val="clear" w:color="auto" w:fill="C0FFFF"/>
          </w:tcPr>
          <w:p>
            <w:pPr>
              <w:spacing w:after="0"/>
              <w:rPr>
                <w:sz w:val="19"/>
                <w:szCs w:val="19"/>
                <w:color w:val="auto"/>
              </w:rPr>
            </w:pPr>
          </w:p>
        </w:tc>
        <w:tc>
          <w:tcPr>
            <w:tcW w:w="1340" w:type="dxa"/>
            <w:vAlign w:val="bottom"/>
            <w:tcBorders>
              <w:bottom w:val="single" w:sz="8" w:color="auto"/>
            </w:tcBorders>
            <w:shd w:val="clear" w:color="auto" w:fill="C0FFFF"/>
          </w:tcPr>
          <w:p>
            <w:pPr>
              <w:jc w:val="center"/>
              <w:ind w:left="930"/>
              <w:spacing w:after="0"/>
              <w:rPr>
                <w:sz w:val="20"/>
                <w:szCs w:val="20"/>
                <w:color w:val="auto"/>
              </w:rPr>
            </w:pPr>
            <w:r>
              <w:rPr>
                <w:rFonts w:ascii="Arial" w:cs="Arial" w:eastAsia="Arial" w:hAnsi="Arial"/>
                <w:sz w:val="18"/>
                <w:szCs w:val="18"/>
                <w:color w:val="auto"/>
                <w:w w:val="90"/>
              </w:rPr>
              <w:t>(7)</w:t>
            </w:r>
          </w:p>
        </w:tc>
        <w:tc>
          <w:tcPr>
            <w:tcW w:w="54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79</w:t>
            </w:r>
          </w:p>
        </w:tc>
        <w:tc>
          <w:tcPr>
            <w:tcW w:w="2500" w:type="dxa"/>
            <w:vAlign w:val="bottom"/>
            <w:gridSpan w:val="2"/>
          </w:tcPr>
          <w:p>
            <w:pPr>
              <w:jc w:val="right"/>
              <w:ind w:right="30"/>
              <w:spacing w:after="0"/>
              <w:rPr>
                <w:sz w:val="20"/>
                <w:szCs w:val="20"/>
                <w:color w:val="auto"/>
              </w:rPr>
            </w:pPr>
            <w:r>
              <w:rPr>
                <w:rFonts w:ascii="Arial" w:cs="Arial" w:eastAsia="Arial" w:hAnsi="Arial"/>
                <w:sz w:val="18"/>
                <w:szCs w:val="18"/>
                <w:color w:val="auto"/>
              </w:rPr>
              <w:t>63</w:t>
            </w:r>
          </w:p>
        </w:tc>
        <w:tc>
          <w:tcPr>
            <w:tcW w:w="24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65</w:t>
            </w:r>
          </w:p>
        </w:tc>
        <w:tc>
          <w:tcPr>
            <w:tcW w:w="5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 of December 31, 2011, we had 12 master franchise agreements, which typically grant franchise rights for a particular country or group of countries, covering an aggregate of 16 countries. In the ordinary course of business, we anticipate signing additional master franchise agreements in the future and terminating other such agreements. We expect our current franchisees to open ten to twelve stores in fiscal 2012, net of closures. We believe there is a market potential for approximately 300 international stores outside of the United States, Canada, the United Kingdom and Ireland, which we expect to be operated primarily by new and existing franchisees.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 data expressed as a percentage of total revenues, except where otherwise indicated. Percentages will not total due to cost of merchandise sold being expressed as a percentage of net retail sales and commercial revenue and immaterial rounding:</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Fiscal 2011</w:t>
            </w:r>
          </w:p>
        </w:tc>
        <w:tc>
          <w:tcPr>
            <w:tcW w:w="1220" w:type="dxa"/>
            <w:vAlign w:val="bottom"/>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Fiscal 2010</w:t>
            </w:r>
          </w:p>
        </w:tc>
        <w:tc>
          <w:tcPr>
            <w:tcW w:w="1200" w:type="dxa"/>
            <w:vAlign w:val="bottom"/>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Fiscal 2009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0FFFF"/>
          </w:tcPr>
          <w:p>
            <w:pPr>
              <w:ind w:left="260"/>
              <w:spacing w:after="0" w:line="201" w:lineRule="exact"/>
              <w:rPr>
                <w:sz w:val="20"/>
                <w:szCs w:val="20"/>
                <w:color w:val="auto"/>
              </w:rPr>
            </w:pPr>
            <w:r>
              <w:rPr>
                <w:rFonts w:ascii="Arial" w:cs="Arial" w:eastAsia="Arial" w:hAnsi="Arial"/>
                <w:sz w:val="18"/>
                <w:szCs w:val="18"/>
                <w:color w:val="auto"/>
              </w:rPr>
              <w:t>Net retail</w:t>
            </w:r>
          </w:p>
        </w:tc>
        <w:tc>
          <w:tcPr>
            <w:tcW w:w="1440" w:type="dxa"/>
            <w:vAlign w:val="bottom"/>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98.1</w:t>
            </w:r>
          </w:p>
        </w:tc>
        <w:tc>
          <w:tcPr>
            <w:tcW w:w="1220" w:type="dxa"/>
            <w:vAlign w:val="bottom"/>
            <w:vMerge w:val="restart"/>
            <w:shd w:val="clear" w:color="auto" w:fill="C0FFFF"/>
          </w:tcPr>
          <w:p>
            <w:pPr>
              <w:ind w:left="48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6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0FFFF"/>
          </w:tcPr>
          <w:p>
            <w:pPr>
              <w:ind w:left="260"/>
              <w:spacing w:after="0"/>
              <w:rPr>
                <w:sz w:val="20"/>
                <w:szCs w:val="20"/>
                <w:color w:val="auto"/>
              </w:rPr>
            </w:pPr>
            <w:r>
              <w:rPr>
                <w:rFonts w:ascii="Arial" w:cs="Arial" w:eastAsia="Arial" w:hAnsi="Arial"/>
                <w:sz w:val="18"/>
                <w:szCs w:val="18"/>
                <w:color w:val="auto"/>
              </w:rPr>
              <w:t>sales</w:t>
            </w:r>
          </w:p>
        </w:tc>
        <w:tc>
          <w:tcPr>
            <w:tcW w:w="1440" w:type="dxa"/>
            <w:vAlign w:val="bottom"/>
            <w:vMerge w:val="continue"/>
            <w:shd w:val="clear" w:color="auto" w:fill="C0FFFF"/>
          </w:tcPr>
          <w:p>
            <w:pPr>
              <w:spacing w:after="0"/>
              <w:rPr>
                <w:sz w:val="20"/>
                <w:szCs w:val="20"/>
                <w:color w:val="auto"/>
              </w:rPr>
            </w:pPr>
          </w:p>
        </w:tc>
        <w:tc>
          <w:tcPr>
            <w:tcW w:w="1220" w:type="dxa"/>
            <w:vAlign w:val="bottom"/>
            <w:vMerge w:val="continue"/>
            <w:shd w:val="clear" w:color="auto" w:fill="C0FFFF"/>
          </w:tcPr>
          <w:p>
            <w:pPr>
              <w:spacing w:after="0"/>
              <w:rPr>
                <w:sz w:val="20"/>
                <w:szCs w:val="20"/>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96.4</w:t>
            </w:r>
          </w:p>
        </w:tc>
        <w:tc>
          <w:tcPr>
            <w:tcW w:w="1200" w:type="dxa"/>
            <w:vAlign w:val="bottom"/>
            <w:shd w:val="clear" w:color="auto" w:fill="C0FFFF"/>
          </w:tcPr>
          <w:p>
            <w:pPr>
              <w:ind w:left="4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98.1</w:t>
            </w:r>
          </w:p>
        </w:tc>
        <w:tc>
          <w:tcPr>
            <w:tcW w:w="640" w:type="dxa"/>
            <w:vAlign w:val="bottom"/>
            <w:shd w:val="clear" w:color="auto" w:fill="C0FFFF"/>
          </w:tcPr>
          <w:p>
            <w:pPr>
              <w:ind w:left="4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ind w:left="260"/>
              <w:spacing w:after="0" w:line="201" w:lineRule="exact"/>
              <w:rPr>
                <w:sz w:val="20"/>
                <w:szCs w:val="20"/>
                <w:color w:val="auto"/>
              </w:rPr>
            </w:pPr>
            <w:r>
              <w:rPr>
                <w:rFonts w:ascii="Arial" w:cs="Arial" w:eastAsia="Arial" w:hAnsi="Arial"/>
                <w:sz w:val="18"/>
                <w:szCs w:val="18"/>
                <w:color w:val="auto"/>
              </w:rPr>
              <w:t>Commercial</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revenues</w:t>
            </w:r>
          </w:p>
        </w:tc>
        <w:tc>
          <w:tcPr>
            <w:tcW w:w="14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1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0FFFF"/>
          </w:tcPr>
          <w:p>
            <w:pPr>
              <w:ind w:left="260"/>
              <w:spacing w:after="0" w:line="201" w:lineRule="exact"/>
              <w:rPr>
                <w:sz w:val="20"/>
                <w:szCs w:val="20"/>
                <w:color w:val="auto"/>
              </w:rPr>
            </w:pPr>
            <w:r>
              <w:rPr>
                <w:rFonts w:ascii="Arial" w:cs="Arial" w:eastAsia="Arial" w:hAnsi="Arial"/>
                <w:sz w:val="18"/>
                <w:szCs w:val="18"/>
                <w:color w:val="auto"/>
              </w:rPr>
              <w:t>Franchise</w:t>
            </w:r>
          </w:p>
        </w:tc>
        <w:tc>
          <w:tcPr>
            <w:tcW w:w="1440" w:type="dxa"/>
            <w:vAlign w:val="bottom"/>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0.9</w:t>
            </w:r>
          </w:p>
        </w:tc>
        <w:tc>
          <w:tcPr>
            <w:tcW w:w="122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6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Borders>
              <w:bottom w:val="single" w:sz="8" w:color="C0FFFF"/>
            </w:tcBorders>
            <w:shd w:val="clear" w:color="auto" w:fill="C0FFFF"/>
          </w:tcPr>
          <w:p>
            <w:pPr>
              <w:ind w:left="260"/>
              <w:spacing w:after="0"/>
              <w:rPr>
                <w:sz w:val="20"/>
                <w:szCs w:val="20"/>
                <w:color w:val="auto"/>
              </w:rPr>
            </w:pPr>
            <w:r>
              <w:rPr>
                <w:rFonts w:ascii="Arial" w:cs="Arial" w:eastAsia="Arial" w:hAnsi="Arial"/>
                <w:sz w:val="18"/>
                <w:szCs w:val="18"/>
                <w:color w:val="auto"/>
              </w:rPr>
              <w:t>fees</w:t>
            </w:r>
          </w:p>
        </w:tc>
        <w:tc>
          <w:tcPr>
            <w:tcW w:w="1440" w:type="dxa"/>
            <w:vAlign w:val="bottom"/>
            <w:tcBorders>
              <w:bottom w:val="single" w:sz="8" w:color="auto"/>
            </w:tcBorders>
            <w:vMerge w:val="continue"/>
            <w:shd w:val="clear" w:color="auto" w:fill="C0FFFF"/>
          </w:tcPr>
          <w:p>
            <w:pPr>
              <w:spacing w:after="0"/>
              <w:rPr>
                <w:sz w:val="20"/>
                <w:szCs w:val="20"/>
                <w:color w:val="auto"/>
              </w:rPr>
            </w:pPr>
          </w:p>
        </w:tc>
        <w:tc>
          <w:tcPr>
            <w:tcW w:w="1220" w:type="dxa"/>
            <w:vAlign w:val="bottom"/>
            <w:tcBorders>
              <w:bottom w:val="single" w:sz="8" w:color="C0FFFF"/>
            </w:tcBorders>
            <w:shd w:val="clear" w:color="auto" w:fill="C0FFFF"/>
          </w:tcPr>
          <w:p>
            <w:pPr>
              <w:spacing w:after="0"/>
              <w:rPr>
                <w:sz w:val="20"/>
                <w:szCs w:val="20"/>
                <w:color w:val="auto"/>
              </w:rPr>
            </w:pPr>
          </w:p>
        </w:tc>
        <w:tc>
          <w:tcPr>
            <w:tcW w:w="1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0FFFF"/>
            </w:tcBorders>
            <w:shd w:val="clear" w:color="auto" w:fill="C0FFFF"/>
          </w:tcPr>
          <w:p>
            <w:pPr>
              <w:spacing w:after="0"/>
              <w:rPr>
                <w:sz w:val="20"/>
                <w:szCs w:val="20"/>
                <w:color w:val="auto"/>
              </w:rPr>
            </w:pPr>
          </w:p>
        </w:tc>
        <w:tc>
          <w:tcPr>
            <w:tcW w:w="1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0.8</w:t>
            </w:r>
          </w:p>
        </w:tc>
        <w:tc>
          <w:tcPr>
            <w:tcW w:w="640" w:type="dxa"/>
            <w:vAlign w:val="bottom"/>
            <w:tcBorders>
              <w:bottom w:val="single" w:sz="8" w:color="C0FFFF"/>
            </w:tcBorders>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Total revenues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Costs and</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0FFFF"/>
          </w:tcPr>
          <w:p>
            <w:pPr>
              <w:ind w:left="260"/>
              <w:spacing w:after="0" w:line="201" w:lineRule="exact"/>
              <w:rPr>
                <w:sz w:val="20"/>
                <w:szCs w:val="20"/>
                <w:color w:val="auto"/>
              </w:rPr>
            </w:pPr>
            <w:r>
              <w:rPr>
                <w:rFonts w:ascii="Arial" w:cs="Arial" w:eastAsia="Arial" w:hAnsi="Arial"/>
                <w:sz w:val="18"/>
                <w:szCs w:val="18"/>
                <w:color w:val="auto"/>
              </w:rPr>
              <w:t>Cost of</w:t>
            </w:r>
          </w:p>
        </w:tc>
        <w:tc>
          <w:tcPr>
            <w:tcW w:w="1440" w:type="dxa"/>
            <w:vAlign w:val="bottom"/>
            <w:shd w:val="clear" w:color="auto" w:fill="C0FFFF"/>
          </w:tcPr>
          <w:p>
            <w:pPr>
              <w:spacing w:after="0"/>
              <w:rPr>
                <w:sz w:val="17"/>
                <w:szCs w:val="17"/>
                <w:color w:val="auto"/>
              </w:rPr>
            </w:pPr>
          </w:p>
        </w:tc>
        <w:tc>
          <w:tcPr>
            <w:tcW w:w="122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6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0FFFF"/>
          </w:tcPr>
          <w:p>
            <w:pPr>
              <w:ind w:left="260"/>
              <w:spacing w:after="0"/>
              <w:rPr>
                <w:sz w:val="20"/>
                <w:szCs w:val="20"/>
                <w:color w:val="auto"/>
              </w:rPr>
            </w:pPr>
            <w:r>
              <w:rPr>
                <w:rFonts w:ascii="Arial" w:cs="Arial" w:eastAsia="Arial" w:hAnsi="Arial"/>
                <w:sz w:val="18"/>
                <w:szCs w:val="18"/>
                <w:color w:val="auto"/>
              </w:rPr>
              <w:t>merchandise</w:t>
            </w:r>
          </w:p>
        </w:tc>
        <w:tc>
          <w:tcPr>
            <w:tcW w:w="1440" w:type="dxa"/>
            <w:vAlign w:val="bottom"/>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59.9</w:t>
            </w:r>
          </w:p>
        </w:tc>
        <w:tc>
          <w:tcPr>
            <w:tcW w:w="122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0FFFF"/>
          </w:tcPr>
          <w:p>
            <w:pPr>
              <w:ind w:left="260"/>
              <w:spacing w:after="0" w:line="230" w:lineRule="exact"/>
              <w:rPr>
                <w:sz w:val="20"/>
                <w:szCs w:val="20"/>
                <w:color w:val="auto"/>
              </w:rPr>
            </w:pPr>
            <w:r>
              <w:rPr>
                <w:rFonts w:ascii="Arial" w:cs="Arial" w:eastAsia="Arial" w:hAnsi="Arial"/>
                <w:sz w:val="18"/>
                <w:szCs w:val="18"/>
                <w:color w:val="auto"/>
              </w:rPr>
              <w:t xml:space="preserve">sold </w:t>
            </w:r>
            <w:r>
              <w:rPr>
                <w:rFonts w:ascii="Arial" w:cs="Arial" w:eastAsia="Arial" w:hAnsi="Arial"/>
                <w:sz w:val="25"/>
                <w:szCs w:val="25"/>
                <w:color w:val="auto"/>
                <w:vertAlign w:val="superscript"/>
              </w:rPr>
              <w:t>(1)</w:t>
            </w:r>
          </w:p>
        </w:tc>
        <w:tc>
          <w:tcPr>
            <w:tcW w:w="1440" w:type="dxa"/>
            <w:vAlign w:val="bottom"/>
            <w:vMerge w:val="continue"/>
            <w:shd w:val="clear" w:color="auto" w:fill="C0FFFF"/>
          </w:tcPr>
          <w:p>
            <w:pPr>
              <w:spacing w:after="0"/>
              <w:rPr>
                <w:sz w:val="20"/>
                <w:szCs w:val="20"/>
                <w:color w:val="auto"/>
              </w:rPr>
            </w:pPr>
          </w:p>
        </w:tc>
        <w:tc>
          <w:tcPr>
            <w:tcW w:w="1220" w:type="dxa"/>
            <w:vAlign w:val="bottom"/>
            <w:shd w:val="clear" w:color="auto" w:fill="C0FFFF"/>
          </w:tcPr>
          <w:p>
            <w:pPr>
              <w:spacing w:after="0"/>
              <w:rPr>
                <w:sz w:val="20"/>
                <w:szCs w:val="20"/>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60.1</w:t>
            </w:r>
          </w:p>
        </w:tc>
        <w:tc>
          <w:tcPr>
            <w:tcW w:w="1200" w:type="dxa"/>
            <w:vAlign w:val="bottom"/>
            <w:shd w:val="clear" w:color="auto" w:fill="C0FFFF"/>
          </w:tcPr>
          <w:p>
            <w:pPr>
              <w:spacing w:after="0"/>
              <w:rPr>
                <w:sz w:val="20"/>
                <w:szCs w:val="20"/>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63.1</w:t>
            </w:r>
          </w:p>
        </w:tc>
        <w:tc>
          <w:tcPr>
            <w:tcW w:w="64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ind w:left="260"/>
              <w:spacing w:after="0" w:line="201" w:lineRule="exact"/>
              <w:rPr>
                <w:sz w:val="20"/>
                <w:szCs w:val="20"/>
                <w:color w:val="auto"/>
              </w:rPr>
            </w:pPr>
            <w:r>
              <w:rPr>
                <w:rFonts w:ascii="Arial" w:cs="Arial" w:eastAsia="Arial" w:hAnsi="Arial"/>
                <w:sz w:val="18"/>
                <w:szCs w:val="18"/>
                <w:color w:val="auto"/>
              </w:rPr>
              <w:t>Selling,</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general, and</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41.2</w:t>
            </w:r>
          </w:p>
        </w:tc>
        <w:tc>
          <w:tcPr>
            <w:tcW w:w="1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administrative</w:t>
            </w:r>
          </w:p>
        </w:tc>
        <w:tc>
          <w:tcPr>
            <w:tcW w:w="14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w:t>
            </w:r>
          </w:p>
        </w:tc>
        <w:tc>
          <w:tcPr>
            <w:tcW w:w="1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0FFFF"/>
          </w:tcPr>
          <w:p>
            <w:pPr>
              <w:ind w:left="260"/>
              <w:spacing w:after="0" w:line="201" w:lineRule="exact"/>
              <w:rPr>
                <w:sz w:val="20"/>
                <w:szCs w:val="20"/>
                <w:color w:val="auto"/>
              </w:rPr>
            </w:pPr>
            <w:r>
              <w:rPr>
                <w:rFonts w:ascii="Arial" w:cs="Arial" w:eastAsia="Arial" w:hAnsi="Arial"/>
                <w:sz w:val="18"/>
                <w:szCs w:val="18"/>
                <w:color w:val="auto"/>
              </w:rPr>
              <w:t>Store</w:t>
            </w:r>
          </w:p>
        </w:tc>
        <w:tc>
          <w:tcPr>
            <w:tcW w:w="1440" w:type="dxa"/>
            <w:vAlign w:val="bottom"/>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0.1</w:t>
            </w:r>
          </w:p>
        </w:tc>
        <w:tc>
          <w:tcPr>
            <w:tcW w:w="122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6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0FFFF"/>
          </w:tcPr>
          <w:p>
            <w:pPr>
              <w:ind w:left="260"/>
              <w:spacing w:after="0"/>
              <w:rPr>
                <w:sz w:val="20"/>
                <w:szCs w:val="20"/>
                <w:color w:val="auto"/>
              </w:rPr>
            </w:pPr>
            <w:r>
              <w:rPr>
                <w:rFonts w:ascii="Arial" w:cs="Arial" w:eastAsia="Arial" w:hAnsi="Arial"/>
                <w:sz w:val="18"/>
                <w:szCs w:val="18"/>
                <w:color w:val="auto"/>
              </w:rPr>
              <w:t>preopening</w:t>
            </w:r>
          </w:p>
        </w:tc>
        <w:tc>
          <w:tcPr>
            <w:tcW w:w="1440" w:type="dxa"/>
            <w:vAlign w:val="bottom"/>
            <w:vMerge w:val="continue"/>
            <w:shd w:val="clear" w:color="auto" w:fill="C0FFFF"/>
          </w:tcPr>
          <w:p>
            <w:pPr>
              <w:spacing w:after="0"/>
              <w:rPr>
                <w:sz w:val="20"/>
                <w:szCs w:val="20"/>
                <w:color w:val="auto"/>
              </w:rPr>
            </w:pPr>
          </w:p>
        </w:tc>
        <w:tc>
          <w:tcPr>
            <w:tcW w:w="1220" w:type="dxa"/>
            <w:vAlign w:val="bottom"/>
            <w:shd w:val="clear" w:color="auto" w:fill="C0FFFF"/>
          </w:tcPr>
          <w:p>
            <w:pPr>
              <w:spacing w:after="0"/>
              <w:rPr>
                <w:sz w:val="20"/>
                <w:szCs w:val="20"/>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0.2</w:t>
            </w:r>
          </w:p>
        </w:tc>
        <w:tc>
          <w:tcPr>
            <w:tcW w:w="1200" w:type="dxa"/>
            <w:vAlign w:val="bottom"/>
            <w:shd w:val="clear" w:color="auto" w:fill="C0FFFF"/>
          </w:tcPr>
          <w:p>
            <w:pPr>
              <w:spacing w:after="0"/>
              <w:rPr>
                <w:sz w:val="20"/>
                <w:szCs w:val="20"/>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ind w:left="260"/>
              <w:spacing w:after="0" w:line="201" w:lineRule="exact"/>
              <w:rPr>
                <w:sz w:val="20"/>
                <w:szCs w:val="20"/>
                <w:color w:val="auto"/>
              </w:rPr>
            </w:pPr>
            <w:r>
              <w:rPr>
                <w:rFonts w:ascii="Arial" w:cs="Arial" w:eastAsia="Arial" w:hAnsi="Arial"/>
                <w:sz w:val="18"/>
                <w:szCs w:val="18"/>
                <w:color w:val="auto"/>
              </w:rPr>
              <w:t>Losses from</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investment</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260"/>
              <w:spacing w:after="0"/>
              <w:rPr>
                <w:sz w:val="20"/>
                <w:szCs w:val="20"/>
                <w:color w:val="auto"/>
              </w:rPr>
            </w:pPr>
            <w:r>
              <w:rPr>
                <w:rFonts w:ascii="Arial" w:cs="Arial" w:eastAsia="Arial" w:hAnsi="Arial"/>
                <w:sz w:val="18"/>
                <w:szCs w:val="18"/>
                <w:color w:val="auto"/>
              </w:rPr>
              <w:t>in affiliate</w:t>
            </w:r>
          </w:p>
        </w:tc>
        <w:tc>
          <w:tcPr>
            <w:tcW w:w="14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0FFFF"/>
          </w:tcPr>
          <w:p>
            <w:pPr>
              <w:ind w:left="260"/>
              <w:spacing w:after="0" w:line="201" w:lineRule="exact"/>
              <w:rPr>
                <w:sz w:val="20"/>
                <w:szCs w:val="20"/>
                <w:color w:val="auto"/>
              </w:rPr>
            </w:pPr>
            <w:r>
              <w:rPr>
                <w:rFonts w:ascii="Arial" w:cs="Arial" w:eastAsia="Arial" w:hAnsi="Arial"/>
                <w:sz w:val="18"/>
                <w:szCs w:val="18"/>
                <w:color w:val="auto"/>
              </w:rPr>
              <w:t>Interest</w:t>
            </w:r>
          </w:p>
        </w:tc>
        <w:tc>
          <w:tcPr>
            <w:tcW w:w="1440" w:type="dxa"/>
            <w:vAlign w:val="bottom"/>
            <w:shd w:val="clear" w:color="auto" w:fill="C0FFFF"/>
          </w:tcPr>
          <w:p>
            <w:pPr>
              <w:spacing w:after="0"/>
              <w:rPr>
                <w:sz w:val="17"/>
                <w:szCs w:val="17"/>
                <w:color w:val="auto"/>
              </w:rPr>
            </w:pPr>
          </w:p>
        </w:tc>
        <w:tc>
          <w:tcPr>
            <w:tcW w:w="122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6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0FFFF"/>
          </w:tcPr>
          <w:p>
            <w:pPr>
              <w:ind w:left="260"/>
              <w:spacing w:after="0"/>
              <w:rPr>
                <w:sz w:val="20"/>
                <w:szCs w:val="20"/>
                <w:color w:val="auto"/>
              </w:rPr>
            </w:pPr>
            <w:r>
              <w:rPr>
                <w:rFonts w:ascii="Arial" w:cs="Arial" w:eastAsia="Arial" w:hAnsi="Arial"/>
                <w:sz w:val="18"/>
                <w:szCs w:val="18"/>
                <w:color w:val="auto"/>
              </w:rPr>
              <w:t>expense</w:t>
            </w:r>
          </w:p>
        </w:tc>
        <w:tc>
          <w:tcPr>
            <w:tcW w:w="144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0FFFF"/>
          </w:tcPr>
          <w:p>
            <w:pPr>
              <w:ind w:left="260"/>
              <w:spacing w:after="0"/>
              <w:rPr>
                <w:sz w:val="20"/>
                <w:szCs w:val="20"/>
                <w:color w:val="auto"/>
              </w:rPr>
            </w:pPr>
            <w:r>
              <w:rPr>
                <w:rFonts w:ascii="Arial" w:cs="Arial" w:eastAsia="Arial" w:hAnsi="Arial"/>
                <w:sz w:val="18"/>
                <w:szCs w:val="18"/>
                <w:color w:val="auto"/>
              </w:rPr>
              <w:t>(income),</w:t>
            </w:r>
          </w:p>
        </w:tc>
        <w:tc>
          <w:tcPr>
            <w:tcW w:w="1440" w:type="dxa"/>
            <w:vAlign w:val="bottom"/>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(0.0</w:t>
            </w:r>
          </w:p>
        </w:tc>
        <w:tc>
          <w:tcPr>
            <w:tcW w:w="1220" w:type="dxa"/>
            <w:vAlign w:val="bottom"/>
            <w:vMerge w:val="restart"/>
            <w:shd w:val="clear" w:color="auto" w:fill="C0FFFF"/>
          </w:tcPr>
          <w:p>
            <w:pPr>
              <w:ind w:left="48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Borders>
              <w:bottom w:val="single" w:sz="8" w:color="C0FFFF"/>
            </w:tcBorders>
            <w:shd w:val="clear" w:color="auto" w:fill="C0FFFF"/>
          </w:tcPr>
          <w:p>
            <w:pPr>
              <w:ind w:left="260"/>
              <w:spacing w:after="0"/>
              <w:rPr>
                <w:sz w:val="20"/>
                <w:szCs w:val="20"/>
                <w:color w:val="auto"/>
              </w:rPr>
            </w:pPr>
            <w:r>
              <w:rPr>
                <w:rFonts w:ascii="Arial" w:cs="Arial" w:eastAsia="Arial" w:hAnsi="Arial"/>
                <w:sz w:val="18"/>
                <w:szCs w:val="18"/>
                <w:color w:val="auto"/>
              </w:rPr>
              <w:t>net</w:t>
            </w:r>
          </w:p>
        </w:tc>
        <w:tc>
          <w:tcPr>
            <w:tcW w:w="1440" w:type="dxa"/>
            <w:vAlign w:val="bottom"/>
            <w:tcBorders>
              <w:bottom w:val="single" w:sz="8" w:color="auto"/>
            </w:tcBorders>
            <w:vMerge w:val="continue"/>
            <w:shd w:val="clear" w:color="auto" w:fill="C0FFFF"/>
          </w:tcPr>
          <w:p>
            <w:pPr>
              <w:spacing w:after="0"/>
              <w:rPr>
                <w:sz w:val="20"/>
                <w:szCs w:val="20"/>
                <w:color w:val="auto"/>
              </w:rPr>
            </w:pPr>
          </w:p>
        </w:tc>
        <w:tc>
          <w:tcPr>
            <w:tcW w:w="1220" w:type="dxa"/>
            <w:vAlign w:val="bottom"/>
            <w:tcBorders>
              <w:bottom w:val="single" w:sz="8" w:color="C0FFFF"/>
            </w:tcBorders>
            <w:vMerge w:val="continue"/>
            <w:shd w:val="clear" w:color="auto" w:fill="C0FFFF"/>
          </w:tcPr>
          <w:p>
            <w:pPr>
              <w:spacing w:after="0"/>
              <w:rPr>
                <w:sz w:val="20"/>
                <w:szCs w:val="20"/>
                <w:color w:val="auto"/>
              </w:rPr>
            </w:pPr>
          </w:p>
        </w:tc>
        <w:tc>
          <w:tcPr>
            <w:tcW w:w="1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1200" w:type="dxa"/>
            <w:vAlign w:val="bottom"/>
            <w:tcBorders>
              <w:bottom w:val="single" w:sz="8" w:color="C0FFFF"/>
            </w:tcBorders>
            <w:shd w:val="clear" w:color="auto" w:fill="C0FFFF"/>
          </w:tcPr>
          <w:p>
            <w:pPr>
              <w:ind w:left="4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(0.0</w:t>
            </w:r>
          </w:p>
        </w:tc>
        <w:tc>
          <w:tcPr>
            <w:tcW w:w="640" w:type="dxa"/>
            <w:vAlign w:val="bottom"/>
            <w:tcBorders>
              <w:bottom w:val="single" w:sz="8" w:color="C0FFFF"/>
            </w:tcBorders>
            <w:shd w:val="clear" w:color="auto" w:fill="C0FF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Total costs and</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100.7</w:t>
            </w: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40" w:type="dxa"/>
            <w:vAlign w:val="bottom"/>
            <w:tcBorders>
              <w:bottom w:val="single" w:sz="8" w:color="auto"/>
            </w:tcBorders>
            <w:vMerge w:val="continue"/>
          </w:tcPr>
          <w:p>
            <w:pPr>
              <w:spacing w:after="0"/>
              <w:rPr>
                <w:sz w:val="20"/>
                <w:szCs w:val="20"/>
                <w:color w:val="auto"/>
              </w:rPr>
            </w:pPr>
          </w:p>
        </w:tc>
        <w:tc>
          <w:tcPr>
            <w:tcW w:w="122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Income (loss)</w:t>
            </w: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before income</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(0.7</w:t>
            </w:r>
          </w:p>
        </w:tc>
        <w:tc>
          <w:tcPr>
            <w:tcW w:w="12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taxes</w:t>
            </w:r>
          </w:p>
        </w:tc>
        <w:tc>
          <w:tcPr>
            <w:tcW w:w="14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Income tax</w:t>
            </w:r>
          </w:p>
        </w:tc>
        <w:tc>
          <w:tcPr>
            <w:tcW w:w="1440" w:type="dxa"/>
            <w:vAlign w:val="bottom"/>
            <w:shd w:val="clear" w:color="auto" w:fill="C0FFFF"/>
          </w:tcPr>
          <w:p>
            <w:pPr>
              <w:spacing w:after="0"/>
              <w:rPr>
                <w:sz w:val="17"/>
                <w:szCs w:val="17"/>
                <w:color w:val="auto"/>
              </w:rPr>
            </w:pPr>
          </w:p>
        </w:tc>
        <w:tc>
          <w:tcPr>
            <w:tcW w:w="122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440" w:type="dxa"/>
            <w:vAlign w:val="bottom"/>
            <w:shd w:val="clear" w:color="auto" w:fill="C0FFFF"/>
          </w:tcPr>
          <w:p>
            <w:pPr>
              <w:spacing w:after="0"/>
              <w:rPr>
                <w:sz w:val="17"/>
                <w:szCs w:val="17"/>
                <w:color w:val="auto"/>
              </w:rPr>
            </w:pPr>
          </w:p>
        </w:tc>
        <w:tc>
          <w:tcPr>
            <w:tcW w:w="64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0FFFF"/>
          </w:tcPr>
          <w:p>
            <w:pPr>
              <w:spacing w:after="0"/>
              <w:rPr>
                <w:sz w:val="20"/>
                <w:szCs w:val="20"/>
                <w:color w:val="auto"/>
              </w:rPr>
            </w:pPr>
            <w:r>
              <w:rPr>
                <w:rFonts w:ascii="Arial" w:cs="Arial" w:eastAsia="Arial" w:hAnsi="Arial"/>
                <w:sz w:val="18"/>
                <w:szCs w:val="18"/>
                <w:color w:val="auto"/>
              </w:rPr>
              <w:t>expense</w:t>
            </w:r>
          </w:p>
        </w:tc>
        <w:tc>
          <w:tcPr>
            <w:tcW w:w="1440" w:type="dxa"/>
            <w:vAlign w:val="bottom"/>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3.7</w:t>
            </w:r>
          </w:p>
        </w:tc>
        <w:tc>
          <w:tcPr>
            <w:tcW w:w="122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(benefit)</w:t>
            </w:r>
          </w:p>
        </w:tc>
        <w:tc>
          <w:tcPr>
            <w:tcW w:w="1440" w:type="dxa"/>
            <w:vAlign w:val="bottom"/>
            <w:tcBorders>
              <w:bottom w:val="single" w:sz="8" w:color="auto"/>
            </w:tcBorders>
            <w:vMerge w:val="continue"/>
            <w:shd w:val="clear" w:color="auto" w:fill="C0FFFF"/>
          </w:tcPr>
          <w:p>
            <w:pPr>
              <w:spacing w:after="0"/>
              <w:rPr>
                <w:sz w:val="20"/>
                <w:szCs w:val="20"/>
                <w:color w:val="auto"/>
              </w:rPr>
            </w:pPr>
          </w:p>
        </w:tc>
        <w:tc>
          <w:tcPr>
            <w:tcW w:w="1220" w:type="dxa"/>
            <w:vAlign w:val="bottom"/>
            <w:tcBorders>
              <w:bottom w:val="single" w:sz="8" w:color="C0FFFF"/>
            </w:tcBorders>
            <w:shd w:val="clear" w:color="auto" w:fill="C0FFFF"/>
          </w:tcPr>
          <w:p>
            <w:pPr>
              <w:spacing w:after="0"/>
              <w:rPr>
                <w:sz w:val="20"/>
                <w:szCs w:val="20"/>
                <w:color w:val="auto"/>
              </w:rPr>
            </w:pPr>
          </w:p>
        </w:tc>
        <w:tc>
          <w:tcPr>
            <w:tcW w:w="1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(0.6</w:t>
            </w:r>
          </w:p>
        </w:tc>
        <w:tc>
          <w:tcPr>
            <w:tcW w:w="1200" w:type="dxa"/>
            <w:vAlign w:val="bottom"/>
            <w:tcBorders>
              <w:bottom w:val="single" w:sz="8" w:color="C0FFFF"/>
            </w:tcBorders>
            <w:shd w:val="clear" w:color="auto" w:fill="C0FFFF"/>
          </w:tcPr>
          <w:p>
            <w:pPr>
              <w:ind w:left="4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640" w:type="dxa"/>
            <w:vAlign w:val="bottom"/>
            <w:tcBorders>
              <w:bottom w:val="single" w:sz="8" w:color="C0FFFF"/>
            </w:tcBorders>
            <w:shd w:val="clear" w:color="auto" w:fill="C0FF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12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(loss)</w:t>
            </w:r>
          </w:p>
        </w:tc>
        <w:tc>
          <w:tcPr>
            <w:tcW w:w="1440" w:type="dxa"/>
            <w:vAlign w:val="bottom"/>
            <w:tcBorders>
              <w:bottom w:val="single" w:sz="8" w:color="auto"/>
            </w:tcBorders>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440" w:type="dxa"/>
            <w:vAlign w:val="bottom"/>
            <w:shd w:val="clear" w:color="auto" w:fill="C0FFFF"/>
          </w:tcPr>
          <w:p>
            <w:pPr>
              <w:spacing w:after="0"/>
              <w:rPr>
                <w:sz w:val="18"/>
                <w:szCs w:val="18"/>
                <w:color w:val="auto"/>
              </w:rPr>
            </w:pPr>
          </w:p>
        </w:tc>
        <w:tc>
          <w:tcPr>
            <w:tcW w:w="6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Retail gross</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39.9</w:t>
            </w:r>
          </w:p>
        </w:tc>
        <w:tc>
          <w:tcPr>
            <w:tcW w:w="12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margin (%) </w:t>
            </w:r>
            <w:r>
              <w:rPr>
                <w:rFonts w:ascii="Arial" w:cs="Arial" w:eastAsia="Arial" w:hAnsi="Arial"/>
                <w:sz w:val="25"/>
                <w:szCs w:val="25"/>
                <w:color w:val="auto"/>
                <w:vertAlign w:val="superscript"/>
              </w:rPr>
              <w:t>(2)</w:t>
            </w:r>
          </w:p>
        </w:tc>
        <w:tc>
          <w:tcPr>
            <w:tcW w:w="1440" w:type="dxa"/>
            <w:vAlign w:val="bottom"/>
            <w:tcBorders>
              <w:bottom w:val="single" w:sz="8" w:color="auto"/>
            </w:tcBorders>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0" w:type="dxa"/>
            <w:vAlign w:val="bottom"/>
          </w:tcPr>
          <w:p>
            <w:pPr>
              <w:ind w:left="4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640" w:type="dxa"/>
            <w:vAlign w:val="bottom"/>
          </w:tcPr>
          <w:p>
            <w:pPr>
              <w:ind w:left="48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79" w:lineRule="exact"/>
        <w:rPr>
          <w:rFonts w:ascii="Arial" w:cs="Arial" w:eastAsia="Arial" w:hAnsi="Arial"/>
          <w:sz w:val="18"/>
          <w:szCs w:val="18"/>
          <w:color w:val="auto"/>
        </w:rPr>
      </w:pPr>
    </w:p>
    <w:p>
      <w:pPr>
        <w:ind w:left="500" w:right="120" w:hanging="492"/>
        <w:spacing w:after="0" w:line="34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Retail gross margin represents net retail sales less cost of retail merchandise sold, which excludes cost of wholesale merchandise sold. Retail gross margin was $154.5 million, $155.1 million and $142.6 million in 2011, 2010 and 2009, respectively. Retail gross margin percentage represents retail</w:t>
      </w:r>
    </w:p>
    <w:p>
      <w:pPr>
        <w:sectPr>
          <w:pgSz w:w="11900" w:h="16935" w:orient="portrait"/>
          <w:cols w:equalWidth="0" w:num="1">
            <w:col w:w="11360"/>
          </w:cols>
          <w:pgMar w:left="240" w:top="571" w:right="299"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gross margin divided by net retail sales.</w:t>
      </w:r>
    </w:p>
    <w:p>
      <w:pPr>
        <w:spacing w:after="0" w:line="200" w:lineRule="exact"/>
        <w:rPr>
          <w:sz w:val="20"/>
          <w:szCs w:val="20"/>
          <w:color w:val="auto"/>
        </w:rPr>
      </w:pPr>
    </w:p>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19"/>
          </w:cols>
          <w:pgMar w:left="740" w:top="125"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Fiscal Year Ended December 31, 2011 (52 weeks) Compared to Fiscal Year Ended January 1, 2011 (52 weeks)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$387.0 million for fiscal 2011, compared to $387.2 million for fiscal 2010, a decrease of $0.2</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million. Comparable store sales decreased $7.6 million in fiscal 2011, or 2.1% and sales from non-comparable locations, comprised primarily of relocated and remodeled locations, decreased $3.6 million. Partially offsetting these decreases are increases of $4.4 million from sales in new stores, $1.0 million in e-commerce sales and of $2.7 million in sales from non-store locations which includes temporary locations. Other changes, adding $2.9 million to net retail sales, resulted from the impact of foreign currency exchange rates, changes in deferred revenue estimate, offset by redemptions throughout the year, and other revenue.</w:t>
      </w:r>
    </w:p>
    <w:p>
      <w:pPr>
        <w:spacing w:after="0" w:line="24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Commercial revenue was $3.9 million in fiscal 2011 compared to $11.2 million in fiscal 2010. This decrease was primarily due to $6.4 million in non-recurring wholesale transactions in fiscal 2010. Excluding these transactions, commercial revenues decreased $0.9 million, primarily due to the 2010 Build-A-Bear Craftshop launch that did not reoccur in 2011. Revenue from international franchise fees increased to $3.4 million for fiscal 2011 from $3.0 million for fiscal 2010, an increase of $0.4 million. This increase was primarily due to the increase in the number of franchise locations from 63 at the end of fiscal 2010 to 79 at the end of fiscal 2011.</w:t>
      </w:r>
    </w:p>
    <w:p>
      <w:pPr>
        <w:spacing w:after="0" w:line="242" w:lineRule="exact"/>
        <w:rPr>
          <w:sz w:val="20"/>
          <w:szCs w:val="20"/>
          <w:color w:val="auto"/>
        </w:rPr>
      </w:pPr>
    </w:p>
    <w:p>
      <w:pPr>
        <w:ind w:right="220" w:firstLine="486"/>
        <w:spacing w:after="0" w:line="297"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Total gross margin, calculated as net retail sales and commercial revenues less cost of merchandise sold, was $156.8 million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2011 compared to $158.9 million for fiscal 2010, a decrease of $2.1 million, or 1.3%. Retail gross margin was $154.5 million in fiscal 2011 compared to $155.1 million in fiscal 2010, a decrease of $0.7 million or 0.4%. As a percentage of net retail sales, retail gross margin decreased to 39.9% for fiscal 2011 from 40.1% for fiscal 2010, a decrease of 20 basis points as a percentage of net retail sales (bps). This decline in margin was primarily attributable to decreased merchandise margin, decreased leverage on fixed occupancy costs and increased purchasing costs offset by cost savings in distribution costs.</w:t>
      </w:r>
    </w:p>
    <w:p>
      <w:pPr>
        <w:spacing w:after="0" w:line="212"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Selling, general and administrative expenses were $162.3 million for fiscal 2011 as compared to $163.9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2010, a decrease of $1.6 million, or 1.0%. As a percentage of total revenues, selling, general and administrative expenses were 41.2% for fiscal 2011, compared to 40.8% in fiscal 2010. The dollar decrease was primarily attributable to higher costs in 2010 of $1.6 million in charges related to the closure of our stores in France and corporate payroll costs primarily related to a bonus that did not reoccur in 2011. These decreases were partially offset by consulting costs related to continuing efforts to improve efficiencies and reduce expenses.</w:t>
      </w:r>
    </w:p>
    <w:p>
      <w:pPr>
        <w:spacing w:after="0" w:line="227"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i w:val="1"/>
          <w:iCs w:val="1"/>
          <w:color w:val="auto"/>
        </w:rPr>
        <w:t>Store preopening</w:t>
      </w:r>
      <w:r>
        <w:rPr>
          <w:rFonts w:ascii="Arial" w:cs="Arial" w:eastAsia="Arial" w:hAnsi="Arial"/>
          <w:sz w:val="18"/>
          <w:szCs w:val="18"/>
          <w:color w:val="auto"/>
        </w:rPr>
        <w:t>. Store preopening expense was $0.5 million for fiscal 2011 as compared to $0.7 million for fiscal 2010. These amounts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preopening rent expense of $0.2 million for 2011 and $0.1 million for 2010. Preopening expenses include expenses for stores that have opened, including temporary locations, as well as some expenses incurred for stores that will be opened at a later date.</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income, net of interest expense, was $0.1 million for fiscal 2011 as compared to $0.3 million for fiscal 2010.</w:t>
      </w:r>
    </w:p>
    <w:p>
      <w:pPr>
        <w:spacing w:after="0" w:line="30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$14.4 million in fiscal 2011, compared to an income tax benefit of $2.6 million for fiscal</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2010. The effective rate was (543.4)% in 2011 and 104.2% in 2010. The fluctuation in the effective rate in 2011 was primarily attributable to the recording of a $15.6 million valuation allowance in 2011 on the US deferred tax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January 1, 2011 (52 weeks) Compared to Fiscal Year Ended January 2, 2010 (52 weeks)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Net retail sales decreased to $387.2 million for fiscal 2010 from $388.6 million for fiscal 2009, a decrease of $1.4 million, 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0.4%. Comparable store sales decreased $7.2 million in fiscal 2010, or 2.0% and sales from non-comparable locations decreased $2.1 million. Partially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offsetting these decreases is an increase of $4.3 million related to the revenue deferral under our customer loyalty program. This year-end adjustment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represented a refinement in the calculation used to estimate the liability that also took into account the change in member's redemption patterns experienced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This increase was partially offset by $1.9 million of revenue deferred throughout the year as estimated under the previous approach. Increases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retail sales resulted from sales in new stores and increases in sales over the Internet of $2.4 million and $1.2 million, respectively. Other increases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 million came from sales at non-store locations which includes temporary locations, other retail revenues and the impact of foreign currency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6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Commercial revenue was $11.2 million in fiscal 2010 compared to $4.0 million in fiscal 2009. This increase was primarily due to $6.4 million in non-recurring wholesale transactions. Excluding these transactions, commercial revenues increased $0.8 million reflecting the introduction of Build-A-Bear Craftshop kits. Revenue from international franchise fees decreased to $3.0 million for fiscal 2010 from $3.4 million for fiscal 2009, a decrease of $0.4 million. This decrease was primarily due to continuing adverse global economic conditions.</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Total gross margin, calculated as net retail sales and commercial revenues less cost of merchandise sold, increased to $158.9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2010 from $145.0 million for fiscal 2009, an increase of $13.8 million, or 9.5%. Retail gross margin increased to $155.1 million in fiscal 2010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$142.6 million in fiscal 2009, and increase of $12.6 million or 8.8%. As a percentage of net retail sales, retail gross margin increased to 40.1% for fiscal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36.7% for fiscal 2009, an increase of 340 bps. This improvement in margin was primarily attributable to a 110 basis point improvement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reduction in asset impairment charges in 2010 as compared 2009. Additionally, we achieved 100 basis points of improved leverage on fixed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occupancy costs and a 70 basis point improvement in merchandise margin along with other improvements in distribution and purchasing.</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 w:name="page38"/>
    <w:bookmarkEnd w:id="37"/>
    <w:p>
      <w:pPr>
        <w:ind w:firstLine="486"/>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were $163.9 million for fiscal 2010 as compared to $162.7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2009, an increase of $1.2 million, or 0.7%. As a percentage of total revenues, selling, general and administrative expenses were 40.8% for fiscal 2010, compared to 41.1% for fiscal 2009. The dollar increase was primarily attributable to $1.6 million in charges related to the closure of our stores in France and increases in corporate payroll costs primarily related to a bonus. These increases were partially offset by marketing savings and improved leverage on store salaries and other fixed overhead costs.</w:t>
      </w:r>
    </w:p>
    <w:p>
      <w:pPr>
        <w:spacing w:after="0" w:line="24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i w:val="1"/>
          <w:iCs w:val="1"/>
          <w:color w:val="auto"/>
        </w:rPr>
        <w:t>Store preopening</w:t>
      </w:r>
      <w:r>
        <w:rPr>
          <w:rFonts w:ascii="Arial" w:cs="Arial" w:eastAsia="Arial" w:hAnsi="Arial"/>
          <w:sz w:val="18"/>
          <w:szCs w:val="18"/>
          <w:color w:val="auto"/>
        </w:rPr>
        <w:t>. Store preopening expense was $0.7 million for fiscal 2010 as compared to $0.1 million for fiscal 2009. The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opening four stores in fiscal 2010 as compared to one in 2009. These amounts include preopening rent expense of $0.1 million for 2010 and $9,000 for fiscal 2009. Preopening expenses include expenses for stores that have opened, including temporary locations, as well as some expenses incurred for stores that will be opened at a later date.</w:t>
      </w:r>
    </w:p>
    <w:p>
      <w:pPr>
        <w:spacing w:after="0" w:line="241" w:lineRule="exact"/>
        <w:rPr>
          <w:sz w:val="20"/>
          <w:szCs w:val="20"/>
          <w:color w:val="auto"/>
        </w:rPr>
      </w:pPr>
    </w:p>
    <w:p>
      <w:pPr>
        <w:ind w:right="580" w:firstLine="486"/>
        <w:spacing w:after="0" w:line="259" w:lineRule="auto"/>
        <w:rPr>
          <w:sz w:val="20"/>
          <w:szCs w:val="20"/>
          <w:color w:val="auto"/>
        </w:rPr>
      </w:pPr>
      <w:r>
        <w:rPr>
          <w:rFonts w:ascii="Arial" w:cs="Arial" w:eastAsia="Arial" w:hAnsi="Arial"/>
          <w:sz w:val="18"/>
          <w:szCs w:val="18"/>
          <w:i w:val="1"/>
          <w:iCs w:val="1"/>
          <w:color w:val="auto"/>
        </w:rPr>
        <w:t xml:space="preserve">Losses from investment in affiliate. </w:t>
      </w:r>
      <w:r>
        <w:rPr>
          <w:rFonts w:ascii="Arial" w:cs="Arial" w:eastAsia="Arial" w:hAnsi="Arial"/>
          <w:sz w:val="18"/>
          <w:szCs w:val="18"/>
          <w:color w:val="auto"/>
        </w:rPr>
        <w:t>Losses from investment in affiliate of $9.6 million in fiscal 2009 are losses related to our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Ridemakerz. The losses incurred in 2009 are comprised of a $7.5 million non-cash charge of Ridemakerz net loss allocations, a $1.0 million non-cash impairment charge and a $1.1 million write-off of Ridemakerz outstanding receivable. As the investment was written down to zero in 2009, no loss allocations charges were recorded in 2010.</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income, net of interest expense, was $0.3 million for fiscal 2010 as compared to $0.1 million for fiscal 2009.</w:t>
      </w:r>
    </w:p>
    <w:p>
      <w:pPr>
        <w:spacing w:after="0" w:line="302"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The income tax benefit was $2.6 million for fiscal 2010, compared to $11.4 million for fiscal 2009. The effective rate was</w:t>
      </w:r>
      <w:r>
        <w:rPr>
          <w:rFonts w:ascii="Arial" w:cs="Arial" w:eastAsia="Arial" w:hAnsi="Arial"/>
          <w:sz w:val="16"/>
          <w:szCs w:val="16"/>
          <w:i w:val="1"/>
          <w:iCs w:val="1"/>
          <w:color w:val="auto"/>
        </w:rPr>
        <w:t xml:space="preserve"> </w:t>
      </w:r>
      <w:r>
        <w:rPr>
          <w:rFonts w:ascii="Arial" w:cs="Arial" w:eastAsia="Arial" w:hAnsi="Arial"/>
          <w:sz w:val="16"/>
          <w:szCs w:val="16"/>
          <w:color w:val="auto"/>
        </w:rPr>
        <w:t>104.2% in 2010 and 47.7% for fiscal 2009. The increase in the effective tax rate was primarily attributable to a release of valuation allowances on net operating loss carryforwards associated with our France operations as well as the impact of lower taxes in foreign jurisdictions and the release of tax reserves.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use the term “store contribution” throughout this Annual Report on Form 10-K. Store contribution consists of income before income tax expense, interest, store depreciation and amortization, store preopening expense, store closing expense and general and administrative expense, excluding franchise fees, income from licensing activities and contribution from our web store and seasonal and event-based locations. This term, as we define it, may not be comparable to similarly titled measures used by other companies and is not a measure of performance presented in accordance with U.S. generally accepted accounting principles (GAAP).</w:t>
      </w:r>
    </w:p>
    <w:p>
      <w:pPr>
        <w:spacing w:after="0" w:line="24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w:t>
      </w:r>
    </w:p>
    <w:p>
      <w:pPr>
        <w:spacing w:after="0" w:line="23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believe store contribution is useful to investors in evaluating our operating performance because it, along with the number of stores in operation, directly impacts our profitability.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8" w:name="page39"/>
    <w:bookmarkEnd w:id="38"/>
    <w:p>
      <w:pPr>
        <w:ind w:right="200" w:firstLine="486"/>
        <w:spacing w:after="0" w:line="264" w:lineRule="auto"/>
        <w:rPr>
          <w:sz w:val="20"/>
          <w:szCs w:val="20"/>
          <w:color w:val="auto"/>
        </w:rPr>
      </w:pPr>
      <w:r>
        <w:rPr>
          <w:rFonts w:ascii="Arial" w:cs="Arial" w:eastAsia="Arial" w:hAnsi="Arial"/>
          <w:sz w:val="18"/>
          <w:szCs w:val="18"/>
          <w:color w:val="auto"/>
        </w:rPr>
        <w:t>The following table sets forth a reconciliation of store contribution to net income for our company-owned stores located in the United States, Canada and Puerto Rico (North America), stores located in the United Kingdom, Ireland and France (Europe) and for our consolidated store base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89"/>
              </w:rPr>
              <w:t>Fiscal 2011</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1"/>
              </w:rPr>
              <w:t>Fiscal 2010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North</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North</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America</w:t>
            </w:r>
          </w:p>
        </w:tc>
        <w:tc>
          <w:tcPr>
            <w:tcW w:w="360" w:type="dxa"/>
            <w:vAlign w:val="bottom"/>
          </w:tcPr>
          <w:p>
            <w:pPr>
              <w:spacing w:after="0"/>
              <w:rPr>
                <w:sz w:val="20"/>
                <w:szCs w:val="20"/>
                <w:color w:val="auto"/>
              </w:rPr>
            </w:pPr>
          </w:p>
        </w:tc>
        <w:tc>
          <w:tcPr>
            <w:tcW w:w="9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Europe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2"/>
              </w:rPr>
              <w:t>Total</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0"/>
              </w:rPr>
              <w:t>America</w:t>
            </w:r>
          </w:p>
        </w:tc>
        <w:tc>
          <w:tcPr>
            <w:tcW w:w="32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Europe</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b w:val="1"/>
                <w:bCs w:val="1"/>
                <w:color w:val="auto"/>
              </w:rPr>
              <w:t>(19,232)</w:t>
            </w:r>
          </w:p>
        </w:tc>
        <w:tc>
          <w:tcPr>
            <w:tcW w:w="360" w:type="dxa"/>
            <w:vAlign w:val="bottom"/>
            <w:shd w:val="clear" w:color="auto" w:fill="C0FFFF"/>
          </w:tcPr>
          <w:p>
            <w:pPr>
              <w:jc w:val="right"/>
              <w:ind w:right="197"/>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2,170</w:t>
            </w:r>
          </w:p>
        </w:tc>
        <w:tc>
          <w:tcPr>
            <w:tcW w:w="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4"/>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(17,062)</w:t>
            </w:r>
          </w:p>
        </w:tc>
        <w:tc>
          <w:tcPr>
            <w:tcW w:w="2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(5,376)</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5,480</w:t>
            </w:r>
          </w:p>
        </w:tc>
        <w:tc>
          <w:tcPr>
            <w:tcW w:w="280" w:type="dxa"/>
            <w:vAlign w:val="bottom"/>
            <w:shd w:val="clear" w:color="auto" w:fill="C0FFFF"/>
          </w:tcPr>
          <w:p>
            <w:pPr>
              <w:spacing w:after="0"/>
              <w:rPr>
                <w:sz w:val="18"/>
                <w:szCs w:val="18"/>
                <w:color w:val="auto"/>
              </w:rPr>
            </w:pPr>
          </w:p>
        </w:tc>
        <w:tc>
          <w:tcPr>
            <w:tcW w:w="200" w:type="dxa"/>
            <w:vAlign w:val="bottom"/>
            <w:shd w:val="clear" w:color="auto" w:fill="C0FF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13,607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14,410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(3,284)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Interest expense (income)</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56</w:t>
            </w:r>
          </w:p>
        </w:tc>
        <w:tc>
          <w:tcPr>
            <w:tcW w:w="3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b w:val="1"/>
                <w:bCs w:val="1"/>
                <w:color w:val="auto"/>
              </w:rPr>
              <w:t>(137)</w:t>
            </w:r>
          </w:p>
        </w:tc>
        <w:tc>
          <w:tcPr>
            <w:tcW w:w="18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(81)</w:t>
            </w:r>
          </w:p>
        </w:tc>
        <w:tc>
          <w:tcPr>
            <w:tcW w:w="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6"/>
              </w:rPr>
              <w:t>Store depreciation, amortization and impairment</w:t>
            </w:r>
          </w:p>
        </w:tc>
        <w:tc>
          <w:tcPr>
            <w:tcW w:w="120" w:type="dxa"/>
            <w:vAlign w:val="bottom"/>
          </w:tcPr>
          <w:p>
            <w:pPr>
              <w:spacing w:after="0"/>
              <w:rPr>
                <w:sz w:val="17"/>
                <w:szCs w:val="17"/>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15,233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2,514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7"/>
              </w:rPr>
              <w:t>17,747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16,222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Store preopening expense</w:t>
            </w: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b w:val="1"/>
                <w:bCs w:val="1"/>
                <w:color w:val="auto"/>
              </w:rPr>
              <w:t>226</w:t>
            </w: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321</w:t>
            </w:r>
          </w:p>
        </w:tc>
        <w:tc>
          <w:tcPr>
            <w:tcW w:w="18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b w:val="1"/>
                <w:bCs w:val="1"/>
                <w:color w:val="auto"/>
              </w:rPr>
              <w:t>547</w:t>
            </w:r>
          </w:p>
        </w:tc>
        <w:tc>
          <w:tcPr>
            <w:tcW w:w="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Losses from investment in affiliate (2)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General and administrative expense (3)</w:t>
            </w: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b w:val="1"/>
                <w:bCs w:val="1"/>
                <w:color w:val="auto"/>
              </w:rPr>
              <w:t>43,641</w:t>
            </w: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4,722</w:t>
            </w:r>
          </w:p>
        </w:tc>
        <w:tc>
          <w:tcPr>
            <w:tcW w:w="18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b w:val="1"/>
                <w:bCs w:val="1"/>
                <w:color w:val="auto"/>
                <w:w w:val="87"/>
              </w:rPr>
              <w:t>48,363</w:t>
            </w:r>
          </w:p>
        </w:tc>
        <w:tc>
          <w:tcPr>
            <w:tcW w:w="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48,047</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Franchising and commercial contribution (4)</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(4,142)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(4,291)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Non-store activity contribution (5)</w:t>
            </w: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b w:val="1"/>
                <w:bCs w:val="1"/>
                <w:color w:val="auto"/>
              </w:rPr>
              <w:t>(3,008)</w:t>
            </w: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b w:val="1"/>
                <w:bCs w:val="1"/>
                <w:color w:val="auto"/>
                <w:w w:val="94"/>
              </w:rPr>
              <w:t>(1,109)</w:t>
            </w:r>
          </w:p>
        </w:tc>
        <w:tc>
          <w:tcPr>
            <w:tcW w:w="18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b w:val="1"/>
                <w:bCs w:val="1"/>
                <w:color w:val="auto"/>
                <w:w w:val="94"/>
              </w:rPr>
              <w:t>(4,117)</w:t>
            </w:r>
          </w:p>
        </w:tc>
        <w:tc>
          <w:tcPr>
            <w:tcW w:w="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(3,070)</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shd w:val="clear" w:color="auto" w:fill="C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180" w:type="dxa"/>
            <w:vAlign w:val="bottom"/>
            <w:tcBorders>
              <w:right w:val="single" w:sz="8" w:color="auto"/>
            </w:tcBorders>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C0FFFF"/>
          </w:tcPr>
          <w:p>
            <w:pPr>
              <w:spacing w:after="0"/>
              <w:rPr>
                <w:sz w:val="2"/>
                <w:szCs w:val="2"/>
                <w:color w:val="auto"/>
              </w:rPr>
            </w:pPr>
          </w:p>
        </w:tc>
        <w:tc>
          <w:tcPr>
            <w:tcW w:w="80" w:type="dxa"/>
            <w:vAlign w:val="bottom"/>
            <w:tcBorders>
              <w:right w:val="single" w:sz="8" w:color="auto"/>
            </w:tcBorders>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Store contribution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46,381</w:t>
            </w:r>
          </w:p>
        </w:tc>
        <w:tc>
          <w:tcPr>
            <w:tcW w:w="360" w:type="dxa"/>
            <w:vAlign w:val="bottom"/>
          </w:tcPr>
          <w:p>
            <w:pPr>
              <w:jc w:val="right"/>
              <w:ind w:right="19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9,284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55,665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48,688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7,863</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56,551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620" w:type="dxa"/>
            <w:vAlign w:val="bottom"/>
            <w:gridSpan w:val="2"/>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80" w:type="dxa"/>
            <w:vAlign w:val="bottom"/>
            <w:tcBorders>
              <w:right w:val="single" w:sz="8" w:color="C0FFFF"/>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revenues from external customers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319,810</w:t>
            </w:r>
          </w:p>
        </w:tc>
        <w:tc>
          <w:tcPr>
            <w:tcW w:w="360" w:type="dxa"/>
            <w:vAlign w:val="bottom"/>
          </w:tcPr>
          <w:p>
            <w:pPr>
              <w:jc w:val="right"/>
              <w:ind w:right="19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74,565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394,375</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331,392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70,060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401,452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Franchising and commercial revenues from</w:t>
            </w:r>
          </w:p>
        </w:tc>
        <w:tc>
          <w:tcPr>
            <w:tcW w:w="120" w:type="dxa"/>
            <w:vAlign w:val="bottom"/>
            <w:shd w:val="clear" w:color="auto" w:fill="C0FFFF"/>
          </w:tcPr>
          <w:p>
            <w:pPr>
              <w:spacing w:after="0"/>
              <w:rPr>
                <w:sz w:val="17"/>
                <w:szCs w:val="17"/>
                <w:color w:val="auto"/>
              </w:rPr>
            </w:pPr>
          </w:p>
        </w:tc>
        <w:tc>
          <w:tcPr>
            <w:tcW w:w="1220" w:type="dxa"/>
            <w:vAlign w:val="bottom"/>
            <w:gridSpan w:val="2"/>
            <w:vMerge w:val="restart"/>
            <w:shd w:val="clear" w:color="auto" w:fill="C0FFFF"/>
          </w:tcPr>
          <w:p>
            <w:pPr>
              <w:jc w:val="right"/>
              <w:ind w:right="300"/>
              <w:spacing w:after="0"/>
              <w:rPr>
                <w:sz w:val="20"/>
                <w:szCs w:val="20"/>
                <w:color w:val="auto"/>
              </w:rPr>
            </w:pPr>
            <w:r>
              <w:rPr>
                <w:rFonts w:ascii="Arial" w:cs="Arial" w:eastAsia="Arial" w:hAnsi="Arial"/>
                <w:sz w:val="18"/>
                <w:szCs w:val="18"/>
                <w:b w:val="1"/>
                <w:bCs w:val="1"/>
                <w:color w:val="auto"/>
              </w:rPr>
              <w:t>(7,334)</w:t>
            </w:r>
          </w:p>
        </w:tc>
        <w:tc>
          <w:tcPr>
            <w:tcW w:w="36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500" w:type="dxa"/>
            <w:vAlign w:val="bottom"/>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0FFFF"/>
          </w:tcPr>
          <w:p>
            <w:pPr>
              <w:spacing w:after="0"/>
              <w:rPr>
                <w:sz w:val="17"/>
                <w:szCs w:val="17"/>
                <w:color w:val="auto"/>
              </w:rPr>
            </w:pPr>
          </w:p>
        </w:tc>
        <w:tc>
          <w:tcPr>
            <w:tcW w:w="180" w:type="dxa"/>
            <w:vAlign w:val="bottom"/>
            <w:tcBorders>
              <w:right w:val="single" w:sz="8" w:color="C0FFFF"/>
            </w:tcBorders>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800" w:type="dxa"/>
            <w:vAlign w:val="bottom"/>
            <w:gridSpan w:val="2"/>
            <w:vMerge w:val="restart"/>
            <w:shd w:val="clear" w:color="auto" w:fill="C0FFFF"/>
          </w:tcPr>
          <w:p>
            <w:pPr>
              <w:jc w:val="right"/>
              <w:ind w:right="240"/>
              <w:spacing w:after="0"/>
              <w:rPr>
                <w:sz w:val="20"/>
                <w:szCs w:val="20"/>
                <w:color w:val="auto"/>
              </w:rPr>
            </w:pPr>
            <w:r>
              <w:rPr>
                <w:rFonts w:ascii="Arial" w:cs="Arial" w:eastAsia="Arial" w:hAnsi="Arial"/>
                <w:sz w:val="18"/>
                <w:szCs w:val="18"/>
                <w:b w:val="1"/>
                <w:bCs w:val="1"/>
                <w:color w:val="auto"/>
                <w:w w:val="94"/>
              </w:rPr>
              <w:t>(7,334)</w:t>
            </w:r>
          </w:p>
        </w:tc>
        <w:tc>
          <w:tcPr>
            <w:tcW w:w="80" w:type="dxa"/>
            <w:vAlign w:val="bottom"/>
            <w:tcBorders>
              <w:right w:val="single" w:sz="8" w:color="C0FFFF"/>
            </w:tcBorders>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2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40" w:type="dxa"/>
            <w:vAlign w:val="bottom"/>
            <w:shd w:val="clear" w:color="auto" w:fill="C0FFFF"/>
          </w:tcPr>
          <w:p>
            <w:pPr>
              <w:spacing w:after="0"/>
              <w:rPr>
                <w:sz w:val="17"/>
                <w:szCs w:val="17"/>
                <w:color w:val="auto"/>
              </w:rPr>
            </w:pPr>
          </w:p>
        </w:tc>
        <w:tc>
          <w:tcPr>
            <w:tcW w:w="28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8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external customers</w:t>
            </w:r>
          </w:p>
        </w:tc>
        <w:tc>
          <w:tcPr>
            <w:tcW w:w="120" w:type="dxa"/>
            <w:vAlign w:val="bottom"/>
            <w:shd w:val="clear" w:color="auto" w:fill="C0FFFF"/>
          </w:tcPr>
          <w:p>
            <w:pPr>
              <w:spacing w:after="0"/>
              <w:rPr>
                <w:sz w:val="20"/>
                <w:szCs w:val="20"/>
                <w:color w:val="auto"/>
              </w:rPr>
            </w:pPr>
          </w:p>
        </w:tc>
        <w:tc>
          <w:tcPr>
            <w:tcW w:w="1220" w:type="dxa"/>
            <w:vAlign w:val="bottom"/>
            <w:gridSpan w:val="2"/>
            <w:vMerge w:val="continue"/>
            <w:shd w:val="clear" w:color="auto" w:fill="C0FFFF"/>
          </w:tcPr>
          <w:p>
            <w:pPr>
              <w:spacing w:after="0"/>
              <w:rPr>
                <w:sz w:val="20"/>
                <w:szCs w:val="20"/>
                <w:color w:val="auto"/>
              </w:rPr>
            </w:pPr>
          </w:p>
        </w:tc>
        <w:tc>
          <w:tcPr>
            <w:tcW w:w="3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500" w:type="dxa"/>
            <w:vAlign w:val="bottom"/>
            <w:vMerge w:val="continue"/>
            <w:shd w:val="clear" w:color="auto" w:fill="C0FFFF"/>
          </w:tcPr>
          <w:p>
            <w:pPr>
              <w:spacing w:after="0"/>
              <w:rPr>
                <w:sz w:val="20"/>
                <w:szCs w:val="20"/>
                <w:color w:val="auto"/>
              </w:rPr>
            </w:pPr>
          </w:p>
        </w:tc>
        <w:tc>
          <w:tcPr>
            <w:tcW w:w="180" w:type="dxa"/>
            <w:vAlign w:val="bottom"/>
            <w:shd w:val="clear" w:color="auto" w:fill="C0FFFF"/>
          </w:tcPr>
          <w:p>
            <w:pPr>
              <w:spacing w:after="0"/>
              <w:rPr>
                <w:sz w:val="20"/>
                <w:szCs w:val="20"/>
                <w:color w:val="auto"/>
              </w:rPr>
            </w:pPr>
          </w:p>
        </w:tc>
        <w:tc>
          <w:tcPr>
            <w:tcW w:w="180" w:type="dxa"/>
            <w:vAlign w:val="bottom"/>
            <w:tcBorders>
              <w:right w:val="single" w:sz="8" w:color="C0FFFF"/>
            </w:tcBorders>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800" w:type="dxa"/>
            <w:vAlign w:val="bottom"/>
            <w:gridSpan w:val="2"/>
            <w:vMerge w:val="continue"/>
            <w:shd w:val="clear" w:color="auto" w:fill="C0FFFF"/>
          </w:tcPr>
          <w:p>
            <w:pPr>
              <w:spacing w:after="0"/>
              <w:rPr>
                <w:sz w:val="20"/>
                <w:szCs w:val="20"/>
                <w:color w:val="auto"/>
              </w:rPr>
            </w:pPr>
          </w:p>
        </w:tc>
        <w:tc>
          <w:tcPr>
            <w:tcW w:w="80" w:type="dxa"/>
            <w:vAlign w:val="bottom"/>
            <w:tcBorders>
              <w:right w:val="single" w:sz="8" w:color="C0FFFF"/>
            </w:tcBorders>
            <w:shd w:val="clear" w:color="auto" w:fill="C0FFFF"/>
          </w:tcPr>
          <w:p>
            <w:pPr>
              <w:spacing w:after="0"/>
              <w:rPr>
                <w:sz w:val="20"/>
                <w:szCs w:val="20"/>
                <w:color w:val="auto"/>
              </w:rPr>
            </w:pPr>
          </w:p>
        </w:tc>
        <w:tc>
          <w:tcPr>
            <w:tcW w:w="14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8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w w:val="98"/>
              </w:rPr>
              <w:t>(13,699)</w:t>
            </w:r>
          </w:p>
        </w:tc>
        <w:tc>
          <w:tcPr>
            <w:tcW w:w="80" w:type="dxa"/>
            <w:vAlign w:val="bottom"/>
            <w:shd w:val="clear" w:color="auto" w:fill="C0FFFF"/>
          </w:tcPr>
          <w:p>
            <w:pPr>
              <w:spacing w:after="0"/>
              <w:rPr>
                <w:sz w:val="20"/>
                <w:szCs w:val="20"/>
                <w:color w:val="auto"/>
              </w:rPr>
            </w:pPr>
          </w:p>
        </w:tc>
        <w:tc>
          <w:tcPr>
            <w:tcW w:w="140" w:type="dxa"/>
            <w:vAlign w:val="bottom"/>
            <w:shd w:val="clear" w:color="auto" w:fill="C0FFFF"/>
          </w:tcPr>
          <w:p>
            <w:pPr>
              <w:spacing w:after="0"/>
              <w:rPr>
                <w:sz w:val="20"/>
                <w:szCs w:val="20"/>
                <w:color w:val="auto"/>
              </w:rPr>
            </w:pP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0FFFF"/>
          </w:tcPr>
          <w:p>
            <w:pPr>
              <w:spacing w:after="0"/>
              <w:rPr>
                <w:sz w:val="20"/>
                <w:szCs w:val="20"/>
                <w:color w:val="auto"/>
              </w:rPr>
            </w:pP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Revenues from non-store activities (5)</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(16,765)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(3,313)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(20,078)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(2,785)</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Store location net retail sales</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b w:val="1"/>
                <w:bCs w:val="1"/>
                <w:color w:val="auto"/>
              </w:rPr>
              <w:t>295,711</w:t>
            </w:r>
          </w:p>
        </w:tc>
        <w:tc>
          <w:tcPr>
            <w:tcW w:w="360" w:type="dxa"/>
            <w:vAlign w:val="bottom"/>
            <w:shd w:val="clear" w:color="auto" w:fill="C0FFFF"/>
          </w:tcPr>
          <w:p>
            <w:pPr>
              <w:jc w:val="right"/>
              <w:ind w:right="197"/>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0FFFF"/>
          </w:tcPr>
          <w:p>
            <w:pPr>
              <w:spacing w:after="0"/>
              <w:rPr>
                <w:sz w:val="20"/>
                <w:szCs w:val="20"/>
                <w:color w:val="auto"/>
              </w:rPr>
            </w:pPr>
          </w:p>
        </w:tc>
        <w:tc>
          <w:tcPr>
            <w:tcW w:w="6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w w:val="87"/>
              </w:rPr>
              <w:t>71,252</w:t>
            </w:r>
          </w:p>
        </w:tc>
        <w:tc>
          <w:tcPr>
            <w:tcW w:w="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4"/>
            <w:shd w:val="clear" w:color="auto" w:fill="C0FFFF"/>
          </w:tcPr>
          <w:p>
            <w:pPr>
              <w:jc w:val="right"/>
              <w:ind w:right="300"/>
              <w:spacing w:after="0"/>
              <w:rPr>
                <w:sz w:val="20"/>
                <w:szCs w:val="20"/>
                <w:color w:val="auto"/>
              </w:rPr>
            </w:pPr>
            <w:r>
              <w:rPr>
                <w:rFonts w:ascii="Arial" w:cs="Arial" w:eastAsia="Arial" w:hAnsi="Arial"/>
                <w:sz w:val="18"/>
                <w:szCs w:val="18"/>
                <w:b w:val="1"/>
                <w:bCs w:val="1"/>
                <w:color w:val="auto"/>
              </w:rPr>
              <w:t>366,963</w:t>
            </w:r>
          </w:p>
        </w:tc>
        <w:tc>
          <w:tcPr>
            <w:tcW w:w="2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8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w w:val="92"/>
              </w:rPr>
              <w:t>303,348</w:t>
            </w:r>
          </w:p>
        </w:tc>
        <w:tc>
          <w:tcPr>
            <w:tcW w:w="80" w:type="dxa"/>
            <w:vAlign w:val="bottom"/>
            <w:shd w:val="clear" w:color="auto" w:fill="C0FFFF"/>
          </w:tcPr>
          <w:p>
            <w:pPr>
              <w:spacing w:after="0"/>
              <w:rPr>
                <w:sz w:val="20"/>
                <w:szCs w:val="20"/>
                <w:color w:val="auto"/>
              </w:rPr>
            </w:pP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66,685</w:t>
            </w:r>
          </w:p>
        </w:tc>
        <w:tc>
          <w:tcPr>
            <w:tcW w:w="200" w:type="dxa"/>
            <w:vAlign w:val="bottom"/>
            <w:shd w:val="clear" w:color="auto" w:fill="C0FF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370,033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0FFFF"/>
            </w:tcBorders>
            <w:shd w:val="clear" w:color="auto" w:fill="C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C0FFFF"/>
              <w:right w:val="single" w:sz="8" w:color="auto"/>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right w:val="single" w:sz="8" w:color="auto"/>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tcPr>
          <w:p>
            <w:pPr>
              <w:ind w:left="100"/>
              <w:spacing w:after="0" w:line="195" w:lineRule="exact"/>
              <w:rPr>
                <w:sz w:val="20"/>
                <w:szCs w:val="20"/>
                <w:color w:val="auto"/>
              </w:rPr>
            </w:pPr>
            <w:r>
              <w:rPr>
                <w:rFonts w:ascii="Arial" w:cs="Arial" w:eastAsia="Arial" w:hAnsi="Arial"/>
                <w:sz w:val="18"/>
                <w:szCs w:val="18"/>
                <w:color w:val="auto"/>
              </w:rPr>
              <w:t>Store contribution as a percentage of store</w:t>
            </w:r>
          </w:p>
        </w:tc>
        <w:tc>
          <w:tcPr>
            <w:tcW w:w="120" w:type="dxa"/>
            <w:vAlign w:val="bottom"/>
          </w:tcPr>
          <w:p>
            <w:pPr>
              <w:spacing w:after="0"/>
              <w:rPr>
                <w:sz w:val="16"/>
                <w:szCs w:val="16"/>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15.7%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location net retail sales</w:t>
            </w: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00" w:type="dxa"/>
            <w:vAlign w:val="bottom"/>
            <w:shd w:val="clear" w:color="auto" w:fill="C0FFFF"/>
          </w:tcPr>
          <w:p>
            <w:pPr>
              <w:ind w:left="100"/>
              <w:spacing w:after="0" w:line="195" w:lineRule="exact"/>
              <w:rPr>
                <w:sz w:val="20"/>
                <w:szCs w:val="20"/>
                <w:color w:val="auto"/>
              </w:rPr>
            </w:pPr>
            <w:r>
              <w:rPr>
                <w:rFonts w:ascii="Arial" w:cs="Arial" w:eastAsia="Arial" w:hAnsi="Arial"/>
                <w:sz w:val="18"/>
                <w:szCs w:val="18"/>
                <w:color w:val="auto"/>
                <w:w w:val="95"/>
              </w:rPr>
              <w:t>Total net income (loss) as a percentage of total</w:t>
            </w:r>
          </w:p>
        </w:tc>
        <w:tc>
          <w:tcPr>
            <w:tcW w:w="120" w:type="dxa"/>
            <w:vAlign w:val="bottom"/>
            <w:shd w:val="clear" w:color="auto" w:fill="C0FFFF"/>
          </w:tcPr>
          <w:p>
            <w:pPr>
              <w:spacing w:after="0"/>
              <w:rPr>
                <w:sz w:val="16"/>
                <w:szCs w:val="16"/>
                <w:color w:val="auto"/>
              </w:rPr>
            </w:pPr>
          </w:p>
        </w:tc>
        <w:tc>
          <w:tcPr>
            <w:tcW w:w="1220" w:type="dxa"/>
            <w:vAlign w:val="bottom"/>
            <w:gridSpan w:val="2"/>
            <w:vMerge w:val="restart"/>
            <w:shd w:val="clear" w:color="auto" w:fill="C0FFFF"/>
          </w:tcPr>
          <w:p>
            <w:pPr>
              <w:jc w:val="right"/>
              <w:ind w:right="120"/>
              <w:spacing w:after="0"/>
              <w:rPr>
                <w:sz w:val="20"/>
                <w:szCs w:val="20"/>
                <w:color w:val="auto"/>
              </w:rPr>
            </w:pPr>
            <w:r>
              <w:rPr>
                <w:rFonts w:ascii="Arial" w:cs="Arial" w:eastAsia="Arial" w:hAnsi="Arial"/>
                <w:sz w:val="18"/>
                <w:szCs w:val="18"/>
                <w:b w:val="1"/>
                <w:bCs w:val="1"/>
                <w:color w:val="auto"/>
              </w:rPr>
              <w:t>(6.0)%</w:t>
            </w:r>
          </w:p>
        </w:tc>
        <w:tc>
          <w:tcPr>
            <w:tcW w:w="36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80" w:type="dxa"/>
            <w:vAlign w:val="bottom"/>
            <w:gridSpan w:val="2"/>
            <w:vMerge w:val="restart"/>
            <w:shd w:val="clear" w:color="auto" w:fill="C0FFFF"/>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tcBorders>
              <w:right w:val="single" w:sz="8" w:color="C0FFFF"/>
            </w:tcBorders>
            <w:shd w:val="clear" w:color="auto" w:fill="C0FFFF"/>
          </w:tcPr>
          <w:p>
            <w:pPr>
              <w:spacing w:after="0"/>
              <w:rPr>
                <w:sz w:val="16"/>
                <w:szCs w:val="16"/>
                <w:color w:val="auto"/>
              </w:rPr>
            </w:pPr>
          </w:p>
        </w:tc>
        <w:tc>
          <w:tcPr>
            <w:tcW w:w="22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800" w:type="dxa"/>
            <w:vAlign w:val="bottom"/>
            <w:gridSpan w:val="2"/>
            <w:vMerge w:val="restart"/>
            <w:shd w:val="clear" w:color="auto" w:fill="C0FFFF"/>
          </w:tcPr>
          <w:p>
            <w:pPr>
              <w:jc w:val="right"/>
              <w:ind w:right="60"/>
              <w:spacing w:after="0"/>
              <w:rPr>
                <w:sz w:val="20"/>
                <w:szCs w:val="20"/>
                <w:color w:val="auto"/>
              </w:rPr>
            </w:pPr>
            <w:r>
              <w:rPr>
                <w:rFonts w:ascii="Arial" w:cs="Arial" w:eastAsia="Arial" w:hAnsi="Arial"/>
                <w:sz w:val="18"/>
                <w:szCs w:val="18"/>
                <w:b w:val="1"/>
                <w:bCs w:val="1"/>
                <w:color w:val="auto"/>
              </w:rPr>
              <w:t>(4.3)%</w:t>
            </w:r>
          </w:p>
        </w:tc>
        <w:tc>
          <w:tcPr>
            <w:tcW w:w="80" w:type="dxa"/>
            <w:vAlign w:val="bottom"/>
            <w:tcBorders>
              <w:right w:val="single" w:sz="8" w:color="C0FFFF"/>
            </w:tcBorders>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620" w:type="dxa"/>
            <w:vAlign w:val="bottom"/>
            <w:shd w:val="clear" w:color="auto" w:fill="C0FFFF"/>
          </w:tcPr>
          <w:p>
            <w:pPr>
              <w:spacing w:after="0"/>
              <w:rPr>
                <w:sz w:val="16"/>
                <w:szCs w:val="16"/>
                <w:color w:val="auto"/>
              </w:rPr>
            </w:pPr>
          </w:p>
        </w:tc>
        <w:tc>
          <w:tcPr>
            <w:tcW w:w="240" w:type="dxa"/>
            <w:vAlign w:val="bottom"/>
            <w:shd w:val="clear" w:color="auto" w:fill="C0FFFF"/>
          </w:tcPr>
          <w:p>
            <w:pPr>
              <w:spacing w:after="0"/>
              <w:rPr>
                <w:sz w:val="16"/>
                <w:szCs w:val="16"/>
                <w:color w:val="auto"/>
              </w:rPr>
            </w:pPr>
          </w:p>
        </w:tc>
        <w:tc>
          <w:tcPr>
            <w:tcW w:w="80" w:type="dxa"/>
            <w:vAlign w:val="bottom"/>
            <w:shd w:val="clear" w:color="auto" w:fill="C0FFFF"/>
          </w:tcPr>
          <w:p>
            <w:pPr>
              <w:spacing w:after="0"/>
              <w:rPr>
                <w:sz w:val="16"/>
                <w:szCs w:val="16"/>
                <w:color w:val="auto"/>
              </w:rPr>
            </w:pPr>
          </w:p>
        </w:tc>
        <w:tc>
          <w:tcPr>
            <w:tcW w:w="140" w:type="dxa"/>
            <w:vAlign w:val="bottom"/>
            <w:shd w:val="clear" w:color="auto" w:fill="C0FFFF"/>
          </w:tcPr>
          <w:p>
            <w:pPr>
              <w:spacing w:after="0"/>
              <w:rPr>
                <w:sz w:val="16"/>
                <w:szCs w:val="16"/>
                <w:color w:val="auto"/>
              </w:rPr>
            </w:pPr>
          </w:p>
        </w:tc>
        <w:tc>
          <w:tcPr>
            <w:tcW w:w="84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200" w:type="dxa"/>
            <w:vAlign w:val="bottom"/>
            <w:shd w:val="clear" w:color="auto" w:fill="C0FFFF"/>
          </w:tcPr>
          <w:p>
            <w:pPr>
              <w:spacing w:after="0"/>
              <w:rPr>
                <w:sz w:val="16"/>
                <w:szCs w:val="16"/>
                <w:color w:val="auto"/>
              </w:rPr>
            </w:pPr>
          </w:p>
        </w:tc>
        <w:tc>
          <w:tcPr>
            <w:tcW w:w="80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shd w:val="clear" w:color="auto" w:fill="C0FFFF"/>
          </w:tcPr>
          <w:p>
            <w:pPr>
              <w:ind w:left="26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0FFFF"/>
          </w:tcPr>
          <w:p>
            <w:pPr>
              <w:spacing w:after="0"/>
              <w:rPr>
                <w:sz w:val="21"/>
                <w:szCs w:val="21"/>
                <w:color w:val="auto"/>
              </w:rPr>
            </w:pPr>
          </w:p>
        </w:tc>
        <w:tc>
          <w:tcPr>
            <w:tcW w:w="1220" w:type="dxa"/>
            <w:vAlign w:val="bottom"/>
            <w:gridSpan w:val="2"/>
            <w:vMerge w:val="continue"/>
            <w:shd w:val="clear" w:color="auto" w:fill="C0FFFF"/>
          </w:tcPr>
          <w:p>
            <w:pPr>
              <w:spacing w:after="0"/>
              <w:rPr>
                <w:sz w:val="21"/>
                <w:szCs w:val="21"/>
                <w:color w:val="auto"/>
              </w:rPr>
            </w:pPr>
          </w:p>
        </w:tc>
        <w:tc>
          <w:tcPr>
            <w:tcW w:w="36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680" w:type="dxa"/>
            <w:vAlign w:val="bottom"/>
            <w:gridSpan w:val="2"/>
            <w:vMerge w:val="continue"/>
            <w:shd w:val="clear" w:color="auto" w:fill="C0FFFF"/>
          </w:tcPr>
          <w:p>
            <w:pPr>
              <w:spacing w:after="0"/>
              <w:rPr>
                <w:sz w:val="21"/>
                <w:szCs w:val="21"/>
                <w:color w:val="auto"/>
              </w:rPr>
            </w:pPr>
          </w:p>
        </w:tc>
        <w:tc>
          <w:tcPr>
            <w:tcW w:w="180" w:type="dxa"/>
            <w:vAlign w:val="bottom"/>
            <w:tcBorders>
              <w:right w:val="single" w:sz="8" w:color="C0FFFF"/>
            </w:tcBorders>
            <w:shd w:val="clear" w:color="auto" w:fill="C0FFFF"/>
          </w:tcPr>
          <w:p>
            <w:pPr>
              <w:spacing w:after="0"/>
              <w:rPr>
                <w:sz w:val="21"/>
                <w:szCs w:val="21"/>
                <w:color w:val="auto"/>
              </w:rPr>
            </w:pPr>
          </w:p>
        </w:tc>
        <w:tc>
          <w:tcPr>
            <w:tcW w:w="220" w:type="dxa"/>
            <w:vAlign w:val="bottom"/>
            <w:shd w:val="clear" w:color="auto" w:fill="C0FFFF"/>
          </w:tcPr>
          <w:p>
            <w:pPr>
              <w:spacing w:after="0"/>
              <w:rPr>
                <w:sz w:val="21"/>
                <w:szCs w:val="21"/>
                <w:color w:val="auto"/>
              </w:rPr>
            </w:pPr>
          </w:p>
        </w:tc>
        <w:tc>
          <w:tcPr>
            <w:tcW w:w="8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800" w:type="dxa"/>
            <w:vAlign w:val="bottom"/>
            <w:gridSpan w:val="2"/>
            <w:vMerge w:val="continue"/>
            <w:shd w:val="clear" w:color="auto" w:fill="C0FFFF"/>
          </w:tcPr>
          <w:p>
            <w:pPr>
              <w:spacing w:after="0"/>
              <w:rPr>
                <w:sz w:val="21"/>
                <w:szCs w:val="21"/>
                <w:color w:val="auto"/>
              </w:rPr>
            </w:pPr>
          </w:p>
        </w:tc>
        <w:tc>
          <w:tcPr>
            <w:tcW w:w="80" w:type="dxa"/>
            <w:vAlign w:val="bottom"/>
            <w:tcBorders>
              <w:right w:val="single" w:sz="8" w:color="C0FFFF"/>
            </w:tcBorders>
            <w:shd w:val="clear" w:color="auto" w:fill="C0FFFF"/>
          </w:tcPr>
          <w:p>
            <w:pPr>
              <w:spacing w:after="0"/>
              <w:rPr>
                <w:sz w:val="21"/>
                <w:szCs w:val="21"/>
                <w:color w:val="auto"/>
              </w:rPr>
            </w:pPr>
          </w:p>
        </w:tc>
        <w:tc>
          <w:tcPr>
            <w:tcW w:w="140" w:type="dxa"/>
            <w:vAlign w:val="bottom"/>
            <w:shd w:val="clear" w:color="auto" w:fill="C0FFFF"/>
          </w:tcPr>
          <w:p>
            <w:pPr>
              <w:spacing w:after="0"/>
              <w:rPr>
                <w:sz w:val="21"/>
                <w:szCs w:val="21"/>
                <w:color w:val="auto"/>
              </w:rPr>
            </w:pPr>
          </w:p>
        </w:tc>
        <w:tc>
          <w:tcPr>
            <w:tcW w:w="10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8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0FFFF"/>
          </w:tcPr>
          <w:p>
            <w:pPr>
              <w:spacing w:after="0"/>
              <w:rPr>
                <w:sz w:val="21"/>
                <w:szCs w:val="21"/>
                <w:color w:val="auto"/>
              </w:rPr>
            </w:pPr>
          </w:p>
        </w:tc>
        <w:tc>
          <w:tcPr>
            <w:tcW w:w="140" w:type="dxa"/>
            <w:vAlign w:val="bottom"/>
            <w:shd w:val="clear" w:color="auto" w:fill="C0FFFF"/>
          </w:tcPr>
          <w:p>
            <w:pPr>
              <w:spacing w:after="0"/>
              <w:rPr>
                <w:sz w:val="21"/>
                <w:szCs w:val="21"/>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0FFFF"/>
          </w:tcPr>
          <w:p>
            <w:pPr>
              <w:spacing w:after="0"/>
              <w:rPr>
                <w:sz w:val="21"/>
                <w:szCs w:val="21"/>
                <w:color w:val="auto"/>
              </w:rPr>
            </w:pPr>
          </w:p>
        </w:tc>
        <w:tc>
          <w:tcPr>
            <w:tcW w:w="9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0FFFF"/>
            </w:tcBorders>
            <w:shd w:val="clear" w:color="auto" w:fill="C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C0FFFF"/>
              <w:right w:val="single" w:sz="8" w:color="auto"/>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right w:val="single" w:sz="8" w:color="auto"/>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1"/>
              </w:rPr>
              <w:t>Fiscal 2009</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5"/>
              </w:rPr>
              <w:t>North</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2"/>
              </w:rPr>
              <w:t>America</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Europe</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4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0FFFF"/>
          </w:tcPr>
          <w:p>
            <w:pPr>
              <w:jc w:val="right"/>
              <w:ind w:right="160"/>
              <w:spacing w:after="0"/>
              <w:rPr>
                <w:sz w:val="20"/>
                <w:szCs w:val="20"/>
                <w:color w:val="auto"/>
              </w:rPr>
            </w:pPr>
            <w:r>
              <w:rPr>
                <w:rFonts w:ascii="Arial" w:cs="Arial" w:eastAsia="Arial" w:hAnsi="Arial"/>
                <w:sz w:val="18"/>
                <w:szCs w:val="18"/>
                <w:color w:val="auto"/>
              </w:rPr>
              <w:t>(14,384)</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0FFFF"/>
          </w:tcPr>
          <w:p>
            <w:pPr>
              <w:jc w:val="right"/>
              <w:ind w:right="140"/>
              <w:spacing w:after="0"/>
              <w:rPr>
                <w:sz w:val="20"/>
                <w:szCs w:val="20"/>
                <w:color w:val="auto"/>
              </w:rPr>
            </w:pPr>
            <w:r>
              <w:rPr>
                <w:rFonts w:ascii="Arial" w:cs="Arial" w:eastAsia="Arial" w:hAnsi="Arial"/>
                <w:sz w:val="18"/>
                <w:szCs w:val="18"/>
                <w:color w:val="auto"/>
              </w:rPr>
              <w:t>1,911</w:t>
            </w:r>
          </w:p>
        </w:tc>
        <w:tc>
          <w:tcPr>
            <w:tcW w:w="2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(12,473)</w:t>
            </w:r>
          </w:p>
        </w:tc>
        <w:tc>
          <w:tcPr>
            <w:tcW w:w="140" w:type="dxa"/>
            <w:vAlign w:val="bottom"/>
            <w:shd w:val="clear" w:color="auto" w:fill="C0FFFF"/>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(9,434)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(11,367)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Interest expense (income)</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80" w:type="dxa"/>
            <w:vAlign w:val="bottom"/>
            <w:gridSpan w:val="4"/>
            <w:shd w:val="clear" w:color="auto" w:fill="C0FFFF"/>
          </w:tcPr>
          <w:p>
            <w:pPr>
              <w:jc w:val="right"/>
              <w:ind w:right="16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gridSpan w:val="4"/>
            <w:shd w:val="clear" w:color="auto" w:fill="C0FF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4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0FFFF"/>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w w:val="92"/>
              </w:rPr>
              <w:t>Store depreciation, amortization and impairment (1)</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20,159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25,473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Store preopening expense</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4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79"/>
              </w:rPr>
              <w:t>90</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40" w:type="dxa"/>
            <w:vAlign w:val="bottom"/>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0FFFF"/>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Losses from investment in affiliate (2)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9,615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9,615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General and administrative expense (3)</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80" w:type="dxa"/>
            <w:vAlign w:val="bottom"/>
            <w:gridSpan w:val="4"/>
            <w:shd w:val="clear" w:color="auto" w:fill="C0FFFF"/>
          </w:tcPr>
          <w:p>
            <w:pPr>
              <w:jc w:val="right"/>
              <w:ind w:right="220"/>
              <w:spacing w:after="0"/>
              <w:rPr>
                <w:sz w:val="20"/>
                <w:szCs w:val="20"/>
                <w:color w:val="auto"/>
              </w:rPr>
            </w:pPr>
            <w:r>
              <w:rPr>
                <w:rFonts w:ascii="Arial" w:cs="Arial" w:eastAsia="Arial" w:hAnsi="Arial"/>
                <w:sz w:val="18"/>
                <w:szCs w:val="18"/>
                <w:color w:val="auto"/>
              </w:rPr>
              <w:t>38,572</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gridSpan w:val="4"/>
            <w:shd w:val="clear" w:color="auto" w:fill="C0FFFF"/>
          </w:tcPr>
          <w:p>
            <w:pPr>
              <w:jc w:val="right"/>
              <w:ind w:right="140"/>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40" w:type="dxa"/>
            <w:vAlign w:val="bottom"/>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42,080</w:t>
            </w:r>
          </w:p>
        </w:tc>
        <w:tc>
          <w:tcPr>
            <w:tcW w:w="140" w:type="dxa"/>
            <w:vAlign w:val="bottom"/>
            <w:shd w:val="clear" w:color="auto" w:fill="C0FFFF"/>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Franchising and commercial contribution (4)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(4,328)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Non-store activity contribution (5)</w:t>
            </w: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80" w:type="dxa"/>
            <w:vAlign w:val="bottom"/>
            <w:gridSpan w:val="4"/>
            <w:shd w:val="clear" w:color="auto" w:fill="C0FFFF"/>
          </w:tcPr>
          <w:p>
            <w:pPr>
              <w:jc w:val="right"/>
              <w:ind w:right="160"/>
              <w:spacing w:after="0"/>
              <w:rPr>
                <w:sz w:val="20"/>
                <w:szCs w:val="20"/>
                <w:color w:val="auto"/>
              </w:rPr>
            </w:pPr>
            <w:r>
              <w:rPr>
                <w:rFonts w:ascii="Arial" w:cs="Arial" w:eastAsia="Arial" w:hAnsi="Arial"/>
                <w:sz w:val="18"/>
                <w:szCs w:val="18"/>
                <w:color w:val="auto"/>
              </w:rPr>
              <w:t>(2,282)</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gridSpan w:val="4"/>
            <w:shd w:val="clear" w:color="auto" w:fill="C0FFFF"/>
          </w:tcPr>
          <w:p>
            <w:pPr>
              <w:jc w:val="right"/>
              <w:ind w:right="8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4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(3,065)</w:t>
            </w:r>
          </w:p>
        </w:tc>
        <w:tc>
          <w:tcPr>
            <w:tcW w:w="140" w:type="dxa"/>
            <w:vAlign w:val="bottom"/>
            <w:shd w:val="clear" w:color="auto" w:fill="C0FFFF"/>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860" w:type="dxa"/>
            <w:vAlign w:val="bottom"/>
            <w:shd w:val="clear" w:color="auto" w:fill="C0FFFF"/>
          </w:tcPr>
          <w:p>
            <w:pPr>
              <w:spacing w:after="0"/>
              <w:rPr>
                <w:sz w:val="2"/>
                <w:szCs w:val="2"/>
                <w:color w:val="auto"/>
              </w:rPr>
            </w:pPr>
          </w:p>
        </w:tc>
        <w:tc>
          <w:tcPr>
            <w:tcW w:w="360" w:type="dxa"/>
            <w:vAlign w:val="bottom"/>
            <w:shd w:val="clear" w:color="auto" w:fill="C0FFFF"/>
          </w:tcPr>
          <w:p>
            <w:pPr>
              <w:spacing w:after="0"/>
              <w:rPr>
                <w:sz w:val="2"/>
                <w:szCs w:val="2"/>
                <w:color w:val="auto"/>
              </w:rPr>
            </w:pPr>
          </w:p>
        </w:tc>
        <w:tc>
          <w:tcPr>
            <w:tcW w:w="36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Store contribution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37,915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7,967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45,882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tcBorders>
              <w:right w:val="single" w:sz="8" w:color="C0FFFF"/>
            </w:tcBorders>
            <w:gridSpan w:val="3"/>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80" w:type="dxa"/>
            <w:vAlign w:val="bottom"/>
            <w:tcBorders>
              <w:right w:val="single" w:sz="8" w:color="C0FFFF"/>
            </w:tcBorders>
            <w:gridSpan w:val="3"/>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60" w:type="dxa"/>
            <w:vAlign w:val="bottom"/>
            <w:gridSpan w:val="2"/>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revenues from external customers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323,386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72,520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395,906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4"/>
            <w:shd w:val="clear" w:color="auto" w:fill="C0FFFF"/>
          </w:tcPr>
          <w:p>
            <w:pPr>
              <w:spacing w:after="0"/>
              <w:rPr>
                <w:sz w:val="20"/>
                <w:szCs w:val="20"/>
                <w:color w:val="auto"/>
              </w:rPr>
            </w:pPr>
            <w:r>
              <w:rPr>
                <w:rFonts w:ascii="Arial" w:cs="Arial" w:eastAsia="Arial" w:hAnsi="Arial"/>
                <w:sz w:val="18"/>
                <w:szCs w:val="18"/>
                <w:color w:val="auto"/>
                <w:w w:val="99"/>
              </w:rPr>
              <w:t>Franchising and commercial revenues from external customers</w:t>
            </w: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80" w:type="dxa"/>
            <w:vAlign w:val="bottom"/>
            <w:gridSpan w:val="4"/>
            <w:shd w:val="clear" w:color="auto" w:fill="C0FFFF"/>
          </w:tcPr>
          <w:p>
            <w:pPr>
              <w:jc w:val="right"/>
              <w:ind w:right="160"/>
              <w:spacing w:after="0"/>
              <w:rPr>
                <w:sz w:val="20"/>
                <w:szCs w:val="20"/>
                <w:color w:val="auto"/>
              </w:rPr>
            </w:pPr>
            <w:r>
              <w:rPr>
                <w:rFonts w:ascii="Arial" w:cs="Arial" w:eastAsia="Arial" w:hAnsi="Arial"/>
                <w:sz w:val="18"/>
                <w:szCs w:val="18"/>
                <w:color w:val="auto"/>
              </w:rPr>
              <w:t>(7,354)</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4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(7,354)</w:t>
            </w:r>
          </w:p>
        </w:tc>
        <w:tc>
          <w:tcPr>
            <w:tcW w:w="140" w:type="dxa"/>
            <w:vAlign w:val="bottom"/>
            <w:shd w:val="clear" w:color="auto" w:fill="C0FFFF"/>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Revenues from non-store activities (5)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(15,058)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(17,449)</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Store location net retail sales</w:t>
            </w:r>
          </w:p>
        </w:tc>
        <w:tc>
          <w:tcPr>
            <w:tcW w:w="120" w:type="dxa"/>
            <w:vAlign w:val="bottom"/>
            <w:shd w:val="clear" w:color="auto" w:fill="C0FFFF"/>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360" w:type="dxa"/>
            <w:vAlign w:val="bottom"/>
            <w:shd w:val="clear" w:color="auto" w:fill="C0FFFF"/>
          </w:tcPr>
          <w:p>
            <w:pPr>
              <w:spacing w:after="0"/>
              <w:rPr>
                <w:sz w:val="20"/>
                <w:szCs w:val="20"/>
                <w:color w:val="auto"/>
              </w:rPr>
            </w:pPr>
          </w:p>
        </w:tc>
        <w:tc>
          <w:tcPr>
            <w:tcW w:w="360" w:type="dxa"/>
            <w:vAlign w:val="bottom"/>
            <w:shd w:val="clear" w:color="auto" w:fill="C0FFFF"/>
          </w:tcPr>
          <w:p>
            <w:pPr>
              <w:spacing w:after="0"/>
              <w:rPr>
                <w:sz w:val="20"/>
                <w:szCs w:val="20"/>
                <w:color w:val="auto"/>
              </w:rPr>
            </w:pP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0FFFF"/>
          </w:tcPr>
          <w:p>
            <w:pPr>
              <w:jc w:val="right"/>
              <w:ind w:right="220"/>
              <w:spacing w:after="0"/>
              <w:rPr>
                <w:sz w:val="20"/>
                <w:szCs w:val="20"/>
                <w:color w:val="auto"/>
              </w:rPr>
            </w:pPr>
            <w:r>
              <w:rPr>
                <w:rFonts w:ascii="Arial" w:cs="Arial" w:eastAsia="Arial" w:hAnsi="Arial"/>
                <w:sz w:val="18"/>
                <w:szCs w:val="18"/>
                <w:color w:val="auto"/>
              </w:rPr>
              <w:t>300,974</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0FFFF"/>
          </w:tcPr>
          <w:p>
            <w:pPr>
              <w:jc w:val="right"/>
              <w:ind w:right="140"/>
              <w:spacing w:after="0"/>
              <w:rPr>
                <w:sz w:val="20"/>
                <w:szCs w:val="20"/>
                <w:color w:val="auto"/>
              </w:rPr>
            </w:pPr>
            <w:r>
              <w:rPr>
                <w:rFonts w:ascii="Arial" w:cs="Arial" w:eastAsia="Arial" w:hAnsi="Arial"/>
                <w:sz w:val="18"/>
                <w:szCs w:val="18"/>
                <w:color w:val="auto"/>
              </w:rPr>
              <w:t>70,129</w:t>
            </w:r>
          </w:p>
        </w:tc>
        <w:tc>
          <w:tcPr>
            <w:tcW w:w="2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0FFFF"/>
          </w:tcPr>
          <w:p>
            <w:pPr>
              <w:jc w:val="right"/>
              <w:ind w:right="80"/>
              <w:spacing w:after="0"/>
              <w:rPr>
                <w:sz w:val="20"/>
                <w:szCs w:val="20"/>
                <w:color w:val="auto"/>
              </w:rPr>
            </w:pPr>
            <w:r>
              <w:rPr>
                <w:rFonts w:ascii="Arial" w:cs="Arial" w:eastAsia="Arial" w:hAnsi="Arial"/>
                <w:sz w:val="18"/>
                <w:szCs w:val="18"/>
                <w:color w:val="auto"/>
              </w:rPr>
              <w:t>371,103</w:t>
            </w:r>
          </w:p>
        </w:tc>
        <w:tc>
          <w:tcPr>
            <w:tcW w:w="140" w:type="dxa"/>
            <w:vAlign w:val="bottom"/>
            <w:shd w:val="clear" w:color="auto" w:fill="C0FFFF"/>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860" w:type="dxa"/>
            <w:vAlign w:val="bottom"/>
            <w:tcBorders>
              <w:top w:val="single" w:sz="8" w:color="C0FFFF"/>
            </w:tcBorders>
            <w:shd w:val="clear" w:color="auto" w:fill="C0FFFF"/>
          </w:tcPr>
          <w:p>
            <w:pPr>
              <w:spacing w:after="0" w:line="20" w:lineRule="exact"/>
              <w:rPr>
                <w:sz w:val="1"/>
                <w:szCs w:val="1"/>
                <w:color w:val="auto"/>
              </w:rPr>
            </w:pPr>
          </w:p>
        </w:tc>
        <w:tc>
          <w:tcPr>
            <w:tcW w:w="360" w:type="dxa"/>
            <w:vAlign w:val="bottom"/>
            <w:tcBorders>
              <w:top w:val="single" w:sz="8" w:color="C0FFFF"/>
            </w:tcBorders>
            <w:shd w:val="clear" w:color="auto" w:fill="C0FFFF"/>
          </w:tcPr>
          <w:p>
            <w:pPr>
              <w:spacing w:after="0" w:line="20" w:lineRule="exact"/>
              <w:rPr>
                <w:sz w:val="1"/>
                <w:szCs w:val="1"/>
                <w:color w:val="auto"/>
              </w:rPr>
            </w:pPr>
          </w:p>
        </w:tc>
        <w:tc>
          <w:tcPr>
            <w:tcW w:w="36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w w:val="95"/>
              </w:rPr>
              <w:t>Store contribution as a percentage of store location net retail 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12.4%</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gridSpan w:val="4"/>
            <w:shd w:val="clear" w:color="auto" w:fill="C0FFFF"/>
          </w:tcPr>
          <w:p>
            <w:pPr>
              <w:spacing w:after="0"/>
              <w:rPr>
                <w:sz w:val="20"/>
                <w:szCs w:val="20"/>
                <w:color w:val="auto"/>
              </w:rPr>
            </w:pPr>
            <w:r>
              <w:rPr>
                <w:rFonts w:ascii="Arial" w:cs="Arial" w:eastAsia="Arial" w:hAnsi="Arial"/>
                <w:sz w:val="18"/>
                <w:szCs w:val="18"/>
                <w:color w:val="auto"/>
              </w:rPr>
              <w:t>Total net income (loss) as a percentage of total revenues</w:t>
            </w:r>
          </w:p>
        </w:tc>
        <w:tc>
          <w:tcPr>
            <w:tcW w:w="36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1080" w:type="dxa"/>
            <w:vAlign w:val="bottom"/>
            <w:gridSpan w:val="4"/>
            <w:shd w:val="clear" w:color="auto" w:fill="C0FF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1020" w:type="dxa"/>
            <w:vAlign w:val="bottom"/>
            <w:gridSpan w:val="4"/>
            <w:shd w:val="clear" w:color="auto" w:fill="C0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0FFFF"/>
          </w:tcPr>
          <w:p>
            <w:pPr>
              <w:spacing w:after="0"/>
              <w:rPr>
                <w:sz w:val="21"/>
                <w:szCs w:val="21"/>
                <w:color w:val="auto"/>
              </w:rPr>
            </w:pPr>
          </w:p>
        </w:tc>
        <w:tc>
          <w:tcPr>
            <w:tcW w:w="120" w:type="dxa"/>
            <w:vAlign w:val="bottom"/>
            <w:shd w:val="clear" w:color="auto" w:fill="C0FFFF"/>
          </w:tcPr>
          <w:p>
            <w:pPr>
              <w:spacing w:after="0"/>
              <w:rPr>
                <w:sz w:val="21"/>
                <w:szCs w:val="21"/>
                <w:color w:val="auto"/>
              </w:rPr>
            </w:pPr>
          </w:p>
        </w:tc>
        <w:tc>
          <w:tcPr>
            <w:tcW w:w="1080" w:type="dxa"/>
            <w:vAlign w:val="bottom"/>
            <w:gridSpan w:val="4"/>
            <w:shd w:val="clear" w:color="auto" w:fill="C0FFFF"/>
          </w:tcPr>
          <w:p>
            <w:pPr>
              <w:jc w:val="right"/>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700" w:type="dxa"/>
            <w:vAlign w:val="bottom"/>
            <w:tcBorders>
              <w:top w:val="single" w:sz="8" w:color="C0FFFF"/>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860" w:type="dxa"/>
            <w:vAlign w:val="bottom"/>
            <w:tcBorders>
              <w:top w:val="single" w:sz="8" w:color="C0FFFF"/>
            </w:tcBorders>
          </w:tcPr>
          <w:p>
            <w:pPr>
              <w:spacing w:after="0"/>
              <w:rPr>
                <w:sz w:val="24"/>
                <w:szCs w:val="24"/>
                <w:color w:val="auto"/>
              </w:rPr>
            </w:pPr>
          </w:p>
        </w:tc>
        <w:tc>
          <w:tcPr>
            <w:tcW w:w="360" w:type="dxa"/>
            <w:vAlign w:val="bottom"/>
            <w:tcBorders>
              <w:top w:val="single" w:sz="8" w:color="C0FFFF"/>
            </w:tcBorders>
          </w:tcPr>
          <w:p>
            <w:pPr>
              <w:spacing w:after="0"/>
              <w:rPr>
                <w:sz w:val="24"/>
                <w:szCs w:val="24"/>
                <w:color w:val="auto"/>
              </w:rPr>
            </w:pPr>
          </w:p>
        </w:tc>
        <w:tc>
          <w:tcPr>
            <w:tcW w:w="36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0FFFF"/>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40" w:type="dxa"/>
            <w:vAlign w:val="bottom"/>
            <w:tcBorders>
              <w:top w:val="single" w:sz="8" w:color="C0FFFF"/>
            </w:tcBorders>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9" w:name="page40"/>
    <w:bookmarkEnd w:id="39"/>
    <w:p>
      <w:pPr>
        <w:ind w:left="492" w:right="20" w:hanging="492"/>
        <w:spacing w:after="0" w:line="258"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t>Store depreciation, amortization and impairment includes depreciation and amortization of all capitalized assets in store locations, including leasehold improvements, furniture and fixtures, and computer hardware and software and store asset impairment charges.</w:t>
      </w:r>
    </w:p>
    <w:p>
      <w:pPr>
        <w:spacing w:after="0" w:line="1" w:lineRule="exact"/>
        <w:rPr>
          <w:rFonts w:ascii="Arial" w:cs="Arial" w:eastAsia="Arial" w:hAnsi="Arial"/>
          <w:sz w:val="18"/>
          <w:szCs w:val="18"/>
          <w:color w:val="auto"/>
        </w:rPr>
      </w:pPr>
    </w:p>
    <w:p>
      <w:pPr>
        <w:ind w:left="492" w:hanging="492"/>
        <w:spacing w:after="0"/>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from investment in affiliate represent the Company’s losses related to its investment in Ridemakerz.</w:t>
      </w:r>
    </w:p>
    <w:p>
      <w:pPr>
        <w:spacing w:after="0" w:line="9" w:lineRule="exact"/>
        <w:rPr>
          <w:rFonts w:ascii="Arial" w:cs="Arial" w:eastAsia="Arial" w:hAnsi="Arial"/>
          <w:sz w:val="18"/>
          <w:szCs w:val="18"/>
          <w:color w:val="auto"/>
        </w:rPr>
      </w:pPr>
    </w:p>
    <w:p>
      <w:pPr>
        <w:ind w:left="492" w:right="80" w:hanging="492"/>
        <w:spacing w:after="0" w:line="265" w:lineRule="auto"/>
        <w:tabs>
          <w:tab w:leader="none" w:pos="492"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and administrative expenses consist of non-store, central office general and administrative functions such as management payroll and related benefits, travel, information systems, accounting, purchasing and legal costs as well as the depreciation and amortization of central office leasehold improvements, furniture and fixtures, computer hardware and software, including intellectual property. General and administrative expenses also include a central office marketing department, primarily payroll and related benefits expense, but exclude advertising expenses, such as television advertising, virtual world costs and direct mail catalogs, which are included in store contribution.</w:t>
      </w:r>
    </w:p>
    <w:p>
      <w:pPr>
        <w:spacing w:after="0" w:line="1" w:lineRule="exact"/>
        <w:rPr>
          <w:rFonts w:ascii="Arial" w:cs="Arial" w:eastAsia="Arial" w:hAnsi="Arial"/>
          <w:sz w:val="17"/>
          <w:szCs w:val="17"/>
          <w:color w:val="auto"/>
        </w:rPr>
      </w:pPr>
    </w:p>
    <w:p>
      <w:pPr>
        <w:ind w:left="492" w:hanging="492"/>
        <w:spacing w:after="0" w:line="250"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Franchising and commercial contribution includes franchising and commercial revenues and all expenses attributable to the international franchising and commercial segments other than depreciation, amortization and interest expense/income. Depreciation and amortization related to franchising and licensing is included in the general and administrative expense caption. Interest expense/income related to franchising and commercial activities is included in the interest expense (income) caption.</w:t>
      </w:r>
    </w:p>
    <w:p>
      <w:pPr>
        <w:spacing w:after="0" w:line="1" w:lineRule="exact"/>
        <w:rPr>
          <w:rFonts w:ascii="Arial" w:cs="Arial" w:eastAsia="Arial" w:hAnsi="Arial"/>
          <w:sz w:val="18"/>
          <w:szCs w:val="18"/>
          <w:color w:val="auto"/>
        </w:rPr>
      </w:pPr>
    </w:p>
    <w:p>
      <w:pPr>
        <w:ind w:left="492" w:right="460" w:hanging="492"/>
        <w:spacing w:after="0" w:line="261"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Non-store activities include our webstores, temporary locations and seasonal and event-based locations as well as intercompany transfer pricing charges.</w:t>
      </w:r>
    </w:p>
    <w:p>
      <w:pPr>
        <w:spacing w:after="0" w:line="200" w:lineRule="exact"/>
        <w:rPr>
          <w:sz w:val="20"/>
          <w:szCs w:val="20"/>
          <w:color w:val="auto"/>
        </w:rPr>
      </w:pPr>
    </w:p>
    <w:p>
      <w:pPr>
        <w:spacing w:after="0" w:line="21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80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certain unaudited quarterly results of operations data for each of the last two fiscal years.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Fiscal 2011</w:t>
            </w: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Fiscal 2010</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Arial" w:cs="Arial" w:eastAsia="Arial" w:hAnsi="Arial"/>
                <w:sz w:val="18"/>
                <w:szCs w:val="18"/>
                <w:color w:val="auto"/>
              </w:rPr>
              <w:t>(Dollars in millions,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7"/>
                <w:szCs w:val="17"/>
                <w:color w:val="auto"/>
              </w:rPr>
            </w:pPr>
          </w:p>
        </w:tc>
        <w:tc>
          <w:tcPr>
            <w:tcW w:w="102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7"/>
                <w:szCs w:val="17"/>
                <w:color w:val="auto"/>
              </w:rPr>
            </w:pPr>
          </w:p>
        </w:tc>
        <w:tc>
          <w:tcPr>
            <w:tcW w:w="78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Fourth</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7"/>
                <w:szCs w:val="17"/>
                <w:color w:val="auto"/>
              </w:rPr>
            </w:pPr>
          </w:p>
        </w:tc>
        <w:tc>
          <w:tcPr>
            <w:tcW w:w="100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7"/>
                <w:szCs w:val="17"/>
                <w:color w:val="auto"/>
              </w:rPr>
            </w:pPr>
          </w:p>
        </w:tc>
        <w:tc>
          <w:tcPr>
            <w:tcW w:w="92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Third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00" w:type="dxa"/>
            <w:vAlign w:val="bottom"/>
            <w:gridSpan w:val="2"/>
          </w:tcPr>
          <w:p>
            <w:pPr>
              <w:spacing w:after="0"/>
              <w:rPr>
                <w:sz w:val="20"/>
                <w:szCs w:val="20"/>
                <w:color w:val="auto"/>
              </w:rPr>
            </w:pPr>
            <w:r>
              <w:rPr>
                <w:rFonts w:ascii="Arial" w:cs="Arial" w:eastAsia="Arial" w:hAnsi="Arial"/>
                <w:sz w:val="18"/>
                <w:szCs w:val="18"/>
                <w:color w:val="auto"/>
              </w:rPr>
              <w:t>except per share data)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0FFFF"/>
          </w:tcPr>
          <w:p>
            <w:pPr>
              <w:spacing w:after="0"/>
              <w:rPr>
                <w:sz w:val="20"/>
                <w:szCs w:val="20"/>
                <w:color w:val="auto"/>
              </w:rPr>
            </w:pPr>
            <w:r>
              <w:rPr>
                <w:rFonts w:ascii="Arial" w:cs="Arial" w:eastAsia="Arial" w:hAnsi="Arial"/>
                <w:sz w:val="18"/>
                <w:szCs w:val="18"/>
                <w:color w:val="auto"/>
              </w:rPr>
              <w:t>Total revenues</w:t>
            </w:r>
          </w:p>
        </w:tc>
        <w:tc>
          <w:tcPr>
            <w:tcW w:w="2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96.0</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81.8</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b w:val="1"/>
                <w:bCs w:val="1"/>
                <w:color w:val="auto"/>
              </w:rPr>
              <w:t>97.4</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119.1</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100.1</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line="216" w:lineRule="exact"/>
              <w:rPr>
                <w:sz w:val="20"/>
                <w:szCs w:val="20"/>
                <w:color w:val="auto"/>
              </w:rPr>
            </w:pPr>
            <w:r>
              <w:rPr>
                <w:rFonts w:ascii="Arial" w:cs="Arial" w:eastAsia="Arial" w:hAnsi="Arial"/>
                <w:sz w:val="18"/>
                <w:szCs w:val="18"/>
                <w:color w:val="auto"/>
              </w:rPr>
              <w:t>Retail gross margin</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38.4</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0FFFF"/>
          </w:tcPr>
          <w:p>
            <w:pPr>
              <w:spacing w:after="0" w:line="216" w:lineRule="exact"/>
              <w:rPr>
                <w:sz w:val="20"/>
                <w:szCs w:val="20"/>
                <w:color w:val="auto"/>
              </w:rPr>
            </w:pPr>
            <w:r>
              <w:rPr>
                <w:rFonts w:ascii="Arial" w:cs="Arial" w:eastAsia="Arial" w:hAnsi="Arial"/>
                <w:sz w:val="18"/>
                <w:szCs w:val="18"/>
                <w:color w:val="auto"/>
              </w:rPr>
              <w:t>Net (loss) income</w:t>
            </w:r>
            <w:r>
              <w:rPr>
                <w:rFonts w:ascii="Arial" w:cs="Arial" w:eastAsia="Arial" w:hAnsi="Arial"/>
                <w:sz w:val="25"/>
                <w:szCs w:val="25"/>
                <w:color w:val="auto"/>
                <w:vertAlign w:val="superscript"/>
              </w:rPr>
              <w:t>(2)</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0FFFF"/>
          </w:tcPr>
          <w:p>
            <w:pPr>
              <w:spacing w:after="0"/>
              <w:rPr>
                <w:sz w:val="18"/>
                <w:szCs w:val="18"/>
                <w:color w:val="auto"/>
              </w:rPr>
            </w:pPr>
          </w:p>
        </w:tc>
        <w:tc>
          <w:tcPr>
            <w:tcW w:w="9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0FFFF"/>
          </w:tcPr>
          <w:p>
            <w:pPr>
              <w:spacing w:after="0"/>
              <w:rPr>
                <w:sz w:val="18"/>
                <w:szCs w:val="18"/>
                <w:color w:val="auto"/>
              </w:rPr>
            </w:pPr>
          </w:p>
        </w:tc>
        <w:tc>
          <w:tcPr>
            <w:tcW w:w="9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w w:val="89"/>
              </w:rPr>
              <w:t>Earnings (loss) per common share: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0FFFF"/>
          </w:tcPr>
          <w:p>
            <w:pPr>
              <w:ind w:left="7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(0.12)</w:t>
            </w: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b w:val="1"/>
                <w:bCs w:val="1"/>
                <w:color w:val="auto"/>
              </w:rPr>
              <w:t>(0.37)</w:t>
            </w:r>
          </w:p>
        </w:tc>
        <w:tc>
          <w:tcPr>
            <w:tcW w:w="12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b w:val="1"/>
                <w:bCs w:val="1"/>
                <w:color w:val="auto"/>
              </w:rPr>
              <w:t>0.05</w:t>
            </w:r>
          </w:p>
        </w:tc>
        <w:tc>
          <w:tcPr>
            <w:tcW w:w="120" w:type="dxa"/>
            <w:vAlign w:val="bottom"/>
            <w:shd w:val="clear" w:color="auto" w:fill="C0FFFF"/>
          </w:tcPr>
          <w:p>
            <w:pPr>
              <w:spacing w:after="0"/>
              <w:rPr>
                <w:sz w:val="18"/>
                <w:szCs w:val="18"/>
                <w:color w:val="auto"/>
              </w:rPr>
            </w:pPr>
          </w:p>
        </w:tc>
        <w:tc>
          <w:tcPr>
            <w:tcW w:w="9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(0.56)</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0FFFF"/>
          </w:tcPr>
          <w:p>
            <w:pPr>
              <w:spacing w:after="0"/>
              <w:rPr>
                <w:sz w:val="18"/>
                <w:szCs w:val="18"/>
                <w:color w:val="auto"/>
              </w:rPr>
            </w:pPr>
          </w:p>
        </w:tc>
        <w:tc>
          <w:tcPr>
            <w:tcW w:w="9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7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(0.37)</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Number of stores (end of</w:t>
            </w:r>
          </w:p>
        </w:tc>
        <w:tc>
          <w:tcPr>
            <w:tcW w:w="12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960" w:type="dxa"/>
            <w:vAlign w:val="bottom"/>
            <w:gridSpan w:val="2"/>
            <w:vMerge w:val="restart"/>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342</w:t>
            </w:r>
          </w:p>
        </w:tc>
        <w:tc>
          <w:tcPr>
            <w:tcW w:w="1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060" w:type="dxa"/>
            <w:vAlign w:val="bottom"/>
            <w:gridSpan w:val="2"/>
            <w:vMerge w:val="restart"/>
            <w:shd w:val="clear" w:color="auto" w:fill="C0FFFF"/>
          </w:tcPr>
          <w:p>
            <w:pPr>
              <w:jc w:val="right"/>
              <w:ind w:right="240"/>
              <w:spacing w:after="0"/>
              <w:rPr>
                <w:sz w:val="20"/>
                <w:szCs w:val="20"/>
                <w:color w:val="auto"/>
              </w:rPr>
            </w:pPr>
            <w:r>
              <w:rPr>
                <w:rFonts w:ascii="Arial" w:cs="Arial" w:eastAsia="Arial" w:hAnsi="Arial"/>
                <w:sz w:val="18"/>
                <w:szCs w:val="18"/>
                <w:b w:val="1"/>
                <w:bCs w:val="1"/>
                <w:color w:val="auto"/>
              </w:rPr>
              <w:t>342</w:t>
            </w:r>
          </w:p>
        </w:tc>
        <w:tc>
          <w:tcPr>
            <w:tcW w:w="120" w:type="dxa"/>
            <w:vAlign w:val="bottom"/>
            <w:shd w:val="clear" w:color="auto" w:fill="C0FFFF"/>
          </w:tcPr>
          <w:p>
            <w:pPr>
              <w:spacing w:after="0"/>
              <w:rPr>
                <w:sz w:val="17"/>
                <w:szCs w:val="17"/>
                <w:color w:val="auto"/>
              </w:rPr>
            </w:pPr>
          </w:p>
        </w:tc>
        <w:tc>
          <w:tcPr>
            <w:tcW w:w="1020" w:type="dxa"/>
            <w:vAlign w:val="bottom"/>
            <w:gridSpan w:val="2"/>
            <w:vMerge w:val="restart"/>
            <w:shd w:val="clear" w:color="auto" w:fill="C0FFFF"/>
          </w:tcPr>
          <w:p>
            <w:pPr>
              <w:jc w:val="right"/>
              <w:ind w:right="220"/>
              <w:spacing w:after="0"/>
              <w:rPr>
                <w:sz w:val="20"/>
                <w:szCs w:val="20"/>
                <w:color w:val="auto"/>
              </w:rPr>
            </w:pPr>
            <w:r>
              <w:rPr>
                <w:rFonts w:ascii="Arial" w:cs="Arial" w:eastAsia="Arial" w:hAnsi="Arial"/>
                <w:sz w:val="18"/>
                <w:szCs w:val="18"/>
                <w:b w:val="1"/>
                <w:bCs w:val="1"/>
                <w:color w:val="auto"/>
              </w:rPr>
              <w:t>344</w:t>
            </w:r>
          </w:p>
        </w:tc>
        <w:tc>
          <w:tcPr>
            <w:tcW w:w="120" w:type="dxa"/>
            <w:vAlign w:val="bottom"/>
            <w:shd w:val="clear" w:color="auto" w:fill="C0FFFF"/>
          </w:tcPr>
          <w:p>
            <w:pPr>
              <w:spacing w:after="0"/>
              <w:rPr>
                <w:sz w:val="17"/>
                <w:szCs w:val="17"/>
                <w:color w:val="auto"/>
              </w:rPr>
            </w:pPr>
          </w:p>
        </w:tc>
        <w:tc>
          <w:tcPr>
            <w:tcW w:w="920" w:type="dxa"/>
            <w:vAlign w:val="bottom"/>
            <w:gridSpan w:val="2"/>
            <w:vMerge w:val="restart"/>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346</w:t>
            </w: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7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80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8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80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0FFFF"/>
          </w:tcPr>
          <w:p>
            <w:pPr>
              <w:spacing w:after="0"/>
              <w:rPr>
                <w:sz w:val="20"/>
                <w:szCs w:val="20"/>
                <w:color w:val="auto"/>
              </w:rPr>
            </w:pPr>
            <w:r>
              <w:rPr>
                <w:rFonts w:ascii="Arial" w:cs="Arial" w:eastAsia="Arial" w:hAnsi="Arial"/>
                <w:sz w:val="18"/>
                <w:szCs w:val="18"/>
                <w:color w:val="auto"/>
              </w:rPr>
              <w:t>quarter)</w:t>
            </w:r>
          </w:p>
        </w:tc>
        <w:tc>
          <w:tcPr>
            <w:tcW w:w="12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960" w:type="dxa"/>
            <w:vAlign w:val="bottom"/>
            <w:gridSpan w:val="2"/>
            <w:vMerge w:val="continue"/>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1060" w:type="dxa"/>
            <w:vAlign w:val="bottom"/>
            <w:gridSpan w:val="2"/>
            <w:vMerge w:val="continue"/>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1020" w:type="dxa"/>
            <w:vAlign w:val="bottom"/>
            <w:gridSpan w:val="2"/>
            <w:vMerge w:val="continue"/>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920" w:type="dxa"/>
            <w:vAlign w:val="bottom"/>
            <w:gridSpan w:val="2"/>
            <w:vMerge w:val="continue"/>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10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0FFFF"/>
          </w:tcPr>
          <w:p>
            <w:pPr>
              <w:spacing w:after="0"/>
              <w:rPr>
                <w:sz w:val="20"/>
                <w:szCs w:val="20"/>
                <w:color w:val="auto"/>
              </w:rPr>
            </w:pPr>
          </w:p>
        </w:tc>
        <w:tc>
          <w:tcPr>
            <w:tcW w:w="10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0FFFF"/>
          </w:tcPr>
          <w:p>
            <w:pPr>
              <w:spacing w:after="0"/>
              <w:rPr>
                <w:sz w:val="20"/>
                <w:szCs w:val="20"/>
                <w:color w:val="auto"/>
              </w:rPr>
            </w:pPr>
          </w:p>
        </w:tc>
        <w:tc>
          <w:tcPr>
            <w:tcW w:w="9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9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2011 fourth quarter included a $15.6 million charge related to the recording of a valuation allowance on all US deferred tax assets.</w:t>
      </w:r>
    </w:p>
    <w:p>
      <w:pPr>
        <w:spacing w:after="0" w:line="26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As a toy retailer, our sales are highest in our fourth quarter, followed by the first quarter. The timing of holidays and school vacations can impact our quarterly results. Our European-based stores have historically been more heavily weighted in the fourth quarter as compared to our North American stores. We cannot ensure that this will continue to be the case.</w:t>
      </w:r>
    </w:p>
    <w:p>
      <w:pPr>
        <w:spacing w:after="0" w:line="23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Our operating results for one period may not be indicative of results for other periods, and may fluctuate significantly because of a variety of factors, including those discussed under “Risk Factors — Risks Related to Owning Our Common Stock - Fluctuations in our quarterly results of operations could cause the price of our common stock to substantially decline.”</w:t>
      </w:r>
    </w:p>
    <w:p>
      <w:pPr>
        <w:spacing w:after="0" w:line="23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timing of new store openings may result in fluctuations in quarterly results as a result of the revenues and expenses associated with each new store location. We typically incur most preopening costs for a new store in the three months immediately preceding the store’s opening. We expect our growth, operating results and profitability to depend in some degree on our ability to increase our number of stores.</w:t>
      </w:r>
    </w:p>
    <w:p>
      <w:pPr>
        <w:spacing w:after="0" w:line="23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For accounting purposes, the quarters of each fiscal year consist of 13 weeks, although we will have a 14-week quarter approximately once every six years. The fiscal 2008 fourth quarter was a 14-week quarter. Quarterly fluctuations and seasonality may cause our operating results to fall below the expectations of securities analysts and investors, which could cause our stock price to fall.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cash requirements are primarily for the opening of new stores, installation and upgrades of information systems and working capital. Over the past several years, we have met these requirements through capital generated from cash flow provided by operations. We have access to additional cash through a revolving line of credit that has been in place since 2000. From our inception to December 2001, we raised at various times a total of $44.9 million in capital from several private investors. In 2004, we raised $25.7 million from the initial public offering of our common stock.</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$16.0 million in fiscal 2011 and $22.0 million in fiscal 2010 and $24.0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2009. Cash flows from operating activities decreased in fiscal 2011 as compared to 2010 as accounts payable and accrued expenses increased due to the timing of inventory shipments and payments were offset by higher inventory levels. Cash flows from operating activities decreased slightly in fiscal 2010 as compared to 2009 as improved net income and an increase in accounts payable and accrued expenses due to the timing of inventory shipments and payments were offset by higher inventory levels.</w:t>
      </w:r>
    </w:p>
    <w:p>
      <w:pPr>
        <w:spacing w:after="0" w:line="242"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Cash flows used in investing activities were $13.3 million in fiscal 2011, $13.8 million in fiscal 2010 and $8.9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2009. Cash used in investing activities in 2011 related primarily to the continued installation and upgrades of central office information technology systems, the opening of eight new stores, the relocation of four stores and the purchase of short-term investments, offset by the maturity of those investments. Cash used in investing activities in 2010 related primarily to the continued installation and upgrades of central office information technology systems, acquisition of intangible assets, the opening of four new stores and 11 temporary locations and the relocation of one store, offset by cash received for the sale of key money from one of our French stores. Cash used in investing activities in 2009 related primarily to the continued installation and upgrades of central office information technology systems, acquisition of intangible assets, repurposing existing Friends 2B Made locations to Build-A-Bear Workshop stores, the opening of one new store and the relocation of one store.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1" w:name="page42"/>
    <w:bookmarkEnd w:id="41"/>
    <w:p>
      <w:pPr>
        <w:ind w:firstLine="486"/>
        <w:spacing w:after="0" w:line="259"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$14.6 million and $7.2 million in fiscal 2011 and fiscal 2010, respectively. There was no cash</w:t>
      </w:r>
      <w:r>
        <w:rPr>
          <w:rFonts w:ascii="Arial" w:cs="Arial" w:eastAsia="Arial" w:hAnsi="Arial"/>
          <w:sz w:val="18"/>
          <w:szCs w:val="18"/>
          <w:i w:val="1"/>
          <w:iCs w:val="1"/>
          <w:color w:val="auto"/>
        </w:rPr>
        <w:t xml:space="preserve"> </w:t>
      </w:r>
      <w:r>
        <w:rPr>
          <w:rFonts w:ascii="Arial" w:cs="Arial" w:eastAsia="Arial" w:hAnsi="Arial"/>
          <w:sz w:val="18"/>
          <w:szCs w:val="18"/>
          <w:color w:val="auto"/>
        </w:rPr>
        <w:t>from financing activities in 2009. Purchases of our stock in fiscal 2011 and 2010 used cash of $15.0 million and $7.3 million, respectively. In fiscal 2011 and 2010, exercises of employee stock options and related tax benefits provided cash of $0.4 million and $0.1 million, respectively. No employee stock options were exercised in fiscal 2009.</w:t>
      </w:r>
    </w:p>
    <w:p>
      <w:pPr>
        <w:spacing w:after="0" w:line="241" w:lineRule="exact"/>
        <w:rPr>
          <w:sz w:val="20"/>
          <w:szCs w:val="20"/>
          <w:color w:val="auto"/>
        </w:rPr>
      </w:pPr>
    </w:p>
    <w:p>
      <w:pPr>
        <w:ind w:right="100" w:firstLine="486"/>
        <w:spacing w:after="0" w:line="283" w:lineRule="auto"/>
        <w:rPr>
          <w:sz w:val="20"/>
          <w:szCs w:val="20"/>
          <w:color w:val="auto"/>
        </w:rPr>
      </w:pPr>
      <w:r>
        <w:rPr>
          <w:rFonts w:ascii="Arial" w:cs="Arial" w:eastAsia="Arial" w:hAnsi="Arial"/>
          <w:sz w:val="16"/>
          <w:szCs w:val="16"/>
          <w:i w:val="1"/>
          <w:iCs w:val="1"/>
          <w:color w:val="auto"/>
        </w:rPr>
        <w:t>Capital Resources</w:t>
      </w:r>
      <w:r>
        <w:rPr>
          <w:rFonts w:ascii="Arial" w:cs="Arial" w:eastAsia="Arial" w:hAnsi="Arial"/>
          <w:sz w:val="16"/>
          <w:szCs w:val="16"/>
          <w:color w:val="auto"/>
        </w:rPr>
        <w:t>. As of December 31, 2011, we had a cash balance of $46.4 million, nearly half of which was domiciled outside of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We also have a line of credit, which we can use to finance capital expenditures and working capital needs throughout the year. The credit agreement is with U.S. Bank, National Association and was amended effective December 30, 2011. The bank line continues to provide availability of $40 million for the first half of the fiscal year and a seasonal overline of $50 million. The seasonal overline is in effect from July 1 to December 31 each year. Borrowings under the credit agreement are secured by our assets and a pledge of 65% of our ownership interest in our foreign subsidiaries. The credit agreement expires on December 31, 2013 and contains various restrictions on indebtedness, liens, guarantees, redemptions, mergers, acquisitions or sale of assets, loans, transactions with affiliates, and investments. It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December 31, 2011:</w:t>
      </w:r>
    </w:p>
    <w:p>
      <w:pPr>
        <w:spacing w:after="0" w:line="5" w:lineRule="exact"/>
        <w:rPr>
          <w:sz w:val="20"/>
          <w:szCs w:val="20"/>
          <w:color w:val="auto"/>
        </w:rPr>
      </w:pPr>
    </w:p>
    <w:p>
      <w:pPr>
        <w:ind w:right="160" w:firstLine="8"/>
        <w:spacing w:after="0" w:line="255" w:lineRule="auto"/>
        <w:tabs>
          <w:tab w:leader="none" w:pos="2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in compliance with these covenants; (ii) there were no borrowings under our line of credit; (iii) there was a standby letter of credit of approximately $1.1 million outstanding under the credit agreement and (iv) there was approximately $48.9 million available for borrowing under the line of credit.</w:t>
      </w:r>
    </w:p>
    <w:p>
      <w:pPr>
        <w:spacing w:after="0" w:line="244"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32" w:lineRule="exact"/>
        <w:rPr>
          <w:sz w:val="20"/>
          <w:szCs w:val="20"/>
          <w:color w:val="auto"/>
        </w:rPr>
      </w:pPr>
    </w:p>
    <w:p>
      <w:pPr>
        <w:ind w:right="220" w:firstLine="486"/>
        <w:spacing w:after="0" w:line="302" w:lineRule="auto"/>
        <w:rPr>
          <w:sz w:val="20"/>
          <w:szCs w:val="20"/>
          <w:color w:val="auto"/>
        </w:rPr>
      </w:pPr>
      <w:r>
        <w:rPr>
          <w:rFonts w:ascii="Arial" w:cs="Arial" w:eastAsia="Arial" w:hAnsi="Arial"/>
          <w:sz w:val="16"/>
          <w:szCs w:val="16"/>
          <w:color w:val="auto"/>
        </w:rPr>
        <w:t>Our leases in the United Kingdom and Ireland typically have terms of ten to fifteen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fiscal 2012, we expect to spend approximately $20 to $25 million on capital expenditures. Capital spending in fiscal 2011 totaled $12.2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million. Capital spending in fiscal 2011 was primarily for continued installation and upgrades of central office information technology systems, the opening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eight new stores and the relocation of four stores.</w:t>
      </w:r>
    </w:p>
    <w:p>
      <w:pPr>
        <w:spacing w:after="0" w:line="26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On February 23, 2012, we announced that our share repurchase program had been extended to March 31, 2013.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will be subsequently retired. As of March 12, 2012, approximately 5.5 million shares at an average price of $7.47 per share have been repurchased under this program for an aggregate amount of $41.3 million, leaving $8.7 million of availability under the program.</w:t>
      </w:r>
    </w:p>
    <w:p>
      <w:pPr>
        <w:spacing w:after="0" w:line="23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hold a minority interest in Ridemakerz, which is accounted for under the equity method. We purchased a call option from a group of other Ridemakerz investors for $150,000 for 1.25 million Ridemakerz common units at an exercise price of $1.25 per unit. The call option was immediately exercisable and expires April 30, 2012. Simultaneously, we granted a put option to the same group of investors for 1.25 million common units at an exercise price of $0.50 per unit. The put option was exercisable on April 30, 2008 and expires on April 30, 2012. As of December 31, 2011, the book value of our investment in Ridemakerz was zero, but we still retained an ownership interest of approximately 15%. Under the current agreements, as of the balance sheet date, we could own up to approximately 24% of fully diluted equity in Ridemakerz. The put option was exercised on all 1.25 million shares on February 13, 2012. After the exercise, our ownership interest was approximately 18%. Under the current agreements, as of the exercise date, we could own up to approximately 24% of fully diluted equity in Ridemakerz. See Note 17 – Investment in Affiliate to the Consolidated Financial Statements for additional information.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7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December 31, 2011for periods subsequent to this date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80" w:type="dxa"/>
            <w:vAlign w:val="bottom"/>
            <w:gridSpan w:val="15"/>
          </w:tcPr>
          <w:p>
            <w:pPr>
              <w:ind w:left="380"/>
              <w:spacing w:after="0"/>
              <w:rPr>
                <w:sz w:val="20"/>
                <w:szCs w:val="20"/>
                <w:color w:val="auto"/>
              </w:rPr>
            </w:pPr>
            <w:r>
              <w:rPr>
                <w:rFonts w:ascii="Arial" w:cs="Arial" w:eastAsia="Arial" w:hAnsi="Arial"/>
                <w:sz w:val="18"/>
                <w:szCs w:val="18"/>
                <w:b w:val="1"/>
                <w:bCs w:val="1"/>
                <w:color w:val="auto"/>
              </w:rPr>
              <w:t>Payments Due by Fiscal Period as of December 31, 2011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Beyond</w:t>
            </w:r>
          </w:p>
        </w:tc>
        <w:tc>
          <w:tcPr>
            <w:tcW w:w="100" w:type="dxa"/>
            <w:vAlign w:val="bottom"/>
          </w:tcPr>
          <w:p>
            <w:pPr>
              <w:spacing w:after="0"/>
              <w:rPr>
                <w:sz w:val="20"/>
                <w:szCs w:val="20"/>
                <w:color w:val="auto"/>
              </w:rPr>
            </w:pP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0FFFF"/>
          </w:tcPr>
          <w:p>
            <w:pPr>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205,349</w:t>
            </w:r>
          </w:p>
        </w:tc>
        <w:tc>
          <w:tcPr>
            <w:tcW w:w="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45,755</w:t>
            </w:r>
          </w:p>
        </w:tc>
        <w:tc>
          <w:tcPr>
            <w:tcW w:w="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39,051</w:t>
            </w:r>
          </w:p>
        </w:tc>
        <w:tc>
          <w:tcPr>
            <w:tcW w:w="400" w:type="dxa"/>
            <w:vAlign w:val="bottom"/>
            <w:tcBorders>
              <w:left w:val="single" w:sz="8" w:color="C0FFFF"/>
            </w:tcBorders>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34,159</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28,900</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21,253</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36,231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Purchase obligations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40,690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560" w:type="dxa"/>
            <w:vAlign w:val="bottom"/>
            <w:shd w:val="clear" w:color="auto" w:fill="C0FFFF"/>
          </w:tcPr>
          <w:p>
            <w:pPr>
              <w:ind w:left="18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246,039</w:t>
            </w:r>
          </w:p>
        </w:tc>
        <w:tc>
          <w:tcPr>
            <w:tcW w:w="120" w:type="dxa"/>
            <w:vAlign w:val="bottom"/>
            <w:shd w:val="clear" w:color="auto" w:fill="C0FFFF"/>
          </w:tcPr>
          <w:p>
            <w:pPr>
              <w:spacing w:after="0"/>
              <w:rPr>
                <w:sz w:val="20"/>
                <w:szCs w:val="20"/>
                <w:color w:val="auto"/>
              </w:rPr>
            </w:pPr>
          </w:p>
        </w:tc>
        <w:tc>
          <w:tcPr>
            <w:tcW w:w="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86,445</w:t>
            </w:r>
          </w:p>
        </w:tc>
        <w:tc>
          <w:tcPr>
            <w:tcW w:w="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39,051</w:t>
            </w:r>
          </w:p>
        </w:tc>
        <w:tc>
          <w:tcPr>
            <w:tcW w:w="400" w:type="dxa"/>
            <w:vAlign w:val="bottom"/>
            <w:tcBorders>
              <w:left w:val="single" w:sz="8" w:color="C0FFFF"/>
            </w:tcBorders>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34,159</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28,900</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21,253</w:t>
            </w:r>
          </w:p>
        </w:tc>
        <w:tc>
          <w:tcPr>
            <w:tcW w:w="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36,231</w:t>
            </w:r>
          </w:p>
        </w:tc>
      </w:tr>
      <w:tr>
        <w:trPr>
          <w:trHeight w:val="20"/>
        </w:trPr>
        <w:tc>
          <w:tcPr>
            <w:tcW w:w="356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left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Our total liability for uncertain tax positions under the Financial Accounting Standards Board Accounting Standards Codification (ASC) section 740-10-25 was $0.2 million as of December 31, 2011. During the next fiscal year, it is reasonably possible that the unrecognized tax benefits will be reduced by $8,000 either because the tax positions are sustained on audit or expiration of statute of limitations. At this time, we do not expect a significant payment related to these obligations within the next year. See Note 9 - Income Taxes to the Consolidated Financial Statements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assure you, however, that our business will not be affected by inflation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241"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7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Inventory is stated at the lower of cost or market, with cost determined on an average cost basis. Historically, we have not conducted sales whereby we offer products below cost and, accordingly, have no significant lower of cost or market reserve recorded.</w:t>
      </w:r>
    </w:p>
    <w:p>
      <w:pPr>
        <w:spacing w:after="0" w:line="224"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Throughout the year we record an estimated cost of shortage based on past experience. The amount accrued for shortage each period is based on detailed historical averages. The accrual rate remained unchanged for fiscal 2011, 2010 and 2009. Periodic physical inventories are taken and any difference between the actual physical count of merchandise and the recorded amount in our records are adjusted and recorded as shortage. Historically, including fiscal years 2011, 2010 and 2009, the timing of the physical inventory has been in the fourth quarter so that no material amount of shortage was required to be estimated on activity between the date of the physical count and year-end. However, future physical counts of merchandise may not be at times at or near the end of a fiscal quarter or fiscal year-end, and our estimate of shortage for the intervening period may be material based on the amount of time between the date of the physical inventory and the date of the fiscal quarter or year-end.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7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accordance with ASC section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purposes of evaluating store assets for impairment, we have determined that each store location is an asset group. As of December 31, 2011, store assets represented approximately $53.0 million, or approximately 68% of total property, plant and equipment, net.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w:t>
      </w:r>
    </w:p>
    <w:p>
      <w:pPr>
        <w:spacing w:after="0" w:line="22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As a result of our 2011 review, we determined that certain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$0.4 million in the fourth quarter of fiscal 2011, which is included in cost of merchandise sold. The calculation of fair value could increase or decrease depending on changes in the inputs and assumptions used, such as changes in the financial performance of the asset group, future growth rate and discount rate. In order to evaluate the sensitivity of the fair value assumptions on store asset impairment, we applied a hypothetical decrease of 1% in the comparable stores sales trend and in margin, which we believe is appropriate. Based on the analysis performed as of December 31, 2011, the changes in our assumptions would not have resulted in additional impairment charges.</w:t>
      </w:r>
    </w:p>
    <w:p>
      <w:pPr>
        <w:spacing w:after="0" w:line="233"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As a result of our 2010 review, we determined that certain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$0.6 million in the fourth quarter of fiscal 2010, which is included in cost of merchandise sold. As a result of our 2009 review, we determined that several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$3.3 million in the fourth quarter of fiscal 2009, which is included in cost of merchandise sold.</w:t>
      </w:r>
    </w:p>
    <w:p>
      <w:pPr>
        <w:spacing w:after="0" w:line="22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As we continue to face a challenging retail environment and general uncertainty in the global economy, the assumptions used in future calculations of fair value may change significantly which could result in further impairment charges in future periods.</w:t>
      </w:r>
    </w:p>
    <w:p>
      <w:pPr>
        <w:spacing w:after="0" w:line="242"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Corporate assets, including computer hardware and software and the Company-owned distribution center (approximately $17.0 million as of December 31, 2011), and certain other assets, such as trade credits and trademarks and intellectual property, net (approximately $5.2 million as of December 31, 2011), have a broad applicability and are generally considered to be recoverable, unless abandoned. Other long-lived assets, including deferred franchise and lease costs (approximately $2.2 million as of December 31, 2011), are monitored in relation to the relevant franchisee or store location. In 2009, we determined that certain key money and long-term lease deposits were no longer fully recoverable. Accordingly, we reduced the carrying value of the assets to their estimated fair value and recorded asset impairment charges of $1.8 million in the fourth quarter of fiscal 2009, which is included in cost of merchandise sold. In the fiscal 2010 second quarter, we reviewed the inputs used to determine the fair value of certain key money deposits, included in other intangible assets and other store deposits, included in other assets, net, through expected undiscounted cash flows over the remaining life of the related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Accordingly, the carrying value of the assets was reduced to fair value, calculated as the net present value of estimated future cash flows for each asset group, and asset impairment charges of $0.3 million were recorded in the second quarter of fiscal 2010. As we had determined at this time that we would be closing the related stores, these charges are included in selling, general and administrative expenses.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record goodwill related to the excess of the purchase price over the fair value of net identifiable assets acquired. All of our recorded goodwill, which is associated with our UK Acquisition, is recorded in the European reporting unit. At December 31, 2011 and January 1, 2011, our goodwill balance was $32.3 million and $32.4 million, respectively. The decrease is entirely due to foreign currency translation adjustments. Goodwill is subject to periodic evaluation for impairment when circumstances warrant, or at least once per year. We perform our annual impairment assessment as of the end of the fourth quarter of each year. Impairment is tested in accordance with ASC section 350-20-35, by comparison of the carrying value of the reporting unit to its estimated fair value. As there are not quoted prices for our reporting unit, fair value is estimated based upon a present value technique using estimated discounted future cash flows, forecasted over the reasonably assured lease terms for retail stores, with growth rates forecasted for the reporting unit and using a credit adjusted discount rate. We use current results, trends, future prospects, and other economic factors as the basis for expected future cash flows. Our 2011 annual evaluation indicated that no impairment of our goodwill existed as of December 31, 2011.</w:t>
      </w:r>
    </w:p>
    <w:p>
      <w:pPr>
        <w:spacing w:after="0" w:line="23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Assumptions in estimating future cash flows are subject to a high degree of judgment and complexity. We make every effort to forecast these future cash flows as accurately as possible with the information available at the time the forecast is developed. However, changes in the assumptions and estimates may affect the carrying value of goodwill, and could result in impairment charges in future periods. Factors that have the potential to create variances between forecasted cash flows and actual results include but are not limited to (i) fluctuations in sales volumes, (ii) long-term growth in the number of stores; and (iii) actual gross margin results. Refer to “Forward-Looking Statements” included in the beginning of this Form 10-K for further information regarding the impact of estimates of future cash flows.</w:t>
      </w:r>
    </w:p>
    <w:p>
      <w:pPr>
        <w:spacing w:after="0" w:line="24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calculation of fair value could increase or decrease depending on changes in the inputs and assumptions used, such as changes in the financial performance of the reporting unit, future growth rate, and discount rate. In order to evaluate the sensitivity of the fair value calculations on the goodwill impairment test, we applied a hypothetical decrease in cash flows as a 100 basis point reduction to our projected growth rate and a 100 basis point increase in the discount rate which we considered appropriate. Based on the goodwill analysis performed as of December 31, 2011, the outlined changes in our assumptions would not affect the results of the impairment test, as the reporting unit still had an excess of fair value over the carrying value. However, as we continue to face a challenging retail environment and general uncertainty in the global economy, the assumptions used in future calculations of fair value may change significantly which could result in impairment charges in future periods.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ind w:right="660" w:firstLine="486"/>
        <w:spacing w:after="0" w:line="264" w:lineRule="auto"/>
        <w:rPr>
          <w:sz w:val="20"/>
          <w:szCs w:val="20"/>
          <w:color w:val="auto"/>
        </w:rPr>
      </w:pPr>
      <w:r>
        <w:rPr>
          <w:rFonts w:ascii="Arial" w:cs="Arial" w:eastAsia="Arial" w:hAnsi="Arial"/>
          <w:sz w:val="18"/>
          <w:szCs w:val="18"/>
          <w:color w:val="auto"/>
        </w:rPr>
        <w:t>Revenues from retail sales, net of discounts and excluding sales tax, are recognized at the time of sale. Guest returns have not been significant. Revenues from gift certificates are recognized at the time of redemption. Unredeemed gift cards are included in current liabilities on the consolidated balance sheets.</w:t>
      </w:r>
    </w:p>
    <w:p>
      <w:pPr>
        <w:spacing w:after="0" w:line="235" w:lineRule="exact"/>
        <w:rPr>
          <w:sz w:val="20"/>
          <w:szCs w:val="20"/>
          <w:color w:val="auto"/>
        </w:rPr>
      </w:pPr>
    </w:p>
    <w:p>
      <w:pPr>
        <w:jc w:val="both"/>
        <w:ind w:right="100" w:firstLine="486"/>
        <w:spacing w:after="0" w:line="302" w:lineRule="auto"/>
        <w:rPr>
          <w:sz w:val="20"/>
          <w:szCs w:val="20"/>
          <w:color w:val="auto"/>
        </w:rPr>
      </w:pPr>
      <w:r>
        <w:rPr>
          <w:rFonts w:ascii="Arial" w:cs="Arial" w:eastAsia="Arial" w:hAnsi="Arial"/>
          <w:sz w:val="16"/>
          <w:szCs w:val="16"/>
          <w:color w:val="auto"/>
        </w:rPr>
        <w:t>We have a customer loyalty program in North America, the Stuff Fur Stuff club, whereby guests enroll in the program and receive one point for every dollar or partial dollar spent and after reaching 100 points receive a $10 discount on a future purchase. An estimate of the obligation related to the program, based on historical redemption patterns, is recorded as deferred revenue and a reduction of net retail sales. The deferred revenue obligation is reduced, and a corresponding amount is recognized in net retail sales, in the amount of and at the time of redemption of the $10 certificate.</w:t>
      </w:r>
    </w:p>
    <w:p>
      <w:pPr>
        <w:spacing w:after="0" w:line="208"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Throughout fiscal 2010, we continued to use the deferral rate established at the end of fiscal 2008 to estimate the appropriate amount of revenue to defer and thereby the related liability. This rate, which was based on actual redemption rates and historical results and was applied to eligible purchases of Stuff Fur Stuff Club members at the time of the transaction. During 2010, we experienced a change in members’ redemption patterns as our members began utilizing other discounts and coupons available to them in place of an issued reward certificate. Accordingly, at the end of fiscal 2010, we reevaluated the available data to determine the most accurate approach to estimate our liability and deferral of revenue, including the use of historical point conversion and certificate redemption patterns. For both the December 31, 2011 and January 1, 2011 balance sheets, we used historical point conversion and redemption patterns to estimate our liability under the loyalty program. We apply the historical rates for points converting into certificates and ultimate certificate redemption to our actual points and certificates outstanding at each balance sheet date to calculate the liability and corresponding adjustment to net retail sales.</w:t>
      </w:r>
    </w:p>
    <w:p>
      <w:pPr>
        <w:spacing w:after="0" w:line="25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review these patterns and assess the adequacy of the deferred revenue liability at the end of each fiscal quarter. Due to the estimates involved in these assessments, adjustments to the historical rates are generally made no more often than annually in order to allow time for more definite trends to emerge. Based on this assessment at the end of fiscal 2011, the deferred revenue liability was adjusted downward by $1.5 million, with a corresponding increase to net retail sales, and a $0.9 million decrease in net loss.</w:t>
      </w:r>
    </w:p>
    <w:p>
      <w:pPr>
        <w:spacing w:after="0" w:line="241" w:lineRule="exact"/>
        <w:rPr>
          <w:sz w:val="20"/>
          <w:szCs w:val="20"/>
          <w:color w:val="auto"/>
        </w:rPr>
      </w:pPr>
    </w:p>
    <w:p>
      <w:pPr>
        <w:ind w:right="480" w:firstLine="486"/>
        <w:spacing w:after="0" w:line="264" w:lineRule="auto"/>
        <w:rPr>
          <w:sz w:val="20"/>
          <w:szCs w:val="20"/>
          <w:color w:val="auto"/>
        </w:rPr>
      </w:pPr>
      <w:r>
        <w:rPr>
          <w:rFonts w:ascii="Arial" w:cs="Arial" w:eastAsia="Arial" w:hAnsi="Arial"/>
          <w:sz w:val="18"/>
          <w:szCs w:val="18"/>
          <w:color w:val="auto"/>
        </w:rPr>
        <w:t>Based on this assessment at the end of fiscal 2010, the deferred revenue liability was adjusted downward by $4.3 million, with a corresponding increase to net retail sales, and a $2.6 million increase in net income. Based on the assessment at the end of fiscal 2009, no adjustment was made to the deferral rate.</w:t>
      </w:r>
    </w:p>
    <w:p>
      <w:pPr>
        <w:spacing w:after="0" w:line="23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calculation of fair value could increase or decrease depending on changes in the inputs and assumptions used, specifically, expected conversion and redemption rates. In order to evaluate the sensitivity of the estimates used in the recognition of deferred revenue, we applied a hypothetical increase of 100 bps in the conversion and redemption rates which we believe is appropriate. Based on the analysis performed as of December 31, 2011, the change in our assumptions would have resulted in a $0.2 million reduction of net retail sales.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Our income tax expense is based on our income, statutory tax rates, and tax planning opportunities available in the various jurisdictions in which we operate. Tax laws are complex and subject to different interpretations by the taxpayer and respective governmental taxing authorities. Significant judgment is required in determining our income tax expense and in evaluating our tax positions, including evaluating uncertainties. Management reviews tax positions at least quarterly and adjusts the balances as new information becomes available. 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As we have incurred a cumulative book loss over the three year period ended December 31, 2011, we evaluated the realizability of our deferred tax assets. We performed an analysis of all available evidence, both positive and negative, consistent with the provisions of ASC 740-10-30-17. Some of that evidence evaluated includes our historical operating performance, the macroeconomic factors contributing to the recent fiscal loss for which the tax benefits have been fully realized by the carryback availability, and our forecast of future taxable income, including the availability of prudent and feasible tax planning strategies. The three-year cumulative loss is a significant piece of negative evidence and while management believes that it is primarily a result of losses that were primarily attributable to the significant economic downturn experienced in 2009 and not an indication of continuing operations, we are required to give objective historical evidence more weight than subjective evidence, such as forecasts of future income. Accordingly, in the fiscal 2011 fourth quarter, the Company recorded a $15.6 million valuation allowance on its US deferred tax assets. This allowance does not preclude us from utilizing the deferred tax assets in the future, nor does it reflect a change in our long-term outlook.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are no recently issued but not yet adopted accounting pronouncements that are expected to significantly impact our financial statements.</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market risks relate primarily to changes in interest rates, and we bear this risk in two specific ways. First, our revolving credit facility carries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variable interest rate that is tied to market indices and, therefore, our results of operations and our cash flows can be impacted by changes in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rates. Outstanding balances under our credit facility bear interest at LIBOR plus 1.8%. We had no borrowings during fiscal 2011. Accordingly, a 100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 change in interest rates would result in no material change to our annual interest expense. The second component of interest rate risk involves the short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investment of excess cash in short term, investment grade interest-bearing securities. If there are changes in interest rates, those changes would affect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income we earn on these investments and, therefore, impact our cash flows and results of operations.</w:t>
      </w:r>
    </w:p>
    <w:p>
      <w:pPr>
        <w:spacing w:after="0" w:line="26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8"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financial statements and schedules are listed under Item 15(a) and filed as part of this Annual Report on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6" w:name="page47"/>
    <w:bookmarkEnd w:id="46"/>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management, with the participation of our Chief Executive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provide reasonable assurance of achieving their objectives, and based on the foregoing evaluation, our management, including the Chief Executive Bear and Chief Operations and Financial Bear, concluded that our disclosure controls and procedures were effective at the reasonable assurance level as of December 31, 2011, the end of the period covered by this Annual Report.</w:t>
      </w:r>
    </w:p>
    <w:p>
      <w:pPr>
        <w:spacing w:after="0" w:line="24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It should be noted that our management, including the Chief Executive Bear and the Chief Operations and Financial Bear, do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Chief Executive Bear and the Chief Operations and Financial Bear, we conducted an evaluation of the effectiveness of our internal control over financial reporting as of December 31, 2011. Our management, with the participation of our Chief Executive Bear and Chief Operations and Financial Bear,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220" w:lineRule="exact"/>
        <w:rPr>
          <w:sz w:val="20"/>
          <w:szCs w:val="20"/>
          <w:color w:val="auto"/>
        </w:rPr>
      </w:pPr>
    </w:p>
    <w:p>
      <w:pPr>
        <w:jc w:val="both"/>
        <w:ind w:right="380" w:firstLine="486"/>
        <w:spacing w:after="0" w:line="264"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(“COSO”) in Internal Control-Integrated Framework. Based upon this evaluation, our management has concluded that our internal control over financial reporting as of December 31, 2011 is effective.</w:t>
      </w:r>
    </w:p>
    <w:p>
      <w:pPr>
        <w:spacing w:after="0" w:line="23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Build-a-Bear Workshop, Inc. and Subsidiaries (collectively, the Company’s) internal control over financial reporting as of December 31,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Build-a-Bear Workshop, Inc. and Subsidiaries, maintained, in all material respects, effective internal control over financial reporting as of December 31, 2011, based on the COSO criteria.</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 of Build-a-Bear Workshop, Inc. and Subsidiaries as of December 31, 2011 and the related consolidated statement of earnings, stockholders’ equity, and cash flows for the year ended December 31, 2011, and our report dated March 15, 2012, expressed an unqualified opinion thereon.</w:t>
      </w:r>
    </w:p>
    <w:p>
      <w:pPr>
        <w:spacing w:after="0" w:line="200" w:lineRule="exact"/>
        <w:rPr>
          <w:sz w:val="20"/>
          <w:szCs w:val="20"/>
          <w:color w:val="auto"/>
        </w:rPr>
      </w:pPr>
    </w:p>
    <w:p>
      <w:pPr>
        <w:spacing w:after="0" w:line="23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There were no changes in internal control over financial reporting (as defined in Exchange Act Rules 13a-15(f) and 15d-15(f)) that occurred during the fiscal 2011 fourth quarter that have materially affected, or are reasonably likely to materially affect, our internal control over financial reporting.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83"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Information concerning directors, appearing under the caption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Shareholders scheduled to be held on May 10, 2012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8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24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information appearing under the caption “Committee Charters, Corporate Governance Guidelines, Business Conduct Policy and Code of Ethics” in the Proxy Statement is incorporated by reference in response to this Item 10.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8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i w:val="1"/>
          <w:iCs w:val="1"/>
          <w:color w:val="auto"/>
        </w:rPr>
        <w:t>Maxine Clark</w:t>
      </w:r>
      <w:r>
        <w:rPr>
          <w:rFonts w:ascii="Arial" w:cs="Arial" w:eastAsia="Arial" w:hAnsi="Arial"/>
          <w:sz w:val="16"/>
          <w:szCs w:val="16"/>
          <w:color w:val="auto"/>
        </w:rPr>
        <w:t>,</w:t>
      </w:r>
      <w:r>
        <w:rPr>
          <w:rFonts w:ascii="Arial" w:cs="Arial" w:eastAsia="Arial" w:hAnsi="Arial"/>
          <w:sz w:val="16"/>
          <w:szCs w:val="16"/>
          <w:i w:val="1"/>
          <w:iCs w:val="1"/>
          <w:color w:val="auto"/>
        </w:rPr>
        <w:t xml:space="preserve"> 63</w:t>
      </w:r>
      <w:r>
        <w:rPr>
          <w:rFonts w:ascii="Arial" w:cs="Arial" w:eastAsia="Arial" w:hAnsi="Arial"/>
          <w:sz w:val="16"/>
          <w:szCs w:val="16"/>
          <w:color w:val="auto"/>
        </w:rPr>
        <w:t>, has been our Chief Executive Bear since she founded the Company in 1997. She was our President from our inception in 1997 to</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2004, and has served as Chairman of our Board of Directors since our conversion to a corporation in April 2000. She was initially elected to our Board of Directors pursuant to the terms of a stockholders’ agreement which terminated upon the closing of the Company’s initial public offering in 2004. Ms. Clark was re-elected as a director at our 2005 and 2008 Annual Meetings of Stockholders. Prior to founding Build-A-Bear Workshop, Ms. Clark was the President of Payless ShoeSource, Inc. from 1992 until 1996. Before joining Payless, Ms. Clark spent over 19 years in various divisions of The May Department Stores Company in areas including merchandise development, merchandise planning, merchandise research, marketing and product development.</w:t>
      </w:r>
    </w:p>
    <w:p>
      <w:pPr>
        <w:spacing w:after="0" w:line="219"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i w:val="1"/>
          <w:iCs w:val="1"/>
          <w:color w:val="auto"/>
        </w:rPr>
        <w:t xml:space="preserve">Eric Fencl, 49, </w:t>
      </w:r>
      <w:r>
        <w:rPr>
          <w:rFonts w:ascii="Arial" w:cs="Arial" w:eastAsia="Arial" w:hAnsi="Arial"/>
          <w:sz w:val="17"/>
          <w:szCs w:val="17"/>
          <w:color w:val="auto"/>
        </w:rPr>
        <w:t>joined Build-A-Bear Workshop in July 2008 as Chief Bearrister—General Counsel. In March 2009, he assumed responsibility for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franchising and human resources. He now holds the title of Chief Bearrister, General Counsel and International Franchising. Prior to joining the Company, Mr. Fencl was Executive Vice President, General Counsel and Secretary for Outsourcing Solutions Inc., a national accounts receivable management firm from August 1998 to June 2008. From September 1990 to August 1998, he held legal positions for Monsanto Company, McDonnell Douglas Corporation and Bryan Cave LLP. Mr. Fencl began his career in 1984 as an auditor with Arthur Young &amp; Company.</w:t>
      </w:r>
    </w:p>
    <w:p>
      <w:pPr>
        <w:spacing w:after="0" w:line="22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i w:val="1"/>
          <w:iCs w:val="1"/>
          <w:color w:val="auto"/>
        </w:rPr>
        <w:t>Dave Finnegan</w:t>
      </w:r>
      <w:r>
        <w:rPr>
          <w:rFonts w:ascii="Arial" w:cs="Arial" w:eastAsia="Arial" w:hAnsi="Arial"/>
          <w:sz w:val="17"/>
          <w:szCs w:val="17"/>
          <w:color w:val="auto"/>
        </w:rPr>
        <w:t>,</w:t>
      </w:r>
      <w:r>
        <w:rPr>
          <w:rFonts w:ascii="Arial" w:cs="Arial" w:eastAsia="Arial" w:hAnsi="Arial"/>
          <w:sz w:val="17"/>
          <w:szCs w:val="17"/>
          <w:i w:val="1"/>
          <w:iCs w:val="1"/>
          <w:color w:val="auto"/>
        </w:rPr>
        <w:t xml:space="preserve"> 42</w:t>
      </w:r>
      <w:r>
        <w:rPr>
          <w:rFonts w:ascii="Arial" w:cs="Arial" w:eastAsia="Arial" w:hAnsi="Arial"/>
          <w:sz w:val="17"/>
          <w:szCs w:val="17"/>
          <w:color w:val="auto"/>
        </w:rPr>
        <w:t>, joined Build-A-Bear Workshop in December 1999 as Director Inbearmation Technology and was named Chief Information Bear 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2007, adding logistics responsibilities in March 2009 to become Chief Information and Logistics Bear, and in March 2010 he became Chief Information Bear. Prior to joining the Company, Mr. Finnegan held information systems management positions at Novell, Inc. in Provo Utah and Interchange Technologies Inc. in St. Louis, Missouri. Mr. Finnegan is a member of the St. Louis Regional Chief Information Officer Forum and the NSB Executive Client Advisory Board. He was instrumental in the development of bearville.com—the company’s virtual world Web site. The online community received a 2009 “Best of the Web” award from WiredSafety at the 9th Annual Wired Kids Summit and a 2008 iParenting Media Award.</w:t>
      </w:r>
    </w:p>
    <w:p>
      <w:pPr>
        <w:spacing w:after="0" w:line="232"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i w:val="1"/>
          <w:iCs w:val="1"/>
          <w:color w:val="auto"/>
        </w:rPr>
        <w:t xml:space="preserve">Tina Klocke, 52, </w:t>
      </w:r>
      <w:r>
        <w:rPr>
          <w:rFonts w:ascii="Arial" w:cs="Arial" w:eastAsia="Arial" w:hAnsi="Arial"/>
          <w:sz w:val="16"/>
          <w:szCs w:val="16"/>
          <w:color w:val="auto"/>
        </w:rPr>
        <w:t>has been our Chief Financial Bear since November 1997, our Treasurer since April 2000, and Secretary since February 2004.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2009, she assumed responsibility for store operations and in July 2011, she assumed responsibility for logistics and planning. She now holds the title of Chief Operations and Financial Bear. Prior to joining the Company, Ms. Klocke was the Controller for Clayton Corporation, a manufacturing company, where she supervised all accounting and finance functions as well as human resources. Prior to joining Clayton Corporation in 1990, she was the controller for Love Real Estate Company, a diversified investment management and development firm. Ms. Klocke began her career in 1982 with Ernst &amp; Young LLP.</w:t>
      </w:r>
    </w:p>
    <w:p>
      <w:pPr>
        <w:spacing w:after="0" w:line="21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i w:val="1"/>
          <w:iCs w:val="1"/>
          <w:color w:val="auto"/>
        </w:rPr>
        <w:t xml:space="preserve">Teresa Kroll, 57, </w:t>
      </w:r>
      <w:r>
        <w:rPr>
          <w:rFonts w:ascii="Arial" w:cs="Arial" w:eastAsia="Arial" w:hAnsi="Arial"/>
          <w:sz w:val="18"/>
          <w:szCs w:val="18"/>
          <w:color w:val="auto"/>
        </w:rPr>
        <w:t>joined Build-A-Bear Workshop in September 2001 as Chief Marketing Bear, was named Chief Entertainment Bear in March 2009,</w:t>
      </w:r>
      <w:r>
        <w:rPr>
          <w:rFonts w:ascii="Arial" w:cs="Arial" w:eastAsia="Arial" w:hAnsi="Arial"/>
          <w:sz w:val="18"/>
          <w:szCs w:val="18"/>
          <w:i w:val="1"/>
          <w:iCs w:val="1"/>
          <w:color w:val="auto"/>
        </w:rPr>
        <w:t xml:space="preserve"> </w:t>
      </w:r>
      <w:r>
        <w:rPr>
          <w:rFonts w:ascii="Arial" w:cs="Arial" w:eastAsia="Arial" w:hAnsi="Arial"/>
          <w:sz w:val="18"/>
          <w:szCs w:val="18"/>
          <w:color w:val="auto"/>
        </w:rPr>
        <w:t>was named Chief Entertainment and Digital Marketing Bear in June 2010 and was named Chief Marketing and Entertainment Bear in December 2011. Prior to joining the Company, Ms. Kroll was Vice President–Advertising for The WIZ, a unit of Cablevision, from 1999 to 2001. From 1995 to 1999, Ms. Kroll was Director of Marketing for Montgomery Ward Holding Corp., a department store retailer. From 1980 to 1994 Ms. Kroll held various administrative and marketing positions for Venture Stores, Inc.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83"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20"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92"/>
              </w:rPr>
              <w:t>Equity Compensation Plan Information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(b)</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w:t>
            </w:r>
          </w:p>
        </w:tc>
        <w:tc>
          <w:tcPr>
            <w:tcW w:w="220" w:type="dxa"/>
            <w:vAlign w:val="bottom"/>
          </w:tcPr>
          <w:p>
            <w:pPr>
              <w:spacing w:after="0"/>
              <w:rPr>
                <w:sz w:val="18"/>
                <w:szCs w:val="18"/>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average exercise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price of</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w:t>
            </w:r>
          </w:p>
        </w:tc>
        <w:tc>
          <w:tcPr>
            <w:tcW w:w="220" w:type="dxa"/>
            <w:vAlign w:val="bottom"/>
          </w:tcPr>
          <w:p>
            <w:pPr>
              <w:spacing w:after="0"/>
              <w:rPr>
                <w:sz w:val="18"/>
                <w:szCs w:val="18"/>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options, warrants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194"/>
        </w:trPr>
        <w:tc>
          <w:tcPr>
            <w:tcW w:w="11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w w:val="98"/>
              </w:rPr>
              <w:t>Plan category</w:t>
            </w:r>
          </w:p>
        </w:tc>
        <w:tc>
          <w:tcPr>
            <w:tcW w:w="2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and rights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and rights</w:t>
            </w:r>
          </w:p>
        </w:tc>
        <w:tc>
          <w:tcPr>
            <w:tcW w:w="14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0FFFF"/>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2620" w:type="dxa"/>
            <w:vAlign w:val="bottom"/>
            <w:shd w:val="clear" w:color="auto" w:fill="C0FFFF"/>
          </w:tcPr>
          <w:p>
            <w:pPr>
              <w:spacing w:after="0"/>
              <w:rPr>
                <w:sz w:val="18"/>
                <w:szCs w:val="18"/>
                <w:color w:val="auto"/>
              </w:rPr>
            </w:pPr>
          </w:p>
        </w:tc>
        <w:tc>
          <w:tcPr>
            <w:tcW w:w="140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1,210,816</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8.49</w:t>
            </w:r>
          </w:p>
        </w:tc>
        <w:tc>
          <w:tcPr>
            <w:tcW w:w="14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1,104,894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2960" w:type="dxa"/>
            <w:vAlign w:val="bottom"/>
            <w:shd w:val="clear" w:color="auto" w:fill="C0FFFF"/>
          </w:tcPr>
          <w:p>
            <w:pPr>
              <w:spacing w:after="0"/>
              <w:rPr>
                <w:sz w:val="2"/>
                <w:szCs w:val="2"/>
                <w:color w:val="auto"/>
              </w:rPr>
            </w:pPr>
          </w:p>
        </w:tc>
        <w:tc>
          <w:tcPr>
            <w:tcW w:w="2620" w:type="dxa"/>
            <w:vAlign w:val="bottom"/>
            <w:shd w:val="clear" w:color="auto" w:fill="C0FFFF"/>
          </w:tcPr>
          <w:p>
            <w:pPr>
              <w:spacing w:after="0"/>
              <w:rPr>
                <w:sz w:val="2"/>
                <w:szCs w:val="2"/>
                <w:color w:val="auto"/>
              </w:rPr>
            </w:pPr>
          </w:p>
        </w:tc>
        <w:tc>
          <w:tcPr>
            <w:tcW w:w="1400" w:type="dxa"/>
            <w:vAlign w:val="bottom"/>
            <w:tcBorders>
              <w:right w:val="single" w:sz="8" w:color="C0FFFF"/>
            </w:tcBorders>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1,210,816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1,104,894</w:t>
            </w:r>
          </w:p>
        </w:tc>
        <w:tc>
          <w:tcPr>
            <w:tcW w:w="0" w:type="dxa"/>
            <w:vAlign w:val="bottom"/>
          </w:tcPr>
          <w:p>
            <w:pPr>
              <w:spacing w:after="0"/>
              <w:rPr>
                <w:sz w:val="1"/>
                <w:szCs w:val="1"/>
                <w:color w:val="auto"/>
              </w:rPr>
            </w:pPr>
          </w:p>
        </w:tc>
      </w:tr>
      <w:tr>
        <w:trPr>
          <w:trHeight w:val="21"/>
        </w:trPr>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ITEM 13.</w:t>
            </w:r>
          </w:p>
        </w:tc>
        <w:tc>
          <w:tcPr>
            <w:tcW w:w="878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83" w:lineRule="exact"/>
        <w:rPr>
          <w:sz w:val="20"/>
          <w:szCs w:val="20"/>
          <w:color w:val="auto"/>
        </w:rPr>
      </w:pPr>
    </w:p>
    <w:p>
      <w:pPr>
        <w:ind w:right="740" w:firstLine="486"/>
        <w:spacing w:after="0" w:line="308" w:lineRule="auto"/>
        <w:rPr>
          <w:sz w:val="20"/>
          <w:szCs w:val="20"/>
          <w:color w:val="auto"/>
        </w:rPr>
      </w:pPr>
      <w:r>
        <w:rPr>
          <w:rFonts w:ascii="Arial" w:cs="Arial" w:eastAsia="Arial" w:hAnsi="Arial"/>
          <w:sz w:val="17"/>
          <w:szCs w:val="17"/>
          <w:color w:val="auto"/>
        </w:rPr>
        <w:t>The information contained in the section titled “Principal Accountant Fees” and “Policy Regarding Pre-Approval of Services Provided by the Independent Registered Public Accounting Firm” in the Proxy Statement is incorporated herein by reference in response to Item 14.</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80" w:type="dxa"/>
            <w:vAlign w:val="bottom"/>
          </w:tcPr>
          <w:p>
            <w:pPr>
              <w:jc w:val="center"/>
              <w:ind w:left="2550"/>
              <w:spacing w:after="0"/>
              <w:rPr>
                <w:sz w:val="20"/>
                <w:szCs w:val="20"/>
                <w:color w:val="auto"/>
              </w:rPr>
            </w:pPr>
            <w:r>
              <w:rPr>
                <w:rFonts w:ascii="Arial" w:cs="Arial" w:eastAsia="Arial" w:hAnsi="Arial"/>
                <w:sz w:val="18"/>
                <w:szCs w:val="18"/>
                <w:b w:val="1"/>
                <w:bCs w:val="1"/>
                <w:color w:val="auto"/>
              </w:rPr>
              <w:t>PART IV</w:t>
            </w:r>
          </w:p>
        </w:tc>
        <w:tc>
          <w:tcPr>
            <w:tcW w:w="26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6680" w:type="dxa"/>
            <w:vAlign w:val="bottom"/>
          </w:tcPr>
          <w:p>
            <w:pPr>
              <w:ind w:left="240"/>
              <w:spacing w:after="0"/>
              <w:rPr>
                <w:sz w:val="20"/>
                <w:szCs w:val="20"/>
                <w:color w:val="auto"/>
              </w:rPr>
            </w:pPr>
            <w:r>
              <w:rPr>
                <w:rFonts w:ascii="Arial" w:cs="Arial" w:eastAsia="Arial" w:hAnsi="Arial"/>
                <w:sz w:val="18"/>
                <w:szCs w:val="18"/>
                <w:b w:val="1"/>
                <w:bCs w:val="1"/>
                <w:color w:val="auto"/>
              </w:rPr>
              <w:t>EXHIBITS AND FINANCIAL STATEMENT SCHEDULES</w:t>
            </w:r>
          </w:p>
        </w:tc>
        <w:tc>
          <w:tcPr>
            <w:tcW w:w="2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7720" w:type="dxa"/>
            <w:vAlign w:val="bottom"/>
            <w:gridSpan w:val="2"/>
          </w:tcPr>
          <w:p>
            <w:pPr>
              <w:ind w:left="48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tc>
        <w:tc>
          <w:tcPr>
            <w:tcW w:w="2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10400" w:type="dxa"/>
            <w:vAlign w:val="bottom"/>
            <w:gridSpan w:val="3"/>
          </w:tcPr>
          <w:p>
            <w:pPr>
              <w:ind w:left="480"/>
              <w:spacing w:after="0"/>
              <w:rPr>
                <w:sz w:val="20"/>
                <w:szCs w:val="20"/>
                <w:color w:val="auto"/>
              </w:rPr>
            </w:pPr>
            <w:r>
              <w:rPr>
                <w:rFonts w:ascii="Arial" w:cs="Arial" w:eastAsia="Arial" w:hAnsi="Arial"/>
                <w:sz w:val="18"/>
                <w:szCs w:val="18"/>
                <w:color w:val="auto"/>
                <w:w w:val="94"/>
              </w:rPr>
              <w:t>The financial statements and schedules set forth below are filed on the indicated pages as part of this Annual Report on Form 10-K.</w:t>
            </w:r>
          </w:p>
        </w:tc>
        <w:tc>
          <w:tcPr>
            <w:tcW w:w="10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2680" w:type="dxa"/>
            <w:vAlign w:val="bottom"/>
            <w:shd w:val="clear" w:color="auto" w:fill="C0FFFF"/>
          </w:tcPr>
          <w:p>
            <w:pPr>
              <w:spacing w:after="0"/>
              <w:rPr>
                <w:sz w:val="18"/>
                <w:szCs w:val="18"/>
                <w:color w:val="auto"/>
              </w:rPr>
            </w:pPr>
          </w:p>
        </w:tc>
        <w:tc>
          <w:tcPr>
            <w:tcW w:w="10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2011 and January 1,</w:t>
            </w:r>
          </w:p>
        </w:tc>
        <w:tc>
          <w:tcPr>
            <w:tcW w:w="26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0FFFF"/>
          </w:tcPr>
          <w:p>
            <w:pPr>
              <w:spacing w:after="0"/>
              <w:rPr>
                <w:sz w:val="20"/>
                <w:szCs w:val="20"/>
                <w:color w:val="auto"/>
              </w:rPr>
            </w:pPr>
            <w:r>
              <w:rPr>
                <w:rFonts w:ascii="Arial" w:cs="Arial" w:eastAsia="Arial" w:hAnsi="Arial"/>
                <w:sz w:val="18"/>
                <w:szCs w:val="18"/>
                <w:color w:val="auto"/>
                <w:w w:val="89"/>
              </w:rPr>
              <w:t>Consolidated Statements of Operations for the fiscal years ended December 31, 2011, January 1, 2011 and</w:t>
            </w:r>
          </w:p>
        </w:tc>
        <w:tc>
          <w:tcPr>
            <w:tcW w:w="2680" w:type="dxa"/>
            <w:vAlign w:val="bottom"/>
            <w:shd w:val="clear" w:color="auto" w:fill="C0FFFF"/>
          </w:tcPr>
          <w:p>
            <w:pPr>
              <w:ind w:left="20"/>
              <w:spacing w:after="0"/>
              <w:rPr>
                <w:sz w:val="20"/>
                <w:szCs w:val="20"/>
                <w:color w:val="auto"/>
              </w:rPr>
            </w:pPr>
            <w:r>
              <w:rPr>
                <w:rFonts w:ascii="Arial" w:cs="Arial" w:eastAsia="Arial" w:hAnsi="Arial"/>
                <w:sz w:val="18"/>
                <w:szCs w:val="18"/>
                <w:color w:val="auto"/>
              </w:rPr>
              <w:t>January 2, 2010</w:t>
            </w:r>
          </w:p>
        </w:tc>
        <w:tc>
          <w:tcPr>
            <w:tcW w:w="10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w w:val="97"/>
              </w:rPr>
              <w:t>Consolidated Statements of Stockholders’ Equity for the fiscal years ended December 31, 2011, January 1, 2011 and January 2, 2010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0FFFF"/>
          </w:tcPr>
          <w:p>
            <w:pPr>
              <w:spacing w:after="0"/>
              <w:rPr>
                <w:sz w:val="20"/>
                <w:szCs w:val="20"/>
                <w:color w:val="auto"/>
              </w:rPr>
            </w:pPr>
            <w:r>
              <w:rPr>
                <w:rFonts w:ascii="Arial" w:cs="Arial" w:eastAsia="Arial" w:hAnsi="Arial"/>
                <w:sz w:val="18"/>
                <w:szCs w:val="18"/>
                <w:color w:val="auto"/>
                <w:w w:val="89"/>
              </w:rPr>
              <w:t>Consolidated Statements of Cash Flows for the fiscal years ended December 31, 2011, January 1, 2011 and</w:t>
            </w:r>
          </w:p>
        </w:tc>
        <w:tc>
          <w:tcPr>
            <w:tcW w:w="2680" w:type="dxa"/>
            <w:vAlign w:val="bottom"/>
            <w:shd w:val="clear" w:color="auto" w:fill="C0FFFF"/>
          </w:tcPr>
          <w:p>
            <w:pPr>
              <w:ind w:left="60"/>
              <w:spacing w:after="0"/>
              <w:rPr>
                <w:sz w:val="20"/>
                <w:szCs w:val="20"/>
                <w:color w:val="auto"/>
              </w:rPr>
            </w:pPr>
            <w:r>
              <w:rPr>
                <w:rFonts w:ascii="Arial" w:cs="Arial" w:eastAsia="Arial" w:hAnsi="Arial"/>
                <w:sz w:val="18"/>
                <w:szCs w:val="18"/>
                <w:color w:val="auto"/>
              </w:rPr>
              <w:t>January 2, 2010</w:t>
            </w:r>
          </w:p>
        </w:tc>
        <w:tc>
          <w:tcPr>
            <w:tcW w:w="10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89"/>
              </w:rPr>
              <w:t>50</w:t>
            </w:r>
          </w:p>
        </w:tc>
      </w:tr>
      <w:tr>
        <w:trPr>
          <w:trHeight w:val="230"/>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26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59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80" w:type="dxa"/>
            <w:vAlign w:val="bottom"/>
          </w:tcPr>
          <w:p>
            <w:pPr>
              <w:jc w:val="right"/>
              <w:ind w:right="1850"/>
              <w:spacing w:after="0"/>
              <w:rPr>
                <w:sz w:val="20"/>
                <w:szCs w:val="20"/>
                <w:color w:val="auto"/>
              </w:rPr>
            </w:pPr>
            <w:r>
              <w:rPr>
                <w:rFonts w:ascii="Arial" w:cs="Arial" w:eastAsia="Arial" w:hAnsi="Arial"/>
                <w:sz w:val="18"/>
                <w:szCs w:val="18"/>
                <w:color w:val="auto"/>
              </w:rPr>
              <w:t>44</w:t>
            </w:r>
          </w:p>
        </w:tc>
        <w:tc>
          <w:tcPr>
            <w:tcW w:w="2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68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00" w:lineRule="exact"/>
        <w:rPr>
          <w:sz w:val="20"/>
          <w:szCs w:val="20"/>
          <w:color w:val="auto"/>
        </w:rPr>
      </w:pPr>
    </w:p>
    <w:p>
      <w:pPr>
        <w:spacing w:after="0" w:line="2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 of Build-a-Bear Workshop, Inc. and Subsidiaries (collectively, the Company) as of December 31, 2011, and the related consolidated statement of operations, stockholders’ equity, and cash flows for the fiscal year ended December 31, 2011. Our audit also included the financial statement schedule listed in the Index at Item 15(a). These financial statements and schedule are the responsibility of the Company's management. Our responsibility is to express an opinion on these financial statements and schedule based on our audit.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Build-a-Bear Workshop, Inc. and Subsidiaries at December 31, 2011, and the consolidated results of its operations and its cash flows for the fiscal year ended December 31, 2011, in conformity with U.S. generally accepted accounting principles. Also, in our opinion, the financial statement schedule, when considered in relation to the basic financial statements taken as a whole, presents fairly in all material respects the information set forth therein.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Build-a-Bear Workshop, Inc. and Subsidiaries’ internal control over financial reporting as of December 31,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15, 2012 expressed an unqualified opinion thereon.</w:t>
      </w:r>
    </w:p>
    <w:p>
      <w:pPr>
        <w:spacing w:after="0" w:line="200" w:lineRule="exact"/>
        <w:rPr>
          <w:sz w:val="20"/>
          <w:szCs w:val="20"/>
          <w:color w:val="auto"/>
        </w:rPr>
      </w:pPr>
    </w:p>
    <w:p>
      <w:pPr>
        <w:spacing w:after="0" w:line="31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Build-A-Bear Workshop, Inc. and subsidiaries (the Company) as of January 1, 2011, and the related consolidated statements of operations, stockholders’ equity, and cash flows for each of the fiscal years in the two-year period ended January 1, 2011.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Build-A-Bear Workshop, Inc. and subsidiaries as of January 1, 2011, and the results of its operations and its cash flows for each of the fiscal years in the two-year period ended January 1, 2011, in conformity with U.S. generally accepted accounting principles.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2011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January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36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46,367</w:t>
            </w:r>
          </w:p>
        </w:tc>
        <w:tc>
          <w:tcPr>
            <w:tcW w:w="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51,860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7,878</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17,854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shd w:val="clear" w:color="auto" w:fill="C0FFFF"/>
          </w:tcPr>
          <w:p>
            <w:pPr>
              <w:spacing w:after="0"/>
              <w:rPr>
                <w:sz w:val="19"/>
                <w:szCs w:val="19"/>
                <w:color w:val="auto"/>
              </w:rPr>
            </w:pPr>
          </w:p>
        </w:tc>
        <w:tc>
          <w:tcPr>
            <w:tcW w:w="13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auto"/>
            </w:tcBorders>
            <w:shd w:val="clear" w:color="auto" w:fill="C0FFFF"/>
          </w:tcPr>
          <w:p>
            <w:pPr>
              <w:spacing w:after="0"/>
              <w:rPr>
                <w:sz w:val="19"/>
                <w:szCs w:val="19"/>
                <w:color w:val="auto"/>
              </w:rPr>
            </w:pPr>
          </w:p>
        </w:tc>
        <w:tc>
          <w:tcPr>
            <w:tcW w:w="1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139,043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77,445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32,306</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shd w:val="clear" w:color="auto" w:fill="C0FFFF"/>
          </w:tcPr>
          <w:p>
            <w:pPr>
              <w:spacing w:after="0"/>
              <w:rPr>
                <w:sz w:val="19"/>
                <w:szCs w:val="19"/>
                <w:color w:val="auto"/>
              </w:rPr>
            </w:pPr>
          </w:p>
        </w:tc>
        <w:tc>
          <w:tcPr>
            <w:tcW w:w="13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6,787</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auto"/>
            </w:tcBorders>
            <w:shd w:val="clear" w:color="auto" w:fill="C0FFFF"/>
          </w:tcPr>
          <w:p>
            <w:pPr>
              <w:spacing w:after="0"/>
              <w:rPr>
                <w:sz w:val="19"/>
                <w:szCs w:val="19"/>
                <w:color w:val="auto"/>
              </w:rPr>
            </w:pPr>
          </w:p>
        </w:tc>
        <w:tc>
          <w:tcPr>
            <w:tcW w:w="1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241,571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275,794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41,032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12,128</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Gift cards and customer deposits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28,323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0FFFF"/>
          </w:tcPr>
          <w:p>
            <w:pPr>
              <w:spacing w:after="0"/>
              <w:rPr>
                <w:sz w:val="19"/>
                <w:szCs w:val="19"/>
                <w:color w:val="auto"/>
              </w:rPr>
            </w:pPr>
          </w:p>
        </w:tc>
        <w:tc>
          <w:tcPr>
            <w:tcW w:w="13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5,285</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bottom w:val="single" w:sz="8" w:color="auto"/>
            </w:tcBorders>
            <w:shd w:val="clear" w:color="auto" w:fill="C0FFFF"/>
          </w:tcPr>
          <w:p>
            <w:pPr>
              <w:spacing w:after="0"/>
              <w:rPr>
                <w:sz w:val="19"/>
                <w:szCs w:val="19"/>
                <w:color w:val="auto"/>
              </w:rPr>
            </w:pPr>
          </w:p>
        </w:tc>
        <w:tc>
          <w:tcPr>
            <w:tcW w:w="1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86,768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87,372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0FFFF"/>
          </w:tcPr>
          <w:p>
            <w:pPr>
              <w:spacing w:after="0"/>
              <w:rPr>
                <w:sz w:val="18"/>
                <w:szCs w:val="18"/>
                <w:color w:val="auto"/>
              </w:rPr>
            </w:pPr>
          </w:p>
        </w:tc>
        <w:tc>
          <w:tcPr>
            <w:tcW w:w="160" w:type="dxa"/>
            <w:vAlign w:val="bottom"/>
            <w:tcBorders>
              <w:top w:val="single" w:sz="8" w:color="auto"/>
            </w:tcBorders>
            <w:shd w:val="clear" w:color="auto" w:fill="C0FFFF"/>
          </w:tcPr>
          <w:p>
            <w:pPr>
              <w:spacing w:after="0"/>
              <w:rPr>
                <w:sz w:val="18"/>
                <w:szCs w:val="18"/>
                <w:color w:val="auto"/>
              </w:rPr>
            </w:pPr>
          </w:p>
        </w:tc>
        <w:tc>
          <w:tcPr>
            <w:tcW w:w="13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23,867</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8"/>
              </w:rPr>
              <w:t>Preferred stock, par value $0.01, Shares authorized: 15,000,000; No shares issued or outstanding at</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December 31, 2011 and January 1, 2011</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0FFFF"/>
          </w:tcPr>
          <w:p>
            <w:pPr>
              <w:ind w:left="160"/>
              <w:spacing w:after="0" w:line="201" w:lineRule="exact"/>
              <w:rPr>
                <w:sz w:val="20"/>
                <w:szCs w:val="20"/>
                <w:color w:val="auto"/>
              </w:rPr>
            </w:pPr>
            <w:r>
              <w:rPr>
                <w:rFonts w:ascii="Arial" w:cs="Arial" w:eastAsia="Arial" w:hAnsi="Arial"/>
                <w:sz w:val="18"/>
                <w:szCs w:val="18"/>
                <w:color w:val="auto"/>
                <w:w w:val="94"/>
              </w:rPr>
              <w:t>Common stock, par value $0.01, Shares authorized: 50,000,000; Issued and outstanding: 17,405,270 and</w:t>
            </w:r>
          </w:p>
        </w:tc>
        <w:tc>
          <w:tcPr>
            <w:tcW w:w="160" w:type="dxa"/>
            <w:vAlign w:val="bottom"/>
            <w:shd w:val="clear" w:color="auto" w:fill="C0FFFF"/>
          </w:tcPr>
          <w:p>
            <w:pPr>
              <w:spacing w:after="0"/>
              <w:rPr>
                <w:sz w:val="17"/>
                <w:szCs w:val="17"/>
                <w:color w:val="auto"/>
              </w:rPr>
            </w:pPr>
          </w:p>
        </w:tc>
        <w:tc>
          <w:tcPr>
            <w:tcW w:w="134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19,631,623 shares, respectively</w:t>
            </w:r>
          </w:p>
        </w:tc>
        <w:tc>
          <w:tcPr>
            <w:tcW w:w="160" w:type="dxa"/>
            <w:vAlign w:val="bottom"/>
            <w:shd w:val="clear" w:color="auto" w:fill="C0FFFF"/>
          </w:tcPr>
          <w:p>
            <w:pPr>
              <w:spacing w:after="0"/>
              <w:rPr>
                <w:sz w:val="20"/>
                <w:szCs w:val="20"/>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65,402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(10,165)</w:t>
            </w: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73,832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90,894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shd w:val="clear" w:color="auto" w:fill="C0FFFF"/>
          </w:tcPr>
          <w:p>
            <w:pPr>
              <w:ind w:left="6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0FFFF"/>
          </w:tcPr>
          <w:p>
            <w:pPr>
              <w:spacing w:after="0"/>
              <w:rPr>
                <w:sz w:val="19"/>
                <w:szCs w:val="19"/>
                <w:color w:val="auto"/>
              </w:rPr>
            </w:pPr>
          </w:p>
        </w:tc>
        <w:tc>
          <w:tcPr>
            <w:tcW w:w="134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129,243</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00" w:type="dxa"/>
            <w:vAlign w:val="bottom"/>
            <w:tcBorders>
              <w:top w:val="single" w:sz="8" w:color="auto"/>
              <w:bottom w:val="single" w:sz="8" w:color="auto"/>
            </w:tcBorders>
            <w:shd w:val="clear" w:color="auto" w:fill="C0FFFF"/>
          </w:tcPr>
          <w:p>
            <w:pPr>
              <w:spacing w:after="0"/>
              <w:rPr>
                <w:sz w:val="19"/>
                <w:szCs w:val="19"/>
                <w:color w:val="auto"/>
              </w:rPr>
            </w:pPr>
          </w:p>
        </w:tc>
        <w:tc>
          <w:tcPr>
            <w:tcW w:w="128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157,713</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241,571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275,794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40"/>
              <w:spacing w:after="0"/>
              <w:rPr>
                <w:sz w:val="20"/>
                <w:szCs w:val="20"/>
                <w:color w:val="auto"/>
              </w:rPr>
            </w:pPr>
            <w:r>
              <w:rPr>
                <w:rFonts w:ascii="Arial" w:cs="Arial" w:eastAsia="Arial" w:hAnsi="Arial"/>
                <w:sz w:val="18"/>
                <w:szCs w:val="18"/>
                <w:color w:val="auto"/>
              </w:rPr>
              <w:t>Net retail sales</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387,041</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387,163</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388,552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Commercial revenue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11,246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40"/>
              <w:spacing w:after="0"/>
              <w:rPr>
                <w:sz w:val="20"/>
                <w:szCs w:val="20"/>
                <w:color w:val="auto"/>
              </w:rPr>
            </w:pPr>
            <w:r>
              <w:rPr>
                <w:rFonts w:ascii="Arial" w:cs="Arial" w:eastAsia="Arial" w:hAnsi="Arial"/>
                <w:sz w:val="18"/>
                <w:szCs w:val="18"/>
                <w:color w:val="auto"/>
              </w:rPr>
              <w:t>Franchise fees</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3,043</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78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394,375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401,452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395,906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Cost of merchandise sold</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234,227</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239,556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162,334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163,910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40"/>
              <w:spacing w:after="0"/>
              <w:rPr>
                <w:sz w:val="20"/>
                <w:szCs w:val="20"/>
                <w:color w:val="auto"/>
              </w:rPr>
            </w:pPr>
            <w:r>
              <w:rPr>
                <w:rFonts w:ascii="Arial" w:cs="Arial" w:eastAsia="Arial" w:hAnsi="Arial"/>
                <w:sz w:val="18"/>
                <w:szCs w:val="18"/>
                <w:color w:val="auto"/>
              </w:rPr>
              <w:t>Store preopening</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Losses from investment in affiliate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4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78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397,027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403,924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419,746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8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14,410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(17,062)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(0.98)</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Shares used in computing per common share amounts: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17,371,315</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18,601,465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18,874,352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17,371,315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18,653,012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18,874,352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392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other</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paid-in</w:t>
            </w: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6"/>
              </w:rPr>
              <w:t>comprehensive</w:t>
            </w:r>
          </w:p>
        </w:tc>
      </w:tr>
      <w:tr>
        <w:trPr>
          <w:trHeight w:val="24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stock</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220" w:type="dxa"/>
            <w:vAlign w:val="bottom"/>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20"/>
                <w:szCs w:val="20"/>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income (loss)</w:t>
            </w:r>
          </w:p>
        </w:tc>
      </w:tr>
    </w:tbl>
    <w:p>
      <w:pPr>
        <w:spacing w:after="0" w:line="200" w:lineRule="exact"/>
        <w:rPr>
          <w:sz w:val="20"/>
          <w:szCs w:val="20"/>
          <w:color w:val="auto"/>
        </w:rPr>
      </w:pPr>
    </w:p>
    <w:p>
      <w:pPr>
        <w:sectPr>
          <w:pgSz w:w="11900" w:h="16838" w:orient="portrait"/>
          <w:cols w:equalWidth="0" w:num="1">
            <w:col w:w="11380"/>
          </w:cols>
          <w:pgMar w:left="240" w:top="567" w:right="27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Balance, January 3, 2009</w:t>
            </w: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1"/>
              </w:rPr>
              <w:t>Shares issued under employee stock plans, net of tax</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benefit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 January 2, 2010</w:t>
            </w:r>
          </w:p>
        </w:tc>
        <w:tc>
          <w:tcPr>
            <w:tcW w:w="4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204</w:t>
            </w: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Share repurchase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1"/>
              </w:rPr>
              <w:t>Shares issued under employee stock plans, net of tax</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benefit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 January 1, 2011</w:t>
            </w:r>
          </w:p>
        </w:tc>
        <w:tc>
          <w:tcPr>
            <w:tcW w:w="4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196</w:t>
            </w: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Share repurchase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1"/>
              </w:rPr>
              <w:t>Shares issued under employee stock plans, net of tax</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benefit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 December 31, 2011</w:t>
            </w:r>
          </w:p>
        </w:tc>
        <w:tc>
          <w:tcPr>
            <w:tcW w:w="4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76,852</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(12,585)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103,263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167,725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4,335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4,335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6,249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6,249</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(12,473)</w:t>
            </w: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(12,473)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110"/>
              <w:spacing w:after="0"/>
              <w:rPr>
                <w:sz w:val="20"/>
                <w:szCs w:val="20"/>
                <w:color w:val="auto"/>
              </w:rPr>
            </w:pPr>
            <w:r>
              <w:rPr>
                <w:rFonts w:ascii="Arial" w:cs="Arial" w:eastAsia="Arial" w:hAnsi="Arial"/>
                <w:sz w:val="18"/>
                <w:szCs w:val="18"/>
                <w:color w:val="auto"/>
                <w:w w:val="98"/>
              </w:rPr>
              <w:t>80,122</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(6,336)</w:t>
            </w:r>
          </w:p>
        </w:tc>
        <w:tc>
          <w:tcPr>
            <w:tcW w:w="2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90,790</w:t>
            </w:r>
          </w:p>
        </w:tc>
        <w:tc>
          <w:tcPr>
            <w:tcW w:w="200" w:type="dxa"/>
            <w:vAlign w:val="bottom"/>
          </w:tcPr>
          <w:p>
            <w:pPr>
              <w:spacing w:after="0"/>
              <w:rPr>
                <w:sz w:val="17"/>
                <w:szCs w:val="17"/>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164,780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(7,263)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4,818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4,818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(3,623)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(3,623)</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3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110"/>
              <w:spacing w:after="0"/>
              <w:rPr>
                <w:sz w:val="20"/>
                <w:szCs w:val="20"/>
                <w:color w:val="auto"/>
              </w:rPr>
            </w:pPr>
            <w:r>
              <w:rPr>
                <w:rFonts w:ascii="Arial" w:cs="Arial" w:eastAsia="Arial" w:hAnsi="Arial"/>
                <w:sz w:val="18"/>
                <w:szCs w:val="18"/>
                <w:color w:val="auto"/>
                <w:w w:val="98"/>
              </w:rPr>
              <w:t>76,582</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(9,959)</w:t>
            </w:r>
          </w:p>
        </w:tc>
        <w:tc>
          <w:tcPr>
            <w:tcW w:w="2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90,894</w:t>
            </w:r>
          </w:p>
        </w:tc>
        <w:tc>
          <w:tcPr>
            <w:tcW w:w="200" w:type="dxa"/>
            <w:vAlign w:val="bottom"/>
          </w:tcPr>
          <w:p>
            <w:pPr>
              <w:spacing w:after="0"/>
              <w:rPr>
                <w:sz w:val="17"/>
                <w:szCs w:val="17"/>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157,713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ind w:right="50"/>
              <w:spacing w:after="0"/>
              <w:rPr>
                <w:sz w:val="20"/>
                <w:szCs w:val="20"/>
                <w:color w:val="auto"/>
              </w:rPr>
            </w:pPr>
            <w:r>
              <w:rPr>
                <w:rFonts w:ascii="Arial" w:cs="Arial" w:eastAsia="Arial" w:hAnsi="Arial"/>
                <w:sz w:val="18"/>
                <w:szCs w:val="18"/>
                <w:color w:val="auto"/>
                <w:w w:val="89"/>
              </w:rPr>
              <w:t>(14,977)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(15,002)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4,605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(17,062)</w:t>
            </w: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(17,062)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(17,268)</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110"/>
              <w:spacing w:after="0"/>
              <w:rPr>
                <w:sz w:val="20"/>
                <w:szCs w:val="20"/>
                <w:color w:val="auto"/>
              </w:rPr>
            </w:pPr>
            <w:r>
              <w:rPr>
                <w:rFonts w:ascii="Arial" w:cs="Arial" w:eastAsia="Arial" w:hAnsi="Arial"/>
                <w:sz w:val="18"/>
                <w:szCs w:val="18"/>
                <w:color w:val="auto"/>
                <w:w w:val="98"/>
              </w:rPr>
              <w:t>65,402</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73,832</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-3481070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-3206750</wp:posOffset>
            </wp:positionV>
            <wp:extent cx="72466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-2795270</wp:posOffset>
            </wp:positionV>
            <wp:extent cx="72466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-2486660</wp:posOffset>
            </wp:positionV>
            <wp:extent cx="7246620" cy="2487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4872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360"/>
            <w:col w:w="5780"/>
          </w:cols>
          <w:pgMar w:left="240" w:top="567" w:right="279" w:bottom="1440"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Fiscal Year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(loss) income</w:t>
            </w:r>
          </w:p>
        </w:tc>
        <w:tc>
          <w:tcPr>
            <w:tcW w:w="460" w:type="dxa"/>
            <w:vAlign w:val="bottom"/>
            <w:gridSpan w:val="2"/>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(17,062)</w:t>
            </w:r>
          </w:p>
        </w:tc>
        <w:tc>
          <w:tcPr>
            <w:tcW w:w="2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w w:val="92"/>
              </w:rPr>
              <w:t>Adjustments to reconcile net (loss) income to net cash provided by operating activities: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24,232</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26,976</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Losses from investment in affiliate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Impairment of store assets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924</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(2,437)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1,259</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Excess tax benefit from share-based payments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4,818</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Trade credit utilization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440"/>
              <w:spacing w:after="0"/>
              <w:rPr>
                <w:sz w:val="20"/>
                <w:szCs w:val="20"/>
                <w:color w:val="auto"/>
              </w:rPr>
            </w:pPr>
            <w:r>
              <w:rPr>
                <w:rFonts w:ascii="Arial" w:cs="Arial" w:eastAsia="Arial" w:hAnsi="Arial"/>
                <w:sz w:val="18"/>
                <w:szCs w:val="18"/>
                <w:color w:val="auto"/>
              </w:rPr>
              <w:t>Change in assets and liabilities: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(7,030)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68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(1,803)</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6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691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7,084</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680"/>
              <w:spacing w:after="0"/>
              <w:rPr>
                <w:sz w:val="20"/>
                <w:szCs w:val="20"/>
                <w:color w:val="auto"/>
              </w:rPr>
            </w:pPr>
            <w:r>
              <w:rPr>
                <w:rFonts w:ascii="Arial" w:cs="Arial" w:eastAsia="Arial" w:hAnsi="Arial"/>
                <w:sz w:val="18"/>
                <w:szCs w:val="18"/>
                <w:color w:val="auto"/>
              </w:rPr>
              <w:t>Lease related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(5,983)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680"/>
              <w:spacing w:after="0"/>
              <w:rPr>
                <w:sz w:val="20"/>
                <w:szCs w:val="20"/>
                <w:color w:val="auto"/>
              </w:rPr>
            </w:pPr>
            <w:r>
              <w:rPr>
                <w:rFonts w:ascii="Arial" w:cs="Arial" w:eastAsia="Arial" w:hAnsi="Arial"/>
                <w:sz w:val="18"/>
                <w:szCs w:val="18"/>
                <w:color w:val="auto"/>
              </w:rPr>
              <w:t>Gift cards and customer deposits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6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(2,224)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0FFFF"/>
          </w:tcPr>
          <w:p>
            <w:pPr>
              <w:ind w:left="9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0FFFF"/>
          </w:tcPr>
          <w:p>
            <w:pPr>
              <w:spacing w:after="0"/>
              <w:rPr>
                <w:sz w:val="19"/>
                <w:szCs w:val="19"/>
                <w:color w:val="auto"/>
              </w:rPr>
            </w:pPr>
          </w:p>
        </w:tc>
        <w:tc>
          <w:tcPr>
            <w:tcW w:w="300" w:type="dxa"/>
            <w:vAlign w:val="bottom"/>
            <w:shd w:val="clear" w:color="auto" w:fill="C0FFFF"/>
          </w:tcPr>
          <w:p>
            <w:pPr>
              <w:spacing w:after="0"/>
              <w:rPr>
                <w:sz w:val="19"/>
                <w:szCs w:val="19"/>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16,010</w:t>
            </w:r>
          </w:p>
        </w:tc>
        <w:tc>
          <w:tcPr>
            <w:tcW w:w="14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22,021</w:t>
            </w:r>
          </w:p>
        </w:tc>
        <w:tc>
          <w:tcPr>
            <w:tcW w:w="300" w:type="dxa"/>
            <w:vAlign w:val="bottom"/>
            <w:shd w:val="clear" w:color="auto" w:fill="C0FFFF"/>
          </w:tcPr>
          <w:p>
            <w:pPr>
              <w:spacing w:after="0"/>
              <w:rPr>
                <w:sz w:val="19"/>
                <w:szCs w:val="19"/>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Purchases of property and equipment, net</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(12,035)</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(14,086)</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Purchases of other assets and other intangible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Proceeds from sale or maturity of short term investments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Purchases of short term investments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Proceeds from sale of assets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883</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0FFFF"/>
          </w:tcPr>
          <w:p>
            <w:pPr>
              <w:ind w:left="900"/>
              <w:spacing w:after="0"/>
              <w:rPr>
                <w:sz w:val="20"/>
                <w:szCs w:val="20"/>
                <w:color w:val="auto"/>
              </w:rPr>
            </w:pPr>
            <w:r>
              <w:rPr>
                <w:rFonts w:ascii="Arial" w:cs="Arial" w:eastAsia="Arial" w:hAnsi="Arial"/>
                <w:sz w:val="18"/>
                <w:szCs w:val="18"/>
                <w:color w:val="auto"/>
              </w:rPr>
              <w:t>Cash flow used in investing activities</w:t>
            </w:r>
          </w:p>
        </w:tc>
        <w:tc>
          <w:tcPr>
            <w:tcW w:w="160" w:type="dxa"/>
            <w:vAlign w:val="bottom"/>
            <w:shd w:val="clear" w:color="auto" w:fill="C0FFFF"/>
          </w:tcPr>
          <w:p>
            <w:pPr>
              <w:spacing w:after="0"/>
              <w:rPr>
                <w:sz w:val="19"/>
                <w:szCs w:val="19"/>
                <w:color w:val="auto"/>
              </w:rPr>
            </w:pPr>
          </w:p>
        </w:tc>
        <w:tc>
          <w:tcPr>
            <w:tcW w:w="300" w:type="dxa"/>
            <w:vAlign w:val="bottom"/>
            <w:shd w:val="clear" w:color="auto" w:fill="C0FFFF"/>
          </w:tcPr>
          <w:p>
            <w:pPr>
              <w:spacing w:after="0"/>
              <w:rPr>
                <w:sz w:val="19"/>
                <w:szCs w:val="19"/>
                <w:color w:val="auto"/>
              </w:rPr>
            </w:pPr>
          </w:p>
        </w:tc>
        <w:tc>
          <w:tcPr>
            <w:tcW w:w="12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(13,318)</w:t>
            </w:r>
          </w:p>
        </w:tc>
        <w:tc>
          <w:tcPr>
            <w:tcW w:w="10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(13,766)</w:t>
            </w:r>
          </w:p>
        </w:tc>
        <w:tc>
          <w:tcPr>
            <w:tcW w:w="300" w:type="dxa"/>
            <w:vAlign w:val="bottom"/>
            <w:shd w:val="clear" w:color="auto" w:fill="C0FFFF"/>
          </w:tcPr>
          <w:p>
            <w:pPr>
              <w:spacing w:after="0"/>
              <w:rPr>
                <w:sz w:val="19"/>
                <w:szCs w:val="19"/>
                <w:color w:val="auto"/>
              </w:rPr>
            </w:pPr>
          </w:p>
        </w:tc>
        <w:tc>
          <w:tcPr>
            <w:tcW w:w="11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Exercise of employee stock options and employee stock purchases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Purchases of Company's common stock</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(7,274)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Excess tax benefit from share-based payments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900"/>
              <w:spacing w:after="0"/>
              <w:rPr>
                <w:sz w:val="20"/>
                <w:szCs w:val="20"/>
                <w:color w:val="auto"/>
              </w:rPr>
            </w:pPr>
            <w:r>
              <w:rPr>
                <w:rFonts w:ascii="Arial" w:cs="Arial" w:eastAsia="Arial" w:hAnsi="Arial"/>
                <w:sz w:val="18"/>
                <w:szCs w:val="18"/>
                <w:color w:val="auto"/>
              </w:rPr>
              <w:t>Cash flow used in financing activities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(7,216)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rates on cash</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(2,683)</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(1,644)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58,755</w:t>
            </w: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60,399</w:t>
            </w: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58,755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60,399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0FFFF"/>
          </w:tcPr>
          <w:p>
            <w:pPr>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Net received during the period for income taxes</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0FFFF"/>
          </w:tcPr>
          <w:p>
            <w:pPr>
              <w:spacing w:after="0"/>
              <w:rPr>
                <w:sz w:val="20"/>
                <w:szCs w:val="20"/>
                <w:color w:val="auto"/>
              </w:rPr>
            </w:pPr>
            <w:r>
              <w:rPr>
                <w:rFonts w:ascii="Arial" w:cs="Arial" w:eastAsia="Arial" w:hAnsi="Arial"/>
                <w:sz w:val="18"/>
                <w:szCs w:val="18"/>
                <w:color w:val="auto"/>
              </w:rPr>
              <w:t>Noncash Transactions:</w:t>
            </w:r>
          </w:p>
        </w:tc>
        <w:tc>
          <w:tcPr>
            <w:tcW w:w="1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Return of common stock in lieu of tax withholdings and option exercises</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Exchange of inventory for trade credits</w:t>
            </w:r>
          </w:p>
        </w:tc>
        <w:tc>
          <w:tcPr>
            <w:tcW w:w="160" w:type="dxa"/>
            <w:vAlign w:val="bottom"/>
            <w:shd w:val="clear" w:color="auto" w:fill="C0FFFF"/>
          </w:tcPr>
          <w:p>
            <w:pPr>
              <w:spacing w:after="0"/>
              <w:rPr>
                <w:sz w:val="20"/>
                <w:szCs w:val="20"/>
                <w:color w:val="auto"/>
              </w:rPr>
            </w:pPr>
          </w:p>
        </w:tc>
        <w:tc>
          <w:tcPr>
            <w:tcW w:w="30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4,867</w:t>
            </w:r>
          </w:p>
        </w:tc>
        <w:tc>
          <w:tcPr>
            <w:tcW w:w="300" w:type="dxa"/>
            <w:vAlign w:val="bottom"/>
            <w:shd w:val="clear" w:color="auto" w:fill="C0FF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8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Build-A-Bear Workshop, Inc. (the Company) is a specialty retailer of plush animals and related products. At December 31, 2011, the Company operated 346 stores located in the United States, Canada, Puerto Rico, the United Kingdom and Ireland. The Company was formed in September 1997 and began operations in October 1997. The Company changed to a Delaware C Corporation on April 3, 2000. The Company previously operated as a Missouri limited liability company.</w:t>
      </w:r>
    </w:p>
    <w:p>
      <w:pPr>
        <w:spacing w:after="0" w:line="241" w:lineRule="exact"/>
        <w:rPr>
          <w:sz w:val="20"/>
          <w:szCs w:val="20"/>
          <w:color w:val="auto"/>
        </w:rPr>
      </w:pPr>
    </w:p>
    <w:p>
      <w:pPr>
        <w:jc w:val="both"/>
        <w:ind w:right="480" w:firstLine="486"/>
        <w:spacing w:after="0" w:line="264" w:lineRule="auto"/>
        <w:rPr>
          <w:sz w:val="20"/>
          <w:szCs w:val="20"/>
          <w:color w:val="auto"/>
        </w:rPr>
      </w:pPr>
      <w:r>
        <w:rPr>
          <w:rFonts w:ascii="Arial" w:cs="Arial" w:eastAsia="Arial" w:hAnsi="Arial"/>
          <w:sz w:val="18"/>
          <w:szCs w:val="18"/>
          <w:color w:val="auto"/>
        </w:rPr>
        <w:t>During 2001, the Company and a third party formed Build-A-Bear Entertainment, LLC (BABE) for the purpose of promoting the Build-A-Bear Workshop brand and characters of the Company through certain entertainment media. Prior to February 2003, the Company owned 51% and was the managing member.</w:t>
      </w:r>
    </w:p>
    <w:p>
      <w:pPr>
        <w:spacing w:after="0" w:line="235"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During 2002, the Company formed Build-A-Bear Workshop Franchise Holdings, Inc. (Holdings) for the purpose of entering into franchise agreements with companies in foreign countries where Build-A-Bear Workshop, Inc. does not have company-owned stores. Holdings is a wholly-owned subsidiary of the Company. As of December 31, 2011, 79 Build-A-Bear Workshop franchise stores are open and operating in 14 countries.</w:t>
      </w:r>
    </w:p>
    <w:p>
      <w:pPr>
        <w:spacing w:after="0" w:line="220"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Also during 2002, the Company formed Build-A-Bear Workshop Canada Ltd. (BAB Canada) for the purpose of operating Build-A-Bear Workshop stores in Canada. BAB Canada is a wholly-owned subsidiary of the Company.</w:t>
      </w:r>
    </w:p>
    <w:p>
      <w:pPr>
        <w:spacing w:after="0" w:line="224"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color w:val="auto"/>
        </w:rPr>
        <w:t>During 2003, the Company formed Build-A-Bear Retail Management, Inc. (BABRM) for the purpose of providing purchasing, legal, information technology, accounting, and other general management services for Build-A-Bear Workshop stores. BABRM is a wholly-owned subsidiary of the Company. In February 2003, BABRM purchased the minority interest in BABE, which became a wholly-owned subsidiary.</w:t>
      </w:r>
    </w:p>
    <w:p>
      <w:pPr>
        <w:spacing w:after="0" w:line="22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April 2, 2006, the Company acquired all of the outstanding shares of The Bear Factory Limited, a stuffed animal retailer in the United Kingdom, and Amsbra Limited, its former United Kingdom franchisee (the UK Acquisition). During 2006, the Company formed Build-A-Bear Workshop UK Holdings, Ltd (UK Holdings) as the parent company to The Bear Factory and Amsbra. UK Holdings is a wholly-owned subsidiary of Holdings. The results of the acquisitions’ operations have been included in the consolidated financial statements since the date of acquisition. Also during 2006, the Company formed Build-A-Bear Workshop Ireland, Ltd. and Build-A-Bear Workshop France SAS as wholly-owned subsidiaries of Holdings. In 2010, all Company-owned stores in France were closed. The Company currently has 58 stores in the United Kingdom and Ireland.</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reclassifications of prior year amounts have been made to conform to current year presentation.</w:t>
      </w:r>
    </w:p>
    <w:p>
      <w:pPr>
        <w:spacing w:after="0" w:line="275" w:lineRule="exact"/>
        <w:rPr>
          <w:sz w:val="20"/>
          <w:szCs w:val="20"/>
          <w:color w:val="auto"/>
        </w:rPr>
      </w:pPr>
    </w:p>
    <w:p>
      <w:pPr>
        <w:ind w:left="500" w:hanging="447"/>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8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A summary of the Company’s significant accounting policies applied in the preparation of the accompanying consolidated financial statements follows:</w:t>
      </w:r>
    </w:p>
    <w:p>
      <w:pPr>
        <w:spacing w:after="0" w:line="224" w:lineRule="exact"/>
        <w:rPr>
          <w:sz w:val="20"/>
          <w:szCs w:val="20"/>
          <w:color w:val="auto"/>
        </w:rPr>
      </w:pPr>
    </w:p>
    <w:p>
      <w:pPr>
        <w:ind w:left="920" w:hanging="480"/>
        <w:spacing w:after="0"/>
        <w:tabs>
          <w:tab w:leader="none" w:pos="9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accompanying consolidated financial statements include the accounts of Build-A-Bear Workshop, Inc. and its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Holdings, BAB Canada, BABE, and BABRM. All significant intercompany accounts are eliminated in consolidation.</w:t>
      </w:r>
    </w:p>
    <w:p>
      <w:pPr>
        <w:spacing w:after="0" w:line="265" w:lineRule="exact"/>
        <w:rPr>
          <w:sz w:val="20"/>
          <w:szCs w:val="20"/>
          <w:color w:val="auto"/>
        </w:rPr>
      </w:pPr>
    </w:p>
    <w:p>
      <w:pPr>
        <w:ind w:left="920" w:hanging="480"/>
        <w:spacing w:after="0"/>
        <w:tabs>
          <w:tab w:leader="none" w:pos="9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Fiscal Year</w:t>
      </w:r>
    </w:p>
    <w:p>
      <w:pPr>
        <w:spacing w:after="0" w:line="279" w:lineRule="exact"/>
        <w:rPr>
          <w:sz w:val="20"/>
          <w:szCs w:val="20"/>
          <w:color w:val="auto"/>
        </w:rPr>
      </w:pPr>
    </w:p>
    <w:p>
      <w:pPr>
        <w:jc w:val="both"/>
        <w:ind w:right="440" w:firstLine="486"/>
        <w:spacing w:after="0" w:line="312" w:lineRule="auto"/>
        <w:rPr>
          <w:sz w:val="20"/>
          <w:szCs w:val="20"/>
          <w:color w:val="auto"/>
        </w:rPr>
      </w:pPr>
      <w:r>
        <w:rPr>
          <w:rFonts w:ascii="Arial" w:cs="Arial" w:eastAsia="Arial" w:hAnsi="Arial"/>
          <w:sz w:val="16"/>
          <w:szCs w:val="16"/>
          <w:color w:val="auto"/>
        </w:rPr>
        <w:t>The Company operates on a 52- or 53-week fiscal year ending on the Saturday closest to December 31. The periods presented in these financial statements are the fiscal years ended December 31, 2011 (fiscal 2011), January 1, 2011 (fiscal 2010) and January 2, 2010 (fiscal 2009). All fiscal years presented included 52 weeks. References to years in these financial statements relate to fiscal years or year ends rather than calendar years.</w:t>
      </w:r>
    </w:p>
    <w:p>
      <w:pPr>
        <w:spacing w:after="0" w:line="201" w:lineRule="exact"/>
        <w:rPr>
          <w:sz w:val="20"/>
          <w:szCs w:val="20"/>
          <w:color w:val="auto"/>
        </w:rPr>
      </w:pPr>
    </w:p>
    <w:p>
      <w:pPr>
        <w:ind w:left="920" w:hanging="480"/>
        <w:spacing w:after="0"/>
        <w:tabs>
          <w:tab w:leader="none" w:pos="9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Cash and cash equivalents include cash and short-term highly liquid investments with an original maturity of three months or less held in both domestic and foreign financial institutions.</w:t>
      </w:r>
    </w:p>
    <w:p>
      <w:pPr>
        <w:spacing w:after="0" w:line="224"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58" w:name="page59"/>
    <w:bookmarkEnd w:id="58"/>
    <w:p>
      <w:pPr>
        <w:ind w:left="920" w:hanging="480"/>
        <w:spacing w:after="0"/>
        <w:tabs>
          <w:tab w:leader="none" w:pos="9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on an average-cost basis. Inventory includes supplies of $3.7 million and $5.3 million as of December 31 and January 1, 2011, respectively.</w:t>
      </w:r>
    </w:p>
    <w:p>
      <w:pPr>
        <w:spacing w:after="0" w:line="170" w:lineRule="exact"/>
        <w:rPr>
          <w:sz w:val="20"/>
          <w:szCs w:val="20"/>
          <w:color w:val="auto"/>
        </w:rPr>
      </w:pPr>
    </w:p>
    <w:p>
      <w:pPr>
        <w:ind w:left="920" w:hanging="480"/>
        <w:spacing w:after="0"/>
        <w:tabs>
          <w:tab w:leader="none" w:pos="9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27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Receivables consist primarily of amounts due to the Company in relation to tenant allowances, corporate product sales, franchisee royalties and product sales, and licensing revenue. The Company assesses the collectability of all receivables on an ongoing basis by considering its historical credit loss experience, current economic conditions, and other relevant factors. Based on this analysis, the Company has determined that no material allowance for doubtful accounts was necessary at either December 31, 2011 or January 1, 2011.</w:t>
      </w:r>
    </w:p>
    <w:p>
      <w:pPr>
        <w:spacing w:after="0" w:line="241" w:lineRule="exact"/>
        <w:rPr>
          <w:sz w:val="20"/>
          <w:szCs w:val="20"/>
          <w:color w:val="auto"/>
        </w:rPr>
      </w:pPr>
    </w:p>
    <w:p>
      <w:pPr>
        <w:ind w:left="920" w:hanging="480"/>
        <w:spacing w:after="0"/>
        <w:tabs>
          <w:tab w:leader="none" w:pos="9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7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232" w:lineRule="exact"/>
        <w:rPr>
          <w:sz w:val="20"/>
          <w:szCs w:val="20"/>
          <w:color w:val="auto"/>
        </w:rPr>
      </w:pPr>
    </w:p>
    <w:p>
      <w:pPr>
        <w:ind w:left="920" w:hanging="480"/>
        <w:spacing w:after="0"/>
        <w:tabs>
          <w:tab w:leader="none" w:pos="9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Goodwill is tested for impairment annually or more frequently if events or changes in circumstances indicate that the asset might be impaired. This testing requires comparison of the carrying value of the reporting unit to its fair value, and when appropriate, the carrying value of impaired assets is reduced to fair value. The calculation of fair value requires multiple assumptions regarding our future operations to determine future cash flows, including but not limited to, sales volume, margin rates, store growth rates and discount rates. Based on the annual impairment test performed for the Company’s UK reporting unit as of December 31, 2011, the Company has determined that there was no impairment of goodwill in 2011. If the assumptions used in the analysis were less favorable, it is possible that the Company may have been required to impair goodwill.</w:t>
      </w:r>
    </w:p>
    <w:p>
      <w:pPr>
        <w:spacing w:after="0" w:line="233" w:lineRule="exact"/>
        <w:rPr>
          <w:sz w:val="20"/>
          <w:szCs w:val="20"/>
          <w:color w:val="auto"/>
        </w:rPr>
      </w:pPr>
    </w:p>
    <w:p>
      <w:pPr>
        <w:ind w:left="920" w:hanging="480"/>
        <w:spacing w:after="0"/>
        <w:tabs>
          <w:tab w:leader="none" w:pos="9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Intangible Assets</w:t>
      </w:r>
    </w:p>
    <w:p>
      <w:pPr>
        <w:spacing w:after="0" w:line="279"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Other intangible assets consist primarily of initial costs related to trademarks and other intellectual property and key money deposits. Trademarks and other intellectual property represent third-party costs that are capitalized and amortized over their estimated lives ranging from one to three years using the straight-line method. Key money deposits represent amounts paid to a tenant to acquire the rights of tenancy under a commercial property lease for a property located in France. These rights can be subsequently sold by us to a new tenant. All key money deposits were sold in 2010.</w:t>
      </w:r>
    </w:p>
    <w:p>
      <w:pPr>
        <w:spacing w:after="0" w:line="208" w:lineRule="exact"/>
        <w:rPr>
          <w:sz w:val="20"/>
          <w:szCs w:val="20"/>
          <w:color w:val="auto"/>
        </w:rPr>
      </w:pPr>
    </w:p>
    <w:p>
      <w:pPr>
        <w:ind w:left="920" w:hanging="480"/>
        <w:spacing w:after="0"/>
        <w:tabs>
          <w:tab w:leader="none" w:pos="9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w:t>
      </w:r>
    </w:p>
    <w:p>
      <w:pPr>
        <w:spacing w:after="0" w:line="27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Other assets consist primarily of deferred leasing fees and deferred costs related to franchise agreements.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 $0.5 million, $0.7 million and $0.5 million for 2011, 2010 and 2009, respectively.</w:t>
      </w:r>
    </w:p>
    <w:p>
      <w:pPr>
        <w:spacing w:after="0" w:line="241" w:lineRule="exact"/>
        <w:rPr>
          <w:sz w:val="20"/>
          <w:szCs w:val="20"/>
          <w:color w:val="auto"/>
        </w:rPr>
      </w:pPr>
    </w:p>
    <w:p>
      <w:pPr>
        <w:ind w:left="920" w:hanging="480"/>
        <w:spacing w:after="0"/>
        <w:tabs>
          <w:tab w:leader="none" w:pos="9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Long-lived Assets</w:t>
      </w:r>
    </w:p>
    <w:p>
      <w:pPr>
        <w:spacing w:after="0" w:line="27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See Note 4 – Property and Equipment and Note 6 – Other Intangible Assets for further discussion regarding the impairment of long-lived assets.</w:t>
      </w:r>
    </w:p>
    <w:p>
      <w:pPr>
        <w:spacing w:after="0" w:line="24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235" w:lineRule="exact"/>
        <w:rPr>
          <w:sz w:val="20"/>
          <w:szCs w:val="20"/>
          <w:color w:val="auto"/>
        </w:rPr>
      </w:pPr>
    </w:p>
    <w:p>
      <w:pPr>
        <w:ind w:left="920" w:hanging="480"/>
        <w:spacing w:after="0"/>
        <w:tabs>
          <w:tab w:leader="none" w:pos="9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27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1" w:right="279" w:bottom="410" w:gutter="0" w:footer="0" w:header="0"/>
        </w:sectPr>
      </w:pPr>
    </w:p>
    <w:bookmarkStart w:id="59" w:name="page60"/>
    <w:bookmarkEnd w:id="59"/>
    <w:p>
      <w:pPr>
        <w:ind w:left="920" w:hanging="480"/>
        <w:spacing w:after="0"/>
        <w:tabs>
          <w:tab w:leader="none" w:pos="9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Franchises</w:t>
      </w:r>
    </w:p>
    <w:p>
      <w:pPr>
        <w:spacing w:after="0" w:line="279" w:lineRule="exact"/>
        <w:rPr>
          <w:sz w:val="20"/>
          <w:szCs w:val="20"/>
          <w:color w:val="auto"/>
        </w:rPr>
      </w:pPr>
    </w:p>
    <w:p>
      <w:pPr>
        <w:ind w:right="220" w:firstLine="486"/>
        <w:spacing w:after="0" w:line="312" w:lineRule="auto"/>
        <w:rPr>
          <w:sz w:val="20"/>
          <w:szCs w:val="20"/>
          <w:color w:val="auto"/>
        </w:rPr>
      </w:pPr>
      <w:r>
        <w:rPr>
          <w:rFonts w:ascii="Arial" w:cs="Arial" w:eastAsia="Arial" w:hAnsi="Arial"/>
          <w:sz w:val="16"/>
          <w:szCs w:val="16"/>
          <w:color w:val="auto"/>
        </w:rPr>
        <w:t>The Company defers initial, one-time nonrefundable franchise fees and amortizes them over the life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201" w:lineRule="exact"/>
        <w:rPr>
          <w:sz w:val="20"/>
          <w:szCs w:val="20"/>
          <w:color w:val="auto"/>
        </w:rPr>
      </w:pPr>
    </w:p>
    <w:p>
      <w:pPr>
        <w:ind w:left="920" w:hanging="480"/>
        <w:spacing w:after="0"/>
        <w:tabs>
          <w:tab w:leader="none" w:pos="92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Retail Revenue Recognition</w:t>
      </w:r>
    </w:p>
    <w:p>
      <w:pPr>
        <w:spacing w:after="0" w:line="279"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Net retail sales are net of discounts, exclude sales tax, and are recognized at the time of sale. Shipping and handling costs billed to customers are included in net retail sales.</w:t>
      </w:r>
    </w:p>
    <w:p>
      <w:pPr>
        <w:spacing w:after="0" w:line="224"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Revenues from the sale of gift cards are recognized at the time of redemption. Unredeemed gift cards are included in gift cards and customer deposits on the consolidated balance sheets. The company escheats a portion of unredeemed gift cards according to the escheatment regulations of the relevant authority that generally require remittance of the cost of merchandise portion of unredeemed gift cards over five years old. The difference between the value of gift cards and the amount escheated is recorded as income in the consolidated statement of operations.</w:t>
      </w:r>
    </w:p>
    <w:p>
      <w:pPr>
        <w:spacing w:after="0" w:line="225"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The Company has a customer loyalty program in North America, the Stuff Fur Stuff club, whereby guests enroll in the program and receive one point for every dollar or partial dollar spent and after reaching 100 points receive a $10 discount on a future purchase. An estimate of the obligation related to the program, based on historical redemption patterns, is recorded as deferred revenue and a reduction of net retail sales. The deferred revenue obligation is reduced, and a corresponding amount is recognized in net retail sales, in the amount of and at the time of redemption of the $10 certificate.</w:t>
      </w:r>
    </w:p>
    <w:p>
      <w:pPr>
        <w:spacing w:after="0" w:line="20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Throughout fiscal 2010, the Company continued to use the deferral rate established at the end of fiscal 2008 to estimate the appropriate amount of revenue to defer and thereby the related liability. This rate, which was based on actual redemption rates and historical results, was applied to eligible purchases of Stuff Fur Stuff Club members at the time of the transaction. For the December 31, 2011 and January 1, 2011 balance sheets, historical rates for points converting into certificates and ultimate certificate redemption were applied to actual points and certificates outstanding at the respective balance sheet date to calculate the liability and corresponding adjustment to net retail sales. Management reviews these patterns and assesses the adequacy of the deferred revenue liability at the end of each fiscal quarter. Due to the estimates involved in these assessments, adjustments to the historical rates are generally made no more often than annually in order to allow time for more definite trends to emerge.</w:t>
      </w:r>
    </w:p>
    <w:p>
      <w:pPr>
        <w:spacing w:after="0" w:line="23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Based on the assessment at the end of 2011, the deferred revenue liability was adjusted downward by $1.5 million, with a corresponding increase to net retail sales, and a $0.9 million increase in net income.</w:t>
      </w:r>
    </w:p>
    <w:p>
      <w:pPr>
        <w:spacing w:after="0" w:line="22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Based on the assessment at the end of 2010, the deferred revenue liability was adjusted downward by $4.3 million, with a corresponding increase to net retail sales, and a $2.6 million increase in net income.</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Based on the assessment at the end of fiscal 2009, no adjustment was made to the deferral rate.</w:t>
      </w:r>
    </w:p>
    <w:p>
      <w:pPr>
        <w:spacing w:after="0" w:line="279" w:lineRule="exact"/>
        <w:rPr>
          <w:sz w:val="20"/>
          <w:szCs w:val="20"/>
          <w:color w:val="auto"/>
        </w:rPr>
      </w:pPr>
    </w:p>
    <w:p>
      <w:pPr>
        <w:ind w:left="920" w:hanging="480"/>
        <w:spacing w:after="0"/>
        <w:tabs>
          <w:tab w:leader="none" w:pos="9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Merchandise Sold</w:t>
      </w:r>
    </w:p>
    <w:p>
      <w:pPr>
        <w:spacing w:after="0" w:line="279"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Cost of merchandise sold includes the cost of the merchandise, including royalties paid to licensors of third party branded merchandise; store occupancy cost, including store depreciation and store asset impairment charges; cost of warehousing and distribution; packaging; stuffing; damages and shortages; and shipping and handling costs incurred in shipment to customers.</w:t>
      </w:r>
    </w:p>
    <w:p>
      <w:pPr>
        <w:spacing w:after="0" w:line="235" w:lineRule="exact"/>
        <w:rPr>
          <w:sz w:val="20"/>
          <w:szCs w:val="20"/>
          <w:color w:val="auto"/>
        </w:rPr>
      </w:pPr>
    </w:p>
    <w:p>
      <w:pPr>
        <w:ind w:left="920" w:hanging="480"/>
        <w:spacing w:after="0"/>
        <w:tabs>
          <w:tab w:leader="none" w:pos="9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General, and Administrative Expenses</w:t>
      </w:r>
    </w:p>
    <w:p>
      <w:pPr>
        <w:spacing w:after="0" w:line="2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241" w:lineRule="exact"/>
        <w:rPr>
          <w:sz w:val="20"/>
          <w:szCs w:val="20"/>
          <w:color w:val="auto"/>
        </w:rPr>
      </w:pPr>
    </w:p>
    <w:p>
      <w:pPr>
        <w:ind w:left="920" w:hanging="480"/>
        <w:spacing w:after="0"/>
        <w:tabs>
          <w:tab w:leader="none" w:pos="9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Store Preopening Expenses</w:t>
      </w:r>
    </w:p>
    <w:p>
      <w:pPr>
        <w:spacing w:after="0" w:line="27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Store preopening expenses, including store set-up, certain labor and hiring costs, and rental charges incurred prior to store openings are expensed as incurred.</w:t>
      </w:r>
    </w:p>
    <w:p>
      <w:pPr>
        <w:spacing w:after="0" w:line="224" w:lineRule="exact"/>
        <w:rPr>
          <w:sz w:val="20"/>
          <w:szCs w:val="20"/>
          <w:color w:val="auto"/>
        </w:rPr>
      </w:pPr>
    </w:p>
    <w:p>
      <w:pPr>
        <w:ind w:left="920" w:hanging="480"/>
        <w:spacing w:after="0"/>
        <w:tabs>
          <w:tab w:leader="none" w:pos="9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w:t>
      </w:r>
    </w:p>
    <w:p>
      <w:pPr>
        <w:spacing w:after="0" w:line="27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$19.3 million, $18.5 million and $24.4 million for fiscal years 2011, 2010 and 2009,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0" w:name="page61"/>
    <w:bookmarkEnd w:id="60"/>
    <w:p>
      <w:pPr>
        <w:ind w:left="920" w:hanging="480"/>
        <w:spacing w:after="0"/>
        <w:tabs>
          <w:tab w:leader="none" w:pos="9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Income taxes are accounted for using a balance sheet approach known as the asset and liability method. The asset and liability method accounts for deferred income taxes by applying the statutory tax rates in effect at the date of the consolidated balance sheets to differences between the book basis and the tax basis of assets and liabilities. The noncurrent deferred tax is reported on a jurisdictional basis. Accordingly, noncurrent deferred tax assets are included in other assets, net and noncurrent deferred tax liabilities are included in other liabilities.</w:t>
      </w:r>
    </w:p>
    <w:p>
      <w:pPr>
        <w:spacing w:after="0" w:line="24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225" w:lineRule="exact"/>
        <w:rPr>
          <w:sz w:val="20"/>
          <w:szCs w:val="20"/>
          <w:color w:val="auto"/>
        </w:rPr>
      </w:pPr>
    </w:p>
    <w:p>
      <w:pPr>
        <w:ind w:right="560" w:firstLine="486"/>
        <w:spacing w:after="0" w:line="342" w:lineRule="auto"/>
        <w:rPr>
          <w:sz w:val="20"/>
          <w:szCs w:val="20"/>
          <w:color w:val="auto"/>
        </w:rPr>
      </w:pPr>
      <w:r>
        <w:rPr>
          <w:rFonts w:ascii="Arial" w:cs="Arial" w:eastAsia="Arial" w:hAnsi="Arial"/>
          <w:sz w:val="16"/>
          <w:szCs w:val="16"/>
          <w:color w:val="auto"/>
        </w:rPr>
        <w:t>The Company accounts for its total liability for uncertain tax positions according to the provisions of ASC section 740-10-25. The Company recognizes estimated interest and penalties related to uncertain tax positions in income tax expense. See Note 9—Income Taxes for further discussion.</w:t>
      </w:r>
    </w:p>
    <w:p>
      <w:pPr>
        <w:spacing w:after="0" w:line="178" w:lineRule="exact"/>
        <w:rPr>
          <w:sz w:val="20"/>
          <w:szCs w:val="20"/>
          <w:color w:val="auto"/>
        </w:rPr>
      </w:pPr>
    </w:p>
    <w:p>
      <w:pPr>
        <w:ind w:left="920" w:hanging="480"/>
        <w:spacing w:after="0"/>
        <w:tabs>
          <w:tab w:leader="none" w:pos="9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(Loss) Per Share</w:t>
      </w:r>
    </w:p>
    <w:p>
      <w:pPr>
        <w:spacing w:after="0" w:line="27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Under the two-class method, basic earnings (loss) per share is determined by dividing net income or loss allocated to common stockholders by the weighted average number of common shares outstanding during the period. Diluted earnings or loss per share reflects the potential dilution that could occur if options to issue common stock were exercised. In periods in which the inclusion of such instruments is anti-dilutive, the effect of such securities is not given consideration.</w:t>
      </w:r>
    </w:p>
    <w:p>
      <w:pPr>
        <w:spacing w:after="0" w:line="241" w:lineRule="exact"/>
        <w:rPr>
          <w:sz w:val="20"/>
          <w:szCs w:val="20"/>
          <w:color w:val="auto"/>
        </w:rPr>
      </w:pPr>
    </w:p>
    <w:p>
      <w:pPr>
        <w:ind w:left="920" w:hanging="480"/>
        <w:spacing w:after="0"/>
        <w:tabs>
          <w:tab w:leader="none" w:pos="9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Company has share-based compensation plans covering the majority of its management groups and its Board of Directors. The Company accounts for share-based payments utilizing the fair value recognition provisions of ASC section 718. The Company recognizes compensation cost for equity awards on a straight-line basis over the requisite service period for the entire award. See Note 13 – Stock Incentive Plans.</w:t>
      </w:r>
    </w:p>
    <w:p>
      <w:pPr>
        <w:spacing w:after="0" w:line="220"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For fiscal 2011, 2010 and 2009, selling, general and administrative expense includes $4.6 million, $4.8 million and $4.3 million, respectively, of stock-based compensation expense. As of December 31, 2011, there was $6.5 million of total unrecognized compensation expense related to nonvested restricted stock awards and options which is expected to be recognized over a weighted-average period of 1.6 years.</w:t>
      </w:r>
    </w:p>
    <w:p>
      <w:pPr>
        <w:spacing w:after="0" w:line="220" w:lineRule="exact"/>
        <w:rPr>
          <w:sz w:val="20"/>
          <w:szCs w:val="20"/>
          <w:color w:val="auto"/>
        </w:rPr>
      </w:pPr>
    </w:p>
    <w:p>
      <w:pPr>
        <w:ind w:left="920" w:hanging="480"/>
        <w:spacing w:after="0"/>
        <w:tabs>
          <w:tab w:leader="none" w:pos="9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Income (Loss)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Comprehensive income (loss) is comprised of net income or loss and foreign currency translation adjustments.</w:t>
      </w:r>
    </w:p>
    <w:p>
      <w:pPr>
        <w:spacing w:after="0" w:line="279" w:lineRule="exact"/>
        <w:rPr>
          <w:sz w:val="20"/>
          <w:szCs w:val="20"/>
          <w:color w:val="auto"/>
        </w:rPr>
      </w:pPr>
    </w:p>
    <w:p>
      <w:pPr>
        <w:ind w:left="920" w:hanging="480"/>
        <w:spacing w:after="0"/>
        <w:tabs>
          <w:tab w:leader="none" w:pos="92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79"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For purposes of financial reporting, management has determined that the fair value of financial instruments, including cash and cash equivalents, receivables, accounts payable and accrued expenses, approximates book value at December 31, 2011 and January 1, 2011.</w:t>
      </w:r>
    </w:p>
    <w:p>
      <w:pPr>
        <w:spacing w:after="0" w:line="201" w:lineRule="exact"/>
        <w:rPr>
          <w:sz w:val="20"/>
          <w:szCs w:val="20"/>
          <w:color w:val="auto"/>
        </w:rPr>
      </w:pPr>
    </w:p>
    <w:p>
      <w:pPr>
        <w:ind w:left="920" w:hanging="480"/>
        <w:spacing w:after="0"/>
        <w:tabs>
          <w:tab w:leader="none" w:pos="92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w:t>
      </w:r>
    </w:p>
    <w:p>
      <w:pPr>
        <w:spacing w:after="0" w:line="2"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significantly. Significant items subject to such estimates and assumptions include the valuation of long-lived assets, including goodwill, trade credits and deferred income tax assets, inventories, and the determination of deferred revenue under the Company’s customer loyalty program.</w:t>
      </w:r>
    </w:p>
    <w:p>
      <w:pPr>
        <w:spacing w:after="0" w:line="216" w:lineRule="exact"/>
        <w:rPr>
          <w:sz w:val="20"/>
          <w:szCs w:val="20"/>
          <w:color w:val="auto"/>
        </w:rPr>
      </w:pPr>
    </w:p>
    <w:p>
      <w:pPr>
        <w:ind w:left="920" w:hanging="480"/>
        <w:spacing w:after="0"/>
        <w:tabs>
          <w:tab w:leader="none" w:pos="9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Tax Policy</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79" w:lineRule="exact"/>
        <w:rPr>
          <w:sz w:val="20"/>
          <w:szCs w:val="20"/>
          <w:color w:val="auto"/>
        </w:rPr>
      </w:pPr>
    </w:p>
    <w:p>
      <w:pPr>
        <w:ind w:left="920" w:hanging="480"/>
        <w:spacing w:after="0"/>
        <w:tabs>
          <w:tab w:leader="none" w:pos="92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79"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years. Translation adjustments are reported in accumulated other comprehensive income, a separate component of stockholders’ equity.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Assets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18"/>
                <w:szCs w:val="18"/>
                <w:color w:val="auto"/>
              </w:rPr>
            </w:pPr>
          </w:p>
        </w:tc>
        <w:tc>
          <w:tcPr>
            <w:tcW w:w="2260" w:type="dxa"/>
            <w:vAlign w:val="bottom"/>
            <w:gridSpan w:val="3"/>
          </w:tcPr>
          <w:p>
            <w:pPr>
              <w:ind w:left="4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4"/>
              </w:rPr>
              <w:t>2011</w:t>
            </w:r>
          </w:p>
        </w:tc>
        <w:tc>
          <w:tcPr>
            <w:tcW w:w="10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4"/>
              </w:rPr>
              <w:t>2011</w:t>
            </w:r>
          </w:p>
        </w:tc>
        <w:tc>
          <w:tcPr>
            <w:tcW w:w="5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0FFFF"/>
          </w:tcPr>
          <w:p>
            <w:pPr>
              <w:spacing w:after="0"/>
              <w:rPr>
                <w:sz w:val="20"/>
                <w:szCs w:val="20"/>
                <w:color w:val="auto"/>
              </w:rPr>
            </w:pPr>
            <w:r>
              <w:rPr>
                <w:rFonts w:ascii="Arial" w:cs="Arial" w:eastAsia="Arial" w:hAnsi="Arial"/>
                <w:sz w:val="18"/>
                <w:szCs w:val="18"/>
                <w:color w:val="auto"/>
              </w:rPr>
              <w:t>Prepaid rent</w:t>
            </w:r>
          </w:p>
        </w:tc>
        <w:tc>
          <w:tcPr>
            <w:tcW w:w="6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7,745</w:t>
            </w:r>
          </w:p>
        </w:tc>
        <w:tc>
          <w:tcPr>
            <w:tcW w:w="17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7,959</w:t>
            </w:r>
          </w:p>
        </w:tc>
        <w:tc>
          <w:tcPr>
            <w:tcW w:w="54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Prepaid income taxes</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1,970</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2,458</w:t>
            </w:r>
          </w:p>
        </w:tc>
        <w:tc>
          <w:tcPr>
            <w:tcW w:w="5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C0FFFF"/>
          </w:tcPr>
          <w:p>
            <w:pPr>
              <w:spacing w:after="0"/>
              <w:rPr>
                <w:sz w:val="19"/>
                <w:szCs w:val="19"/>
                <w:color w:val="auto"/>
              </w:rPr>
            </w:pP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8,139</w:t>
            </w:r>
          </w:p>
        </w:tc>
        <w:tc>
          <w:tcPr>
            <w:tcW w:w="1080" w:type="dxa"/>
            <w:vAlign w:val="bottom"/>
            <w:tcBorders>
              <w:bottom w:val="single" w:sz="8" w:color="C0FFFF"/>
            </w:tcBorders>
            <w:shd w:val="clear" w:color="auto" w:fill="C0FFFF"/>
          </w:tcPr>
          <w:p>
            <w:pPr>
              <w:spacing w:after="0"/>
              <w:rPr>
                <w:sz w:val="19"/>
                <w:szCs w:val="19"/>
                <w:color w:val="auto"/>
              </w:rPr>
            </w:pPr>
          </w:p>
        </w:tc>
        <w:tc>
          <w:tcPr>
            <w:tcW w:w="620" w:type="dxa"/>
            <w:vAlign w:val="bottom"/>
            <w:tcBorders>
              <w:bottom w:val="single" w:sz="8" w:color="auto"/>
            </w:tcBorders>
            <w:shd w:val="clear" w:color="auto" w:fill="C0FFFF"/>
          </w:tcPr>
          <w:p>
            <w:pPr>
              <w:spacing w:after="0"/>
              <w:rPr>
                <w:sz w:val="19"/>
                <w:szCs w:val="19"/>
                <w:color w:val="auto"/>
              </w:rPr>
            </w:pP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8,008</w:t>
            </w:r>
          </w:p>
        </w:tc>
        <w:tc>
          <w:tcPr>
            <w:tcW w:w="54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18,425</w:t>
            </w:r>
          </w:p>
        </w:tc>
        <w:tc>
          <w:tcPr>
            <w:tcW w:w="5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2,261</w:t>
            </w:r>
          </w:p>
        </w:tc>
        <w:tc>
          <w:tcPr>
            <w:tcW w:w="3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2,261</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41,819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Computer hardware</w:t>
            </w:r>
          </w:p>
        </w:tc>
        <w:tc>
          <w:tcPr>
            <w:tcW w:w="140" w:type="dxa"/>
            <w:vAlign w:val="bottom"/>
            <w:shd w:val="clear" w:color="auto" w:fill="C0FFFF"/>
          </w:tcPr>
          <w:p>
            <w:pPr>
              <w:spacing w:after="0"/>
              <w:rPr>
                <w:sz w:val="18"/>
                <w:szCs w:val="18"/>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20,705</w:t>
            </w:r>
          </w:p>
        </w:tc>
        <w:tc>
          <w:tcPr>
            <w:tcW w:w="1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23,672</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Building</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0FFFF"/>
          </w:tcPr>
          <w:p>
            <w:pPr>
              <w:spacing w:after="0"/>
              <w:rPr>
                <w:sz w:val="18"/>
                <w:szCs w:val="18"/>
                <w:color w:val="auto"/>
              </w:rPr>
            </w:pP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137,352</w:t>
            </w:r>
          </w:p>
        </w:tc>
        <w:tc>
          <w:tcPr>
            <w:tcW w:w="1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137,335</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Computer software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29,660</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0FFFF"/>
          </w:tcPr>
          <w:p>
            <w:pPr>
              <w:spacing w:after="0"/>
              <w:rPr>
                <w:sz w:val="19"/>
                <w:szCs w:val="19"/>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2,543</w:t>
            </w:r>
          </w:p>
        </w:tc>
        <w:tc>
          <w:tcPr>
            <w:tcW w:w="160" w:type="dxa"/>
            <w:vAlign w:val="bottom"/>
            <w:tcBorders>
              <w:bottom w:val="single" w:sz="8" w:color="C0FFFF"/>
            </w:tcBorders>
            <w:shd w:val="clear" w:color="auto" w:fill="C0FFFF"/>
          </w:tcPr>
          <w:p>
            <w:pPr>
              <w:spacing w:after="0"/>
              <w:rPr>
                <w:sz w:val="19"/>
                <w:szCs w:val="19"/>
                <w:color w:val="auto"/>
              </w:rPr>
            </w:pPr>
          </w:p>
        </w:tc>
        <w:tc>
          <w:tcPr>
            <w:tcW w:w="180" w:type="dxa"/>
            <w:vAlign w:val="bottom"/>
            <w:tcBorders>
              <w:bottom w:val="single" w:sz="8" w:color="auto"/>
            </w:tcBorders>
            <w:shd w:val="clear" w:color="auto" w:fill="C0FFFF"/>
          </w:tcPr>
          <w:p>
            <w:pPr>
              <w:spacing w:after="0"/>
              <w:rPr>
                <w:sz w:val="19"/>
                <w:szCs w:val="19"/>
                <w:color w:val="auto"/>
              </w:rPr>
            </w:pPr>
          </w:p>
        </w:tc>
        <w:tc>
          <w:tcPr>
            <w:tcW w:w="11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1,918</w:t>
            </w:r>
          </w:p>
        </w:tc>
        <w:tc>
          <w:tcPr>
            <w:tcW w:w="8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252,463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251,635</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0FFFF"/>
          </w:tcPr>
          <w:p>
            <w:pPr>
              <w:spacing w:after="0"/>
              <w:rPr>
                <w:sz w:val="19"/>
                <w:szCs w:val="19"/>
                <w:color w:val="auto"/>
              </w:rPr>
            </w:pP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175,018</w:t>
            </w:r>
          </w:p>
        </w:tc>
        <w:tc>
          <w:tcPr>
            <w:tcW w:w="160" w:type="dxa"/>
            <w:vAlign w:val="bottom"/>
            <w:tcBorders>
              <w:bottom w:val="single" w:sz="8" w:color="C0FFFF"/>
            </w:tcBorders>
            <w:shd w:val="clear" w:color="auto" w:fill="C0FFFF"/>
          </w:tcPr>
          <w:p>
            <w:pPr>
              <w:spacing w:after="0"/>
              <w:rPr>
                <w:sz w:val="19"/>
                <w:szCs w:val="19"/>
                <w:color w:val="auto"/>
              </w:rPr>
            </w:pPr>
          </w:p>
        </w:tc>
        <w:tc>
          <w:tcPr>
            <w:tcW w:w="180" w:type="dxa"/>
            <w:vAlign w:val="bottom"/>
            <w:tcBorders>
              <w:bottom w:val="single" w:sz="8" w:color="auto"/>
            </w:tcBorders>
            <w:shd w:val="clear" w:color="auto" w:fill="C0FFFF"/>
          </w:tcPr>
          <w:p>
            <w:pPr>
              <w:spacing w:after="0"/>
              <w:rPr>
                <w:sz w:val="19"/>
                <w:szCs w:val="19"/>
                <w:color w:val="auto"/>
              </w:rPr>
            </w:pPr>
          </w:p>
        </w:tc>
        <w:tc>
          <w:tcPr>
            <w:tcW w:w="11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163,606</w:t>
            </w:r>
          </w:p>
        </w:tc>
        <w:tc>
          <w:tcPr>
            <w:tcW w:w="8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77,445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88,029</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2011, 2010 and 2009, depreciation expense was $22.8 million, $24.9 million and $26.7 million, respectively.</w:t>
      </w:r>
    </w:p>
    <w:p>
      <w:pPr>
        <w:spacing w:after="0" w:line="27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During 2011, the Company reviewed the operating performance and forecasts of future performance for the stores in its Retail segment. As a result of that review, it was determined that several stores would not be able to recover the carrying value of certain store leasehold improvements through expected undiscounted cash flows over the remaining life of the related assets. Accordingly, the carrying value of the assets was reduced to fair value, calculated as the net present value of estimated future cash flows for each asset group, and asset impairment charges of $0.4 million were recorded in the fourth quarter of fiscal 2011, which are included in cost of merchandise sold as a component of net loss before income taxes in the Retail segment. The inputs used to determine the fair value of the assets are Level 3 inputs as defined by ASC section 820-10. In the event that we decide to close any or all of these stores in the future, we may be required to record additional impairments, lease termination charges, severance charges and other charges. The Company recorded asset impairment charges of $0.6 million in the fourth quarter of fiscal 2010 and $3.3 million in the fourth quarter of fiscal 2009.</w:t>
      </w:r>
    </w:p>
    <w:p>
      <w:pPr>
        <w:spacing w:after="0" w:line="21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8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Goodwill is accounted for in accordance with ASC Section 350-20 and is reported as a component of the Company’s Retail segment. The following table summarizes the Company’s goodwill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January 2, 2010</w:t>
            </w:r>
          </w:p>
        </w:tc>
        <w:tc>
          <w:tcPr>
            <w:tcW w:w="2900" w:type="dxa"/>
            <w:vAlign w:val="bottom"/>
            <w:gridSpan w:val="2"/>
            <w:shd w:val="clear" w:color="auto" w:fill="C0FF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33,780</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January 1, 2011</w:t>
            </w:r>
          </w:p>
        </w:tc>
        <w:tc>
          <w:tcPr>
            <w:tcW w:w="2420" w:type="dxa"/>
            <w:vAlign w:val="bottom"/>
            <w:shd w:val="clear" w:color="auto" w:fill="C0FFFF"/>
          </w:tcPr>
          <w:p>
            <w:pPr>
              <w:spacing w:after="0"/>
              <w:rPr>
                <w:sz w:val="18"/>
                <w:szCs w:val="18"/>
                <w:color w:val="auto"/>
              </w:rPr>
            </w:pPr>
          </w:p>
        </w:tc>
        <w:tc>
          <w:tcPr>
            <w:tcW w:w="480" w:type="dxa"/>
            <w:vAlign w:val="bottom"/>
            <w:tcBorders>
              <w:top w:val="single" w:sz="8" w:color="auto"/>
            </w:tcBorders>
            <w:shd w:val="clear" w:color="auto" w:fill="C0FFFF"/>
          </w:tcPr>
          <w:p>
            <w:pPr>
              <w:spacing w:after="0"/>
              <w:rPr>
                <w:sz w:val="18"/>
                <w:szCs w:val="18"/>
                <w:color w:val="auto"/>
              </w:rPr>
            </w:pPr>
          </w:p>
        </w:tc>
        <w:tc>
          <w:tcPr>
            <w:tcW w:w="88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32,407</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60" w:type="dxa"/>
            <w:vAlign w:val="bottom"/>
            <w:shd w:val="clear" w:color="auto" w:fill="C0FFFF"/>
          </w:tcPr>
          <w:p>
            <w:pPr>
              <w:spacing w:after="0"/>
              <w:rPr>
                <w:sz w:val="20"/>
                <w:szCs w:val="20"/>
                <w:color w:val="auto"/>
              </w:rPr>
            </w:pPr>
            <w:r>
              <w:rPr>
                <w:rFonts w:ascii="Arial" w:cs="Arial" w:eastAsia="Arial" w:hAnsi="Arial"/>
                <w:sz w:val="18"/>
                <w:szCs w:val="18"/>
                <w:color w:val="auto"/>
              </w:rPr>
              <w:t>Balance as of December 31, 2011</w:t>
            </w:r>
          </w:p>
        </w:tc>
        <w:tc>
          <w:tcPr>
            <w:tcW w:w="2900" w:type="dxa"/>
            <w:vAlign w:val="bottom"/>
            <w:gridSpan w:val="2"/>
            <w:shd w:val="clear" w:color="auto" w:fill="C0FF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32,306</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0FFFF"/>
            </w:tcBorders>
            <w:shd w:val="clear" w:color="auto" w:fill="C0FFFF"/>
          </w:tcPr>
          <w:p>
            <w:pPr>
              <w:spacing w:after="0" w:line="20" w:lineRule="exact"/>
              <w:rPr>
                <w:sz w:val="1"/>
                <w:szCs w:val="1"/>
                <w:color w:val="auto"/>
              </w:rPr>
            </w:pPr>
          </w:p>
        </w:tc>
        <w:tc>
          <w:tcPr>
            <w:tcW w:w="2420" w:type="dxa"/>
            <w:vAlign w:val="bottom"/>
            <w:tcBorders>
              <w:top w:val="single" w:sz="8" w:color="C0FFFF"/>
            </w:tcBorders>
            <w:shd w:val="clear" w:color="auto" w:fill="C0FF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tax-deductible goodwill as of December 31, 2011 or January 1, 2011.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(6)</w:t>
            </w:r>
          </w:p>
        </w:tc>
        <w:tc>
          <w:tcPr>
            <w:tcW w:w="6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Intangible Assets</w:t>
            </w: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6240" w:type="dxa"/>
            <w:vAlign w:val="bottom"/>
            <w:gridSpan w:val="2"/>
          </w:tcPr>
          <w:p>
            <w:pPr>
              <w:ind w:left="140"/>
              <w:spacing w:after="0"/>
              <w:rPr>
                <w:sz w:val="20"/>
                <w:szCs w:val="20"/>
                <w:color w:val="auto"/>
              </w:rPr>
            </w:pPr>
            <w:r>
              <w:rPr>
                <w:rFonts w:ascii="Arial" w:cs="Arial" w:eastAsia="Arial" w:hAnsi="Arial"/>
                <w:sz w:val="18"/>
                <w:szCs w:val="18"/>
                <w:color w:val="auto"/>
              </w:rPr>
              <w:t>Other intangible assets consist of the following (in thousands):</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Trademarks, customer relationships and other intellectual property</w:t>
            </w:r>
          </w:p>
        </w:tc>
        <w:tc>
          <w:tcPr>
            <w:tcW w:w="1560" w:type="dxa"/>
            <w:vAlign w:val="bottom"/>
            <w:gridSpan w:val="2"/>
            <w:shd w:val="clear" w:color="auto" w:fill="C0FFFF"/>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11,516</w:t>
            </w:r>
          </w:p>
        </w:tc>
        <w:tc>
          <w:tcPr>
            <w:tcW w:w="4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11,853</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6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10,861</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shd w:val="clear" w:color="auto" w:fill="C0FFFF"/>
          </w:tcPr>
          <w:p>
            <w:pPr>
              <w:ind w:left="260"/>
              <w:spacing w:after="0"/>
              <w:rPr>
                <w:sz w:val="20"/>
                <w:szCs w:val="20"/>
                <w:color w:val="auto"/>
              </w:rPr>
            </w:pPr>
            <w:r>
              <w:rPr>
                <w:rFonts w:ascii="Arial" w:cs="Arial" w:eastAsia="Arial" w:hAnsi="Arial"/>
                <w:sz w:val="18"/>
                <w:szCs w:val="18"/>
                <w:color w:val="auto"/>
              </w:rPr>
              <w:t>Total, net</w:t>
            </w:r>
          </w:p>
        </w:tc>
        <w:tc>
          <w:tcPr>
            <w:tcW w:w="680" w:type="dxa"/>
            <w:vAlign w:val="bottom"/>
            <w:shd w:val="clear" w:color="auto" w:fill="C0FFFF"/>
          </w:tcPr>
          <w:p>
            <w:pPr>
              <w:spacing w:after="0"/>
              <w:rPr>
                <w:sz w:val="20"/>
                <w:szCs w:val="20"/>
                <w:color w:val="auto"/>
              </w:rPr>
            </w:pPr>
          </w:p>
        </w:tc>
        <w:tc>
          <w:tcPr>
            <w:tcW w:w="880" w:type="dxa"/>
            <w:vAlign w:val="bottom"/>
            <w:shd w:val="clear" w:color="auto" w:fill="C0FFFF"/>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655</w:t>
            </w:r>
          </w:p>
        </w:tc>
        <w:tc>
          <w:tcPr>
            <w:tcW w:w="4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40" w:type="dxa"/>
            <w:vAlign w:val="bottom"/>
            <w:tcBorders>
              <w:top w:val="single" w:sz="8" w:color="C0FFFF"/>
            </w:tcBorders>
            <w:shd w:val="clear" w:color="auto" w:fill="C0FFFF"/>
          </w:tcPr>
          <w:p>
            <w:pPr>
              <w:spacing w:after="0" w:line="20" w:lineRule="exact"/>
              <w:rPr>
                <w:sz w:val="1"/>
                <w:szCs w:val="1"/>
                <w:color w:val="auto"/>
              </w:rPr>
            </w:pPr>
          </w:p>
        </w:tc>
        <w:tc>
          <w:tcPr>
            <w:tcW w:w="68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Trademarks and intellectual property are amortized over three years. Amortization expense related to trademarks and intellectual property was $0.9 million, $1.4 million and $1.3 million in 2011, 2010 and 2009, respectively. Estimated amortization expense related to other intangible assets as of December 31, 2011, for each of the years in the subsequent five year period and thereafter is: 2012—$0.5 million; 2013—$0.1 million; 2014— $23,000 -; 2015— -$0-and 2016— -$0-.</w:t>
      </w:r>
    </w:p>
    <w:p>
      <w:pPr>
        <w:spacing w:after="0" w:line="241"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During 2009, the Company reviewed the operating performance and forecasts of future performance for the stores in its Retail segment. As a result of that review, it was determined that certain stores would not be able to recover the carrying value of certain key money deposits, included in other intangible assets, and other store deposits, included in other assets, net, through expected undiscounted cash flows over the remaining life of the related</w:t>
      </w:r>
    </w:p>
    <w:p>
      <w:pPr>
        <w:ind w:right="20"/>
        <w:spacing w:after="0" w:line="254" w:lineRule="auto"/>
        <w:rPr>
          <w:sz w:val="20"/>
          <w:szCs w:val="20"/>
          <w:color w:val="auto"/>
        </w:rPr>
      </w:pPr>
      <w:r>
        <w:rPr>
          <w:rFonts w:ascii="Arial" w:cs="Arial" w:eastAsia="Arial" w:hAnsi="Arial"/>
          <w:sz w:val="18"/>
          <w:szCs w:val="18"/>
          <w:color w:val="auto"/>
        </w:rPr>
        <w:t>assets. Accordingly, the carrying value of the assets was reduced to fair value, calculated as the net present value of estimated future cash flows for each asset group, and asset impairment charges of $1.8 million were recorded in the fourth quarter of fiscal 2009, which are included in cost of merchandise sold as a component of net loss before income taxes in the Retail segment. The inputs used to determine the fair value of the assets are Level 3 inputs as defined by ASC section 820-10.</w:t>
      </w:r>
    </w:p>
    <w:p>
      <w:pPr>
        <w:spacing w:after="0" w:line="244"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In the fiscal 2010 second quarter, we reviewed the inputs used to determine the fair value of certain key money deposits, included in other intangible assets, and other store deposits, included in other assets, net, through expected undiscounted cash flows over the remaining life of the related</w:t>
      </w:r>
    </w:p>
    <w:p>
      <w:pPr>
        <w:ind w:right="20"/>
        <w:spacing w:after="0" w:line="254" w:lineRule="auto"/>
        <w:rPr>
          <w:sz w:val="20"/>
          <w:szCs w:val="20"/>
          <w:color w:val="auto"/>
        </w:rPr>
      </w:pPr>
      <w:r>
        <w:rPr>
          <w:rFonts w:ascii="Arial" w:cs="Arial" w:eastAsia="Arial" w:hAnsi="Arial"/>
          <w:sz w:val="18"/>
          <w:szCs w:val="18"/>
          <w:color w:val="auto"/>
        </w:rPr>
        <w:t>assets. Accordingly, the carrying value of the assets was reduced to fair value, calculated as the net present value of estimated future cash flows for each asset group, and asset impairment charges of $0.3 million were recorded in the second quarter of fiscal 2010. As we had determined at this time that we would be closing the related stores, these charges are included in selling, general and administrative expenses as a component of net income in the retail segment. The key money deposits were sold in 2010.</w:t>
      </w:r>
    </w:p>
    <w:p>
      <w:pPr>
        <w:spacing w:after="0" w:line="240"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28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2010, certain other non-current assets were obtained through a series of wholesale transactions whereby the Company exchanged $6.4 million of inventory, at cost, with a third-party vendor for $4.9 million of credits for future media purchases and $1.5 million in cash. The transaction was accounted for based upon the fair values of the assets involved in the transaction. In accordance with Accounting Standards Codification (ASC) Section 845-10, in an exchange transaction for trade credits, the fair value of the asset being surrendered cannot exceed its carrying value, meaning that the sale of the inventory was recorded at its cost in the Commercial segment. The trade credits expire in 2015. As of December 31, 2011 $0.7 million was included in prepaid expenses and other current assets and $3.9 million was included in other assets, net, related to these credits. As of January 1, 2011, $0.7 million was included in prepaid expenses and other current assets and $4.2 million was included in other assets, net, related to these credits. The Company evaluated its trade credits to determine whether an impairment existed as of December 31, 2011. Because it is not probable the entity will not use all the remaining barter credits based on current utilization expectations, no impairment loss was recognized.</w:t>
      </w:r>
    </w:p>
    <w:p>
      <w:pPr>
        <w:spacing w:after="0" w:line="232"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80" w:type="dxa"/>
            <w:vAlign w:val="bottom"/>
            <w:shd w:val="clear" w:color="auto" w:fill="C0FFFF"/>
          </w:tcPr>
          <w:p>
            <w:pPr>
              <w:spacing w:after="0"/>
              <w:rPr>
                <w:sz w:val="20"/>
                <w:szCs w:val="20"/>
                <w:color w:val="auto"/>
              </w:rPr>
            </w:pPr>
            <w:r>
              <w:rPr>
                <w:rFonts w:ascii="Arial" w:cs="Arial" w:eastAsia="Arial" w:hAnsi="Arial"/>
                <w:sz w:val="18"/>
                <w:szCs w:val="18"/>
                <w:color w:val="auto"/>
              </w:rPr>
              <w:t>Accrued wages, bonuses and related expenses</w:t>
            </w:r>
          </w:p>
        </w:tc>
        <w:tc>
          <w:tcPr>
            <w:tcW w:w="3120" w:type="dxa"/>
            <w:vAlign w:val="bottom"/>
            <w:gridSpan w:val="2"/>
            <w:shd w:val="clear" w:color="auto" w:fill="C0FFFF"/>
          </w:tcPr>
          <w:p>
            <w:pPr>
              <w:jc w:val="right"/>
              <w:ind w:right="7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5,200</w:t>
            </w:r>
          </w:p>
        </w:tc>
        <w:tc>
          <w:tcPr>
            <w:tcW w:w="4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8,227</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 tax payable</w:t>
            </w: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0FFFF"/>
          </w:tcPr>
          <w:p>
            <w:pPr>
              <w:spacing w:after="0"/>
              <w:rPr>
                <w:sz w:val="20"/>
                <w:szCs w:val="20"/>
                <w:color w:val="auto"/>
              </w:rPr>
            </w:pPr>
            <w:r>
              <w:rPr>
                <w:rFonts w:ascii="Arial" w:cs="Arial" w:eastAsia="Arial" w:hAnsi="Arial"/>
                <w:sz w:val="18"/>
                <w:szCs w:val="18"/>
                <w:color w:val="auto"/>
              </w:rPr>
              <w:t>Accrued rent and related expenses</w:t>
            </w:r>
          </w:p>
        </w:tc>
        <w:tc>
          <w:tcPr>
            <w:tcW w:w="2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2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880" w:type="dxa"/>
            <w:vAlign w:val="bottom"/>
            <w:shd w:val="clear" w:color="auto" w:fill="C0FFFF"/>
          </w:tcPr>
          <w:p>
            <w:pPr>
              <w:spacing w:after="0"/>
              <w:rPr>
                <w:sz w:val="22"/>
                <w:szCs w:val="22"/>
                <w:color w:val="auto"/>
              </w:rPr>
            </w:pPr>
          </w:p>
        </w:tc>
        <w:tc>
          <w:tcPr>
            <w:tcW w:w="3120" w:type="dxa"/>
            <w:vAlign w:val="bottom"/>
            <w:gridSpan w:val="2"/>
            <w:shd w:val="clear" w:color="auto" w:fill="C0FFFF"/>
          </w:tcPr>
          <w:p>
            <w:pPr>
              <w:jc w:val="right"/>
              <w:ind w:right="7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12,128</w:t>
            </w:r>
          </w:p>
        </w:tc>
        <w:tc>
          <w:tcPr>
            <w:tcW w:w="4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15,488</w:t>
            </w:r>
          </w:p>
        </w:tc>
        <w:tc>
          <w:tcPr>
            <w:tcW w:w="80" w:type="dxa"/>
            <w:vAlign w:val="bottom"/>
            <w:shd w:val="clear" w:color="auto" w:fill="C0FF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1160" w:type="dxa"/>
            <w:vAlign w:val="bottom"/>
          </w:tcPr>
          <w:p>
            <w:pPr>
              <w:spacing w:after="0"/>
              <w:rPr>
                <w:sz w:val="24"/>
                <w:szCs w:val="24"/>
                <w:color w:val="auto"/>
              </w:rPr>
            </w:pPr>
          </w:p>
        </w:tc>
        <w:tc>
          <w:tcPr>
            <w:tcW w:w="3880" w:type="dxa"/>
            <w:vAlign w:val="bottom"/>
            <w:tcBorders>
              <w:top w:val="single" w:sz="8" w:color="C0FFFF"/>
            </w:tcBorders>
          </w:tcPr>
          <w:p>
            <w:pPr>
              <w:spacing w:after="0"/>
              <w:rPr>
                <w:sz w:val="24"/>
                <w:szCs w:val="24"/>
                <w:color w:val="auto"/>
              </w:rPr>
            </w:pPr>
          </w:p>
        </w:tc>
        <w:tc>
          <w:tcPr>
            <w:tcW w:w="2240" w:type="dxa"/>
            <w:vAlign w:val="bottom"/>
            <w:tcBorders>
              <w:top w:val="single" w:sz="8" w:color="C0FFFF"/>
            </w:tcBorders>
          </w:tcPr>
          <w:p>
            <w:pPr>
              <w:jc w:val="right"/>
              <w:ind w:right="1390"/>
              <w:spacing w:after="0"/>
              <w:rPr>
                <w:sz w:val="20"/>
                <w:szCs w:val="20"/>
                <w:color w:val="auto"/>
              </w:rPr>
            </w:pPr>
            <w:r>
              <w:rPr>
                <w:rFonts w:ascii="Arial" w:cs="Arial" w:eastAsia="Arial" w:hAnsi="Arial"/>
                <w:sz w:val="18"/>
                <w:szCs w:val="18"/>
                <w:color w:val="auto"/>
              </w:rPr>
              <w:t>56</w:t>
            </w: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0FF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3" w:name="page64"/>
    <w:bookmarkEnd w:id="63"/>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0FFFF"/>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940" w:type="dxa"/>
            <w:vAlign w:val="bottom"/>
            <w:gridSpan w:val="2"/>
            <w:shd w:val="clear" w:color="auto" w:fill="C0FFFF"/>
          </w:tcPr>
          <w:p>
            <w:pPr>
              <w:jc w:val="right"/>
              <w:ind w:right="7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(6,272)</w:t>
            </w: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r>
      <w:tr>
        <w:trPr>
          <w:trHeight w:val="216"/>
        </w:trPr>
        <w:tc>
          <w:tcPr>
            <w:tcW w:w="20" w:type="dxa"/>
            <w:vAlign w:val="bottom"/>
          </w:tcPr>
          <w:p>
            <w:pPr>
              <w:spacing w:after="0"/>
              <w:rPr>
                <w:sz w:val="18"/>
                <w:szCs w:val="18"/>
                <w:color w:val="auto"/>
              </w:rPr>
            </w:pPr>
          </w:p>
        </w:tc>
        <w:tc>
          <w:tcPr>
            <w:tcW w:w="4580" w:type="dxa"/>
            <w:vAlign w:val="bottom"/>
            <w:tcBorders>
              <w:right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Foreign</w:t>
            </w:r>
          </w:p>
        </w:tc>
        <w:tc>
          <w:tcPr>
            <w:tcW w:w="88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Deferred:</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7"/>
              </w:rPr>
              <w:t>11,592</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6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4"/>
              </w:rPr>
              <w:t>(1,965)</w:t>
            </w:r>
          </w:p>
        </w:tc>
        <w:tc>
          <w:tcPr>
            <w:tcW w:w="2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(2,610)</w:t>
            </w: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(1,205)</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4580" w:type="dxa"/>
            <w:vAlign w:val="bottom"/>
            <w:tcBorders>
              <w:right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Foreign</w:t>
            </w:r>
          </w:p>
        </w:tc>
        <w:tc>
          <w:tcPr>
            <w:tcW w:w="88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6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(2,148)</w:t>
            </w:r>
          </w:p>
        </w:tc>
      </w:tr>
      <w:tr>
        <w:trPr>
          <w:trHeight w:val="27"/>
        </w:trPr>
        <w:tc>
          <w:tcPr>
            <w:tcW w:w="20" w:type="dxa"/>
            <w:vAlign w:val="bottom"/>
          </w:tcPr>
          <w:p>
            <w:pPr>
              <w:spacing w:after="0"/>
              <w:rPr>
                <w:sz w:val="2"/>
                <w:szCs w:val="2"/>
                <w:color w:val="auto"/>
              </w:rPr>
            </w:pPr>
          </w:p>
        </w:tc>
        <w:tc>
          <w:tcPr>
            <w:tcW w:w="4580" w:type="dxa"/>
            <w:vAlign w:val="bottom"/>
            <w:tcBorders>
              <w:right w:val="single" w:sz="8" w:color="C0FFFF"/>
            </w:tcBorders>
            <w:shd w:val="clear" w:color="auto" w:fill="C0FF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C0FFFF"/>
            </w:tcBorders>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Income tax expense (benefit)</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14,410</w:t>
            </w:r>
          </w:p>
        </w:tc>
        <w:tc>
          <w:tcPr>
            <w:tcW w:w="120" w:type="dxa"/>
            <w:vAlign w:val="bottom"/>
          </w:tcPr>
          <w:p>
            <w:pPr>
              <w:spacing w:after="0"/>
              <w:rPr>
                <w:sz w:val="18"/>
                <w:szCs w:val="18"/>
                <w:color w:val="auto"/>
              </w:rPr>
            </w:pP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(2,576)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(11,367)</w:t>
            </w: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between the statutory federal income tax rate and the effective income tax rate is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Arial" w:cs="Arial" w:eastAsia="Arial" w:hAnsi="Arial"/>
                <w:sz w:val="18"/>
                <w:szCs w:val="18"/>
                <w:color w:val="auto"/>
              </w:rPr>
              <w:t>Loss before income taxes</w:t>
            </w:r>
          </w:p>
        </w:tc>
        <w:tc>
          <w:tcPr>
            <w:tcW w:w="1020" w:type="dxa"/>
            <w:vAlign w:val="bottom"/>
            <w:gridSpan w:val="2"/>
            <w:shd w:val="clear" w:color="auto" w:fill="C0FFFF"/>
          </w:tcPr>
          <w:p>
            <w:pPr>
              <w:jc w:val="right"/>
              <w:ind w:right="7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w w:val="91"/>
              </w:rPr>
              <w:t>(2,652)</w:t>
            </w:r>
          </w:p>
        </w:tc>
        <w:tc>
          <w:tcPr>
            <w:tcW w:w="840" w:type="dxa"/>
            <w:vAlign w:val="bottom"/>
            <w:shd w:val="clear" w:color="auto" w:fill="C0FFFF"/>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91"/>
              </w:rPr>
              <w:t>(2,472)</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0FFFF"/>
          </w:tcPr>
          <w:p>
            <w:pPr>
              <w:ind w:left="260"/>
              <w:spacing w:after="0"/>
              <w:rPr>
                <w:sz w:val="20"/>
                <w:szCs w:val="20"/>
                <w:color w:val="auto"/>
              </w:rPr>
            </w:pPr>
            <w:r>
              <w:rPr>
                <w:rFonts w:ascii="Arial" w:cs="Arial" w:eastAsia="Arial" w:hAnsi="Arial"/>
                <w:sz w:val="18"/>
                <w:szCs w:val="18"/>
                <w:color w:val="auto"/>
                <w:w w:val="93"/>
              </w:rPr>
              <w:t>Income tax expense (benefit) at statutory federal rate</w:t>
            </w:r>
          </w:p>
        </w:tc>
        <w:tc>
          <w:tcPr>
            <w:tcW w:w="1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(902)</w:t>
            </w:r>
          </w:p>
        </w:tc>
        <w:tc>
          <w:tcPr>
            <w:tcW w:w="840" w:type="dxa"/>
            <w:vAlign w:val="bottom"/>
            <w:shd w:val="clear" w:color="auto" w:fill="C0FFFF"/>
          </w:tcPr>
          <w:p>
            <w:pPr>
              <w:spacing w:after="0"/>
              <w:rPr>
                <w:sz w:val="18"/>
                <w:szCs w:val="18"/>
                <w:color w:val="auto"/>
              </w:rPr>
            </w:pPr>
          </w:p>
        </w:tc>
        <w:tc>
          <w:tcPr>
            <w:tcW w:w="74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3"/>
              </w:rPr>
              <w:t>15,565</w:t>
            </w:r>
          </w:p>
        </w:tc>
        <w:tc>
          <w:tcPr>
            <w:tcW w:w="300" w:type="dxa"/>
            <w:vAlign w:val="bottom"/>
            <w:tcBorders>
              <w:right w:val="single" w:sz="8" w:color="C0FFFF"/>
            </w:tcBorders>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74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91"/>
              </w:rPr>
              <w:t>(1,249)</w:t>
            </w:r>
          </w:p>
        </w:tc>
        <w:tc>
          <w:tcPr>
            <w:tcW w:w="28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Effect of lower foreign taxes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0FFFF"/>
          </w:tcPr>
          <w:p>
            <w:pPr>
              <w:spacing w:after="0"/>
              <w:rPr>
                <w:sz w:val="20"/>
                <w:szCs w:val="20"/>
                <w:color w:val="auto"/>
              </w:rPr>
            </w:pPr>
            <w:r>
              <w:rPr>
                <w:rFonts w:ascii="Arial" w:cs="Arial" w:eastAsia="Arial" w:hAnsi="Arial"/>
                <w:sz w:val="18"/>
                <w:szCs w:val="18"/>
                <w:color w:val="auto"/>
              </w:rPr>
              <w:t>Release of state tax reserves</w:t>
            </w:r>
          </w:p>
        </w:tc>
        <w:tc>
          <w:tcPr>
            <w:tcW w:w="1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80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(47)</w:t>
            </w:r>
          </w:p>
        </w:tc>
        <w:tc>
          <w:tcPr>
            <w:tcW w:w="840" w:type="dxa"/>
            <w:vAlign w:val="bottom"/>
            <w:shd w:val="clear" w:color="auto" w:fill="C0FFFF"/>
          </w:tcPr>
          <w:p>
            <w:pPr>
              <w:spacing w:after="0"/>
              <w:rPr>
                <w:sz w:val="18"/>
                <w:szCs w:val="18"/>
                <w:color w:val="auto"/>
              </w:rPr>
            </w:pPr>
          </w:p>
        </w:tc>
        <w:tc>
          <w:tcPr>
            <w:tcW w:w="74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items, net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shd w:val="clear" w:color="auto" w:fill="C0FFFF"/>
          </w:tcPr>
          <w:p>
            <w:pPr>
              <w:ind w:left="260"/>
              <w:spacing w:after="0"/>
              <w:rPr>
                <w:sz w:val="20"/>
                <w:szCs w:val="20"/>
                <w:color w:val="auto"/>
              </w:rPr>
            </w:pPr>
            <w:r>
              <w:rPr>
                <w:rFonts w:ascii="Arial" w:cs="Arial" w:eastAsia="Arial" w:hAnsi="Arial"/>
                <w:sz w:val="18"/>
                <w:szCs w:val="18"/>
                <w:color w:val="auto"/>
              </w:rPr>
              <w:t>Income tax expense (benefit)</w:t>
            </w:r>
          </w:p>
        </w:tc>
        <w:tc>
          <w:tcPr>
            <w:tcW w:w="1020" w:type="dxa"/>
            <w:vAlign w:val="bottom"/>
            <w:gridSpan w:val="2"/>
            <w:shd w:val="clear" w:color="auto" w:fill="C0FFFF"/>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3"/>
              </w:rPr>
              <w:t>14,410</w:t>
            </w:r>
          </w:p>
        </w:tc>
        <w:tc>
          <w:tcPr>
            <w:tcW w:w="300" w:type="dxa"/>
            <w:vAlign w:val="bottom"/>
            <w:tcBorders>
              <w:right w:val="single" w:sz="8" w:color="C0FFFF"/>
            </w:tcBorders>
            <w:shd w:val="clear" w:color="auto" w:fill="C0FFFF"/>
          </w:tcPr>
          <w:p>
            <w:pPr>
              <w:spacing w:after="0"/>
              <w:rPr>
                <w:sz w:val="20"/>
                <w:szCs w:val="20"/>
                <w:color w:val="auto"/>
              </w:rPr>
            </w:pPr>
          </w:p>
        </w:tc>
        <w:tc>
          <w:tcPr>
            <w:tcW w:w="840" w:type="dxa"/>
            <w:vAlign w:val="bottom"/>
            <w:shd w:val="clear" w:color="auto" w:fill="C0FFFF"/>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0FFFF"/>
            </w:tcBorders>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91"/>
              </w:rPr>
              <w:t>(2,576)</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(11,367)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(543.4)%</w:t>
            </w:r>
          </w:p>
        </w:tc>
        <w:tc>
          <w:tcPr>
            <w:tcW w:w="8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Deferred tax assets: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Deferred revenue</w:t>
            </w:r>
          </w:p>
        </w:tc>
        <w:tc>
          <w:tcPr>
            <w:tcW w:w="2760" w:type="dxa"/>
            <w:vAlign w:val="bottom"/>
            <w:gridSpan w:val="2"/>
            <w:shd w:val="clear" w:color="auto" w:fill="C0FF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4,711</w:t>
            </w: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4,481</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Accrued rents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operating loss carryforwards</w:t>
            </w:r>
          </w:p>
        </w:tc>
        <w:tc>
          <w:tcPr>
            <w:tcW w:w="24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Deferred compensation</w:t>
            </w:r>
          </w:p>
        </w:tc>
        <w:tc>
          <w:tcPr>
            <w:tcW w:w="24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2,218</w:t>
            </w: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Accrued bonuses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Carryforward of tax credits</w:t>
            </w:r>
          </w:p>
        </w:tc>
        <w:tc>
          <w:tcPr>
            <w:tcW w:w="24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2,251</w:t>
            </w: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Receivable and investment write-offs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Stock compensation</w:t>
            </w:r>
          </w:p>
        </w:tc>
        <w:tc>
          <w:tcPr>
            <w:tcW w:w="24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0FFFF"/>
            </w:tcBorders>
            <w:shd w:val="clear" w:color="auto" w:fill="C0FFFF"/>
          </w:tcPr>
          <w:p>
            <w:pPr>
              <w:spacing w:after="0"/>
              <w:rPr>
                <w:sz w:val="19"/>
                <w:szCs w:val="19"/>
                <w:color w:val="auto"/>
              </w:rPr>
            </w:pPr>
          </w:p>
        </w:tc>
        <w:tc>
          <w:tcPr>
            <w:tcW w:w="300" w:type="dxa"/>
            <w:vAlign w:val="bottom"/>
            <w:tcBorders>
              <w:bottom w:val="single" w:sz="8" w:color="auto"/>
            </w:tcBorders>
            <w:shd w:val="clear" w:color="auto" w:fill="C0FFFF"/>
          </w:tcPr>
          <w:p>
            <w:pPr>
              <w:spacing w:after="0"/>
              <w:rPr>
                <w:sz w:val="19"/>
                <w:szCs w:val="19"/>
                <w:color w:val="auto"/>
              </w:rPr>
            </w:pP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1,834</w:t>
            </w:r>
          </w:p>
        </w:tc>
        <w:tc>
          <w:tcPr>
            <w:tcW w:w="160" w:type="dxa"/>
            <w:vAlign w:val="bottom"/>
            <w:tcBorders>
              <w:bottom w:val="single" w:sz="8" w:color="C0FFFF"/>
              <w:right w:val="single" w:sz="8" w:color="C0FFFF"/>
            </w:tcBorders>
            <w:shd w:val="clear" w:color="auto" w:fill="C0FFFF"/>
          </w:tcPr>
          <w:p>
            <w:pPr>
              <w:spacing w:after="0"/>
              <w:rPr>
                <w:sz w:val="19"/>
                <w:szCs w:val="19"/>
                <w:color w:val="auto"/>
              </w:rPr>
            </w:pPr>
          </w:p>
        </w:tc>
        <w:tc>
          <w:tcPr>
            <w:tcW w:w="280" w:type="dxa"/>
            <w:vAlign w:val="bottom"/>
            <w:tcBorders>
              <w:bottom w:val="single" w:sz="8" w:color="auto"/>
            </w:tcBorders>
            <w:shd w:val="clear" w:color="auto" w:fill="C0FFFF"/>
          </w:tcPr>
          <w:p>
            <w:pPr>
              <w:spacing w:after="0"/>
              <w:rPr>
                <w:sz w:val="19"/>
                <w:szCs w:val="19"/>
                <w:color w:val="auto"/>
              </w:rPr>
            </w:pPr>
          </w:p>
        </w:tc>
        <w:tc>
          <w:tcPr>
            <w:tcW w:w="10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17,486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Less: Valuation allowance</w:t>
            </w:r>
          </w:p>
        </w:tc>
        <w:tc>
          <w:tcPr>
            <w:tcW w:w="2460" w:type="dxa"/>
            <w:vAlign w:val="bottom"/>
            <w:tcBorders>
              <w:bottom w:val="single" w:sz="8" w:color="C0FFFF"/>
            </w:tcBorders>
            <w:shd w:val="clear" w:color="auto" w:fill="C0FFFF"/>
          </w:tcPr>
          <w:p>
            <w:pPr>
              <w:spacing w:after="0"/>
              <w:rPr>
                <w:sz w:val="19"/>
                <w:szCs w:val="19"/>
                <w:color w:val="auto"/>
              </w:rPr>
            </w:pPr>
          </w:p>
        </w:tc>
        <w:tc>
          <w:tcPr>
            <w:tcW w:w="300" w:type="dxa"/>
            <w:vAlign w:val="bottom"/>
            <w:tcBorders>
              <w:bottom w:val="single" w:sz="8" w:color="auto"/>
            </w:tcBorders>
            <w:shd w:val="clear" w:color="auto" w:fill="C0FFFF"/>
          </w:tcPr>
          <w:p>
            <w:pPr>
              <w:spacing w:after="0"/>
              <w:rPr>
                <w:sz w:val="19"/>
                <w:szCs w:val="19"/>
                <w:color w:val="auto"/>
              </w:rPr>
            </w:pP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16,126</w:t>
            </w:r>
          </w:p>
        </w:tc>
        <w:tc>
          <w:tcPr>
            <w:tcW w:w="160" w:type="dxa"/>
            <w:vAlign w:val="bottom"/>
            <w:tcBorders>
              <w:bottom w:val="single" w:sz="8" w:color="C0FFFF"/>
              <w:right w:val="single" w:sz="8" w:color="C0FFFF"/>
            </w:tcBorders>
            <w:shd w:val="clear" w:color="auto" w:fill="C0FFFF"/>
          </w:tcPr>
          <w:p>
            <w:pPr>
              <w:spacing w:after="0"/>
              <w:rPr>
                <w:sz w:val="19"/>
                <w:szCs w:val="19"/>
                <w:color w:val="auto"/>
              </w:rPr>
            </w:pPr>
          </w:p>
        </w:tc>
        <w:tc>
          <w:tcPr>
            <w:tcW w:w="280" w:type="dxa"/>
            <w:vAlign w:val="bottom"/>
            <w:tcBorders>
              <w:bottom w:val="single" w:sz="8" w:color="auto"/>
            </w:tcBorders>
            <w:shd w:val="clear" w:color="auto" w:fill="C0FFFF"/>
          </w:tcPr>
          <w:p>
            <w:pPr>
              <w:spacing w:after="0"/>
              <w:rPr>
                <w:sz w:val="19"/>
                <w:szCs w:val="19"/>
                <w:color w:val="auto"/>
              </w:rPr>
            </w:pPr>
          </w:p>
        </w:tc>
        <w:tc>
          <w:tcPr>
            <w:tcW w:w="10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561</w:t>
            </w:r>
          </w:p>
        </w:tc>
        <w:tc>
          <w:tcPr>
            <w:tcW w:w="80" w:type="dxa"/>
            <w:vAlign w:val="bottom"/>
            <w:tcBorders>
              <w:bottom w:val="single" w:sz="8" w:color="C0FFFF"/>
            </w:tcBorders>
            <w:shd w:val="clear" w:color="auto" w:fill="C0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2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60" w:type="dxa"/>
            <w:vAlign w:val="bottom"/>
            <w:shd w:val="clear" w:color="auto" w:fill="C0FFFF"/>
          </w:tcPr>
          <w:p>
            <w:pPr>
              <w:spacing w:after="0"/>
              <w:rPr>
                <w:sz w:val="18"/>
                <w:szCs w:val="18"/>
                <w:color w:val="auto"/>
              </w:rPr>
            </w:pPr>
          </w:p>
        </w:tc>
        <w:tc>
          <w:tcPr>
            <w:tcW w:w="24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Depreciation</w:t>
            </w:r>
          </w:p>
        </w:tc>
        <w:tc>
          <w:tcPr>
            <w:tcW w:w="24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0FFFF"/>
            </w:tcBorders>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(1,515)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deferred tax liabilities</w:t>
            </w:r>
          </w:p>
        </w:tc>
        <w:tc>
          <w:tcPr>
            <w:tcW w:w="24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2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(1,925)</w:t>
            </w:r>
          </w:p>
        </w:tc>
        <w:tc>
          <w:tcPr>
            <w:tcW w:w="2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(2,101)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60" w:type="dxa"/>
            <w:vAlign w:val="bottom"/>
            <w:shd w:val="clear" w:color="auto" w:fill="C0FFFF"/>
          </w:tcPr>
          <w:p>
            <w:pPr>
              <w:spacing w:after="0"/>
              <w:rPr>
                <w:sz w:val="2"/>
                <w:szCs w:val="2"/>
                <w:color w:val="auto"/>
              </w:rPr>
            </w:pPr>
          </w:p>
        </w:tc>
        <w:tc>
          <w:tcPr>
            <w:tcW w:w="246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Borders>
              <w:right w:val="single" w:sz="8" w:color="C0FFFF"/>
            </w:tcBorders>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Net deferred tax asset</w:t>
            </w:r>
          </w:p>
        </w:tc>
        <w:tc>
          <w:tcPr>
            <w:tcW w:w="24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60" w:type="dxa"/>
            <w:vAlign w:val="bottom"/>
            <w:vMerge w:val="restart"/>
          </w:tcPr>
          <w:p>
            <w:pPr>
              <w:jc w:val="right"/>
              <w:ind w:right="1390"/>
              <w:spacing w:after="0"/>
              <w:rPr>
                <w:sz w:val="20"/>
                <w:szCs w:val="20"/>
                <w:color w:val="auto"/>
              </w:rPr>
            </w:pPr>
            <w:r>
              <w:rPr>
                <w:rFonts w:ascii="Arial" w:cs="Arial" w:eastAsia="Arial" w:hAnsi="Arial"/>
                <w:sz w:val="18"/>
                <w:szCs w:val="18"/>
                <w:color w:val="auto"/>
              </w:rPr>
              <w:t>57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4" w:name="page65"/>
    <w:bookmarkEnd w:id="64"/>
    <w:p>
      <w:pPr>
        <w:ind w:right="20" w:firstLine="486"/>
        <w:spacing w:after="0" w:line="270" w:lineRule="auto"/>
        <w:rPr>
          <w:sz w:val="20"/>
          <w:szCs w:val="20"/>
          <w:color w:val="auto"/>
        </w:rPr>
      </w:pPr>
      <w:r>
        <w:rPr>
          <w:rFonts w:ascii="Arial" w:cs="Arial" w:eastAsia="Arial" w:hAnsi="Arial"/>
          <w:sz w:val="17"/>
          <w:szCs w:val="17"/>
          <w:color w:val="auto"/>
        </w:rPr>
        <w:t>We evaluate the realizability of our deferred tax assets on a quarterly basis. As the Company has incurred a cumulative book loss over the three year period ended December 31, 2011, management evaluated the realizability of the Company’s deferred tax assets. The Company performed an analysis of all available evidence, both positive and negative, consistent with the provisions of ASC 740-10-30-17. Some of the evidence evaluated includes our historical operating performance, the macroeconomic factors contributing to the recent fiscal loss for which the tax benefits have been fully realized by the carryback availability, and our forecast of future taxable income, including the availability of prudent and feasible tax planning strategies. The three-year cumulative loss is a significant piece of negative evidence and while management believes that it is primarily a result of losses that were primarily attributable to the significant economic conditions experienced in 2009 and not an indication of continuing operations, ASC 740 requires that objective historical evidence be given more weight than subjective evidence, such as forecasts of future income. Accordingly, in the fiscal 2011 fourth quarter, the Company recorded a $15.6 million valuation allowance on its US deferred tax assets.</w:t>
      </w:r>
    </w:p>
    <w:p>
      <w:pPr>
        <w:spacing w:after="0" w:line="236"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Included in the deferred tax asset is $0.6 million related to state net operating loss carryforwards for which a valuation allowance of $0.6 million has been recorded and $1.2 million related to net operating loss carryforwards in foreign jurisdictions. Net operating loss carryforwards in foreign jurisdictions total $4.3 million and $5.7 million as of December 31, 2011 and January 1, 2011, respectively. Although net operating losses in foreign jurisdictions do not expire, a valuation allowance of $0.6 million was recorded at December 31, 2011 and January 1, 2011. Also included in the deferred tax asset in $2.3 million related to foreign tax credits for which a valuation allowance of $2.3 million has been recorded.</w:t>
      </w:r>
    </w:p>
    <w:p>
      <w:pPr>
        <w:spacing w:after="0" w:line="227" w:lineRule="exact"/>
        <w:rPr>
          <w:sz w:val="20"/>
          <w:szCs w:val="20"/>
          <w:color w:val="auto"/>
        </w:rPr>
      </w:pPr>
    </w:p>
    <w:p>
      <w:pPr>
        <w:jc w:val="both"/>
        <w:ind w:right="380" w:firstLine="486"/>
        <w:spacing w:after="0" w:line="288" w:lineRule="auto"/>
        <w:rPr>
          <w:sz w:val="20"/>
          <w:szCs w:val="20"/>
          <w:color w:val="auto"/>
        </w:rPr>
      </w:pPr>
      <w:r>
        <w:rPr>
          <w:rFonts w:ascii="Arial" w:cs="Arial" w:eastAsia="Arial" w:hAnsi="Arial"/>
          <w:sz w:val="16"/>
          <w:szCs w:val="16"/>
          <w:color w:val="auto"/>
        </w:rPr>
        <w:t>The Company has not provided for United States income taxes on the accumulated but undistributed earnings of its non-U.S. subsidiaries of $20.5 million and $18.0 million as of December 31, 2011 and January 1, 2011, respectively, as the Company intends to indefinitely reinvest these undistributed earnings. However, if any portion were to be distributed, the related U.S. tax liability may be reduced by foreign income taxes paid on these</w:t>
      </w:r>
    </w:p>
    <w:p>
      <w:pPr>
        <w:ind w:right="180"/>
        <w:spacing w:after="0" w:line="261" w:lineRule="auto"/>
        <w:rPr>
          <w:sz w:val="20"/>
          <w:szCs w:val="20"/>
          <w:color w:val="auto"/>
        </w:rPr>
      </w:pPr>
      <w:r>
        <w:rPr>
          <w:rFonts w:ascii="Arial" w:cs="Arial" w:eastAsia="Arial" w:hAnsi="Arial"/>
          <w:sz w:val="18"/>
          <w:szCs w:val="18"/>
          <w:color w:val="auto"/>
        </w:rPr>
        <w:t>earnings. Determination of the unrecognized deferred tax liability related to these undistributed earnings is not practicable because of the complexities with its hypothetical calculation.</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C0FFFF"/>
          </w:tcPr>
          <w:p>
            <w:pPr>
              <w:spacing w:after="0"/>
              <w:rPr>
                <w:sz w:val="20"/>
                <w:szCs w:val="20"/>
                <w:color w:val="auto"/>
              </w:rPr>
            </w:pPr>
            <w:r>
              <w:rPr>
                <w:rFonts w:ascii="Arial" w:cs="Arial" w:eastAsia="Arial" w:hAnsi="Arial"/>
                <w:sz w:val="18"/>
                <w:szCs w:val="18"/>
                <w:color w:val="auto"/>
              </w:rPr>
              <w:t>Balance as of January 2, 2010</w:t>
            </w:r>
          </w:p>
        </w:tc>
        <w:tc>
          <w:tcPr>
            <w:tcW w:w="1000" w:type="dxa"/>
            <w:vAlign w:val="bottom"/>
            <w:shd w:val="clear" w:color="auto" w:fill="C0FF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570</w:t>
            </w:r>
          </w:p>
        </w:tc>
        <w:tc>
          <w:tcPr>
            <w:tcW w:w="54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1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Settlements</w:t>
            </w:r>
          </w:p>
        </w:tc>
        <w:tc>
          <w:tcPr>
            <w:tcW w:w="1000" w:type="dxa"/>
            <w:vAlign w:val="bottom"/>
            <w:tcBorders>
              <w:bottom w:val="single" w:sz="8" w:color="auto"/>
            </w:tcBorders>
            <w:shd w:val="clear" w:color="auto" w:fill="C0FFFF"/>
          </w:tcPr>
          <w:p>
            <w:pPr>
              <w:spacing w:after="0"/>
              <w:rPr>
                <w:sz w:val="19"/>
                <w:szCs w:val="19"/>
                <w:color w:val="auto"/>
              </w:rPr>
            </w:pPr>
          </w:p>
        </w:tc>
        <w:tc>
          <w:tcPr>
            <w:tcW w:w="7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Balance as of January 1, 2011</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5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Lapse of statute</w:t>
            </w:r>
          </w:p>
        </w:tc>
        <w:tc>
          <w:tcPr>
            <w:tcW w:w="1000" w:type="dxa"/>
            <w:vAlign w:val="bottom"/>
            <w:tcBorders>
              <w:bottom w:val="single" w:sz="8" w:color="auto"/>
            </w:tcBorders>
            <w:shd w:val="clear" w:color="auto" w:fill="C0FFFF"/>
          </w:tcPr>
          <w:p>
            <w:pPr>
              <w:spacing w:after="0"/>
              <w:rPr>
                <w:sz w:val="19"/>
                <w:szCs w:val="19"/>
                <w:color w:val="auto"/>
              </w:rPr>
            </w:pPr>
          </w:p>
        </w:tc>
        <w:tc>
          <w:tcPr>
            <w:tcW w:w="7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(50</w:t>
            </w:r>
          </w:p>
        </w:tc>
        <w:tc>
          <w:tcPr>
            <w:tcW w:w="54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Balance as of December 31, 2011</w:t>
            </w: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5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of December 31, 2011 and January 1, 2011, approximately $0.2 million and $0.3 million respectively, of the unrecognized tax benefits would impact the Company’s provision for income taxes and effective tax rate if recognized. In the normal course of business, the Company provides for uncertain tax positions and the related interest and penalties and adjusts its unrecognized tax benefits and accrued interest and penalties accordingly. During the next fiscal year, it is reasonably possible to reduce unrecognized tax benefits by $8,000 either because the tax positions are sustained on audit or expiration of statute of limitations.</w:t>
      </w:r>
    </w:p>
    <w:p>
      <w:pPr>
        <w:spacing w:after="0" w:line="24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There was approximately $40,000 of accrued interest related to uncertain tax positions as of December 31, 2011 and January 1, 2011.</w:t>
      </w:r>
    </w:p>
    <w:p>
      <w:pPr>
        <w:spacing w:after="0" w:line="22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Company’s income before income taxes from domestic and foreign operations (which include the United Kingdom, Canada, France and Ireland),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580" w:type="dxa"/>
            <w:vAlign w:val="bottom"/>
            <w:shd w:val="clear" w:color="auto" w:fill="C0FFFF"/>
          </w:tcPr>
          <w:p>
            <w:pPr>
              <w:spacing w:after="0"/>
              <w:rPr>
                <w:sz w:val="20"/>
                <w:szCs w:val="20"/>
                <w:color w:val="auto"/>
              </w:rPr>
            </w:pPr>
            <w:r>
              <w:rPr>
                <w:rFonts w:ascii="Arial" w:cs="Arial" w:eastAsia="Arial" w:hAnsi="Arial"/>
                <w:sz w:val="18"/>
                <w:szCs w:val="18"/>
                <w:color w:val="auto"/>
              </w:rPr>
              <w:t>Domestic</w:t>
            </w:r>
          </w:p>
        </w:tc>
        <w:tc>
          <w:tcPr>
            <w:tcW w:w="2880" w:type="dxa"/>
            <w:vAlign w:val="bottom"/>
            <w:gridSpan w:val="2"/>
            <w:shd w:val="clear" w:color="auto" w:fill="C0FFFF"/>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w w:val="94"/>
              </w:rPr>
              <w:t>(6,200)</w:t>
            </w:r>
          </w:p>
        </w:tc>
        <w:tc>
          <w:tcPr>
            <w:tcW w:w="940" w:type="dxa"/>
            <w:vAlign w:val="bottom"/>
            <w:gridSpan w:val="2"/>
            <w:shd w:val="clear" w:color="auto" w:fill="C0FFFF"/>
          </w:tcPr>
          <w:p>
            <w:pPr>
              <w:jc w:val="right"/>
              <w:ind w:right="69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4"/>
              </w:rPr>
              <w:t>(8,744)</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(23,500)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Foreign</w:t>
            </w: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5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0FFFF"/>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w w:val="94"/>
              </w:rPr>
              <w:t>(2,652)</w:t>
            </w:r>
          </w:p>
        </w:tc>
        <w:tc>
          <w:tcPr>
            <w:tcW w:w="940" w:type="dxa"/>
            <w:vAlign w:val="bottom"/>
            <w:gridSpan w:val="2"/>
            <w:shd w:val="clear" w:color="auto" w:fill="C0FFFF"/>
          </w:tcPr>
          <w:p>
            <w:pPr>
              <w:jc w:val="right"/>
              <w:ind w:right="69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4"/>
              </w:rPr>
              <w:t>(2,472)</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(23,840)</w:t>
            </w:r>
          </w:p>
        </w:tc>
        <w:tc>
          <w:tcPr>
            <w:tcW w:w="114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tcBorders>
              <w:top w:val="single" w:sz="8" w:color="C0FFFF"/>
            </w:tcBorders>
            <w:shd w:val="clear" w:color="auto" w:fill="C0FFFF"/>
          </w:tcPr>
          <w:p>
            <w:pPr>
              <w:spacing w:after="0" w:line="20" w:lineRule="exact"/>
              <w:rPr>
                <w:sz w:val="1"/>
                <w:szCs w:val="1"/>
                <w:color w:val="auto"/>
              </w:rPr>
            </w:pPr>
          </w:p>
        </w:tc>
        <w:tc>
          <w:tcPr>
            <w:tcW w:w="200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55"/>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80" w:type="dxa"/>
            <w:vAlign w:val="bottom"/>
            <w:gridSpan w:val="2"/>
          </w:tcPr>
          <w:p>
            <w:pPr>
              <w:jc w:val="right"/>
              <w:ind w:right="73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5" w:name="page66"/>
    <w:bookmarkEnd w:id="65"/>
    <w:tbl>
      <w:tblPr>
        <w:tblLayout w:type="fixed"/>
        <w:tblInd w:w="50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w w:val="95"/>
              </w:rPr>
              <w:t>The following tax years remain open in the Company’s major taxing jurisdictions as of December 31, 2011:</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vMerge w:val="restart"/>
          </w:tcPr>
          <w:p>
            <w:pPr>
              <w:spacing w:after="0"/>
              <w:rPr>
                <w:sz w:val="23"/>
                <w:szCs w:val="23"/>
                <w:color w:val="auto"/>
              </w:rPr>
            </w:pPr>
          </w:p>
        </w:tc>
        <w:tc>
          <w:tcPr>
            <w:tcW w:w="7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United States (Federal)</w:t>
            </w:r>
          </w:p>
        </w:tc>
        <w:tc>
          <w:tcPr>
            <w:tcW w:w="1700" w:type="dxa"/>
            <w:vAlign w:val="bottom"/>
            <w:shd w:val="clear" w:color="auto" w:fill="C0FFFF"/>
          </w:tcPr>
          <w:p>
            <w:pPr>
              <w:ind w:left="340"/>
              <w:spacing w:after="0"/>
              <w:rPr>
                <w:sz w:val="20"/>
                <w:szCs w:val="20"/>
                <w:color w:val="auto"/>
              </w:rPr>
            </w:pPr>
            <w:r>
              <w:rPr>
                <w:rFonts w:ascii="Arial" w:cs="Arial" w:eastAsia="Arial" w:hAnsi="Arial"/>
                <w:sz w:val="18"/>
                <w:szCs w:val="18"/>
                <w:color w:val="auto"/>
                <w:w w:val="88"/>
              </w:rPr>
              <w:t>2008 through 2011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United Kingdom</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2006 through 2011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Canada</w:t>
            </w:r>
          </w:p>
        </w:tc>
        <w:tc>
          <w:tcPr>
            <w:tcW w:w="1700" w:type="dxa"/>
            <w:vAlign w:val="bottom"/>
            <w:shd w:val="clear" w:color="auto" w:fill="C0FFFF"/>
          </w:tcPr>
          <w:p>
            <w:pPr>
              <w:ind w:left="340"/>
              <w:spacing w:after="0"/>
              <w:rPr>
                <w:sz w:val="20"/>
                <w:szCs w:val="20"/>
                <w:color w:val="auto"/>
              </w:rPr>
            </w:pPr>
            <w:r>
              <w:rPr>
                <w:rFonts w:ascii="Arial" w:cs="Arial" w:eastAsia="Arial" w:hAnsi="Arial"/>
                <w:sz w:val="18"/>
                <w:szCs w:val="18"/>
                <w:color w:val="auto"/>
                <w:w w:val="88"/>
              </w:rPr>
              <w:t>2009 through 2011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France</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2007 through 2011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Ireland</w:t>
            </w:r>
          </w:p>
        </w:tc>
        <w:tc>
          <w:tcPr>
            <w:tcW w:w="1700" w:type="dxa"/>
            <w:vAlign w:val="bottom"/>
            <w:shd w:val="clear" w:color="auto" w:fill="C0FFFF"/>
          </w:tcPr>
          <w:p>
            <w:pPr>
              <w:ind w:left="340"/>
              <w:spacing w:after="0"/>
              <w:rPr>
                <w:sz w:val="20"/>
                <w:szCs w:val="20"/>
                <w:color w:val="auto"/>
              </w:rPr>
            </w:pPr>
            <w:r>
              <w:rPr>
                <w:rFonts w:ascii="Arial" w:cs="Arial" w:eastAsia="Arial" w:hAnsi="Arial"/>
                <w:sz w:val="18"/>
                <w:szCs w:val="18"/>
                <w:color w:val="auto"/>
                <w:w w:val="88"/>
              </w:rPr>
              <w:t>2007 through 2011</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8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December 30, 2011, the Company amended its existing bank line of credit that provides borrowing capacity for the first half of the fiscal year of $40 million and a seasonal overline of $50 million. The seasonal overline is in effect from July 1 to December 31 each year. Borrowings under the credit agreement are secured by our assets and a pledge of 65% of our ownership interest in our foreign subsidiaries. The credit agreement expires on December 31, 2013 and contains various restrictions on indebtedness, liens, guarantees, redemptions, mergers, acquisitions or sale of assets, loans, transactions with affiliates, and investments. It prohibits the Company from declaring dividends without the bank’s prior consent, unless such payment of dividends would not violate any terms of the credit agreement. The Company is also prohibited from repurchasing shares of its common stock unless such purchase would not violate any terms of the credit agreement; the Company may not use proceeds of the line of credit to repurchase shares. Borrowings bear interest at LIBOR plus 1.8%. Financial covenants include maintaining a minimum tangible net worth, maintaining a minimum fixed charge cover ratio (as defined in the credit agreement) and not exceeding a maximum funded debt to earnings before interest, depreciation and amortization ratio. As of December 31, 2011: (i) the Company was in compliance with these covenants; (ii) there were no borrowings under our line of credit; and (iii) there was a standby letter of credit of approximately $1.1 million outstanding under the credit agreement. Giving effect to this standby letter of credit, there was approximately $48.9 million available for borrowing under the line of credit.</w:t>
      </w:r>
    </w:p>
    <w:p>
      <w:pPr>
        <w:spacing w:after="0" w:line="176"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83" w:lineRule="exact"/>
        <w:rPr>
          <w:sz w:val="20"/>
          <w:szCs w:val="20"/>
          <w:color w:val="auto"/>
        </w:rPr>
      </w:pPr>
    </w:p>
    <w:p>
      <w:pPr>
        <w:ind w:left="920" w:hanging="480"/>
        <w:spacing w:after="0"/>
        <w:tabs>
          <w:tab w:leader="none" w:pos="92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7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$48.2 million, $47.7 million and $45.9 million, and contingent rents were $1.2 million, $1.0 million and $0.9 million for 2011, 2010 and 2009, respectively.</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Future minimum lease payments at December 31, 2011, were as follows (in thousands):</w:t>
            </w: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vMerge w:val="restart"/>
          </w:tcPr>
          <w:p>
            <w:pPr>
              <w:spacing w:after="0"/>
              <w:rPr>
                <w:sz w:val="23"/>
                <w:szCs w:val="23"/>
                <w:color w:val="auto"/>
              </w:rPr>
            </w:pPr>
          </w:p>
        </w:tc>
        <w:tc>
          <w:tcPr>
            <w:tcW w:w="6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660" w:type="dxa"/>
            <w:vAlign w:val="bottom"/>
            <w:shd w:val="clear" w:color="auto" w:fill="C0FFFF"/>
          </w:tcPr>
          <w:p>
            <w:pPr>
              <w:spacing w:after="0"/>
              <w:rPr>
                <w:sz w:val="20"/>
                <w:szCs w:val="20"/>
                <w:color w:val="auto"/>
              </w:rPr>
            </w:pPr>
            <w:r>
              <w:rPr>
                <w:rFonts w:ascii="Arial" w:cs="Arial" w:eastAsia="Arial" w:hAnsi="Arial"/>
                <w:sz w:val="18"/>
                <w:szCs w:val="18"/>
                <w:color w:val="auto"/>
              </w:rPr>
              <w:t>2012</w:t>
            </w:r>
          </w:p>
        </w:tc>
        <w:tc>
          <w:tcPr>
            <w:tcW w:w="144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45,755</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2013</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0FFFF"/>
          </w:tcPr>
          <w:p>
            <w:pPr>
              <w:spacing w:after="0"/>
              <w:rPr>
                <w:sz w:val="20"/>
                <w:szCs w:val="20"/>
                <w:color w:val="auto"/>
              </w:rPr>
            </w:pPr>
            <w:r>
              <w:rPr>
                <w:rFonts w:ascii="Arial" w:cs="Arial" w:eastAsia="Arial" w:hAnsi="Arial"/>
                <w:sz w:val="18"/>
                <w:szCs w:val="18"/>
                <w:color w:val="auto"/>
              </w:rPr>
              <w:t>2014</w:t>
            </w:r>
          </w:p>
        </w:tc>
        <w:tc>
          <w:tcPr>
            <w:tcW w:w="102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34,159</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2015</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0FFFF"/>
          </w:tcPr>
          <w:p>
            <w:pPr>
              <w:spacing w:after="0"/>
              <w:rPr>
                <w:sz w:val="20"/>
                <w:szCs w:val="20"/>
                <w:color w:val="auto"/>
              </w:rPr>
            </w:pPr>
            <w:r>
              <w:rPr>
                <w:rFonts w:ascii="Arial" w:cs="Arial" w:eastAsia="Arial" w:hAnsi="Arial"/>
                <w:sz w:val="18"/>
                <w:szCs w:val="18"/>
                <w:color w:val="auto"/>
              </w:rPr>
              <w:t>2016</w:t>
            </w:r>
          </w:p>
        </w:tc>
        <w:tc>
          <w:tcPr>
            <w:tcW w:w="102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21,253</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Subsequent to 2016</w:t>
            </w:r>
          </w:p>
        </w:tc>
        <w:tc>
          <w:tcPr>
            <w:tcW w:w="10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660" w:type="dxa"/>
            <w:vAlign w:val="bottom"/>
            <w:shd w:val="clear" w:color="auto" w:fill="C0FFFF"/>
          </w:tcPr>
          <w:p>
            <w:pPr>
              <w:spacing w:after="0"/>
              <w:rPr>
                <w:sz w:val="20"/>
                <w:szCs w:val="20"/>
                <w:color w:val="auto"/>
              </w:rPr>
            </w:pPr>
          </w:p>
        </w:tc>
        <w:tc>
          <w:tcPr>
            <w:tcW w:w="1440" w:type="dxa"/>
            <w:vAlign w:val="bottom"/>
            <w:gridSpan w:val="2"/>
            <w:shd w:val="clear" w:color="auto" w:fill="C0FF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205,349</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60" w:type="dxa"/>
            <w:vAlign w:val="bottom"/>
            <w:tcBorders>
              <w:top w:val="single" w:sz="8" w:color="C0FFFF"/>
            </w:tcBorders>
            <w:shd w:val="clear" w:color="auto" w:fill="C0FFFF"/>
          </w:tcPr>
          <w:p>
            <w:pPr>
              <w:spacing w:after="0" w:line="20" w:lineRule="exact"/>
              <w:rPr>
                <w:sz w:val="1"/>
                <w:szCs w:val="1"/>
                <w:color w:val="auto"/>
              </w:rPr>
            </w:pPr>
          </w:p>
        </w:tc>
        <w:tc>
          <w:tcPr>
            <w:tcW w:w="1020" w:type="dxa"/>
            <w:vAlign w:val="bottom"/>
            <w:tcBorders>
              <w:top w:val="single" w:sz="8" w:color="C0FFFF"/>
            </w:tcBorders>
            <w:shd w:val="clear" w:color="auto" w:fill="C0FF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20" w:hanging="480"/>
        <w:spacing w:after="0"/>
        <w:tabs>
          <w:tab w:leader="none" w:pos="92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7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 the normal course of business, the Company is subject to certain claims or lawsuits. Management is not aware of any claims or lawsuits that will have a material adverse effect on the consolidated financial position or results of operations of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6" w:name="page67"/>
    <w:bookmarkEnd w:id="66"/>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83"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(loss) earnings before allocation of earnings to participating securities</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(17,062)</w:t>
            </w:r>
          </w:p>
        </w:tc>
        <w:tc>
          <w:tcPr>
            <w:tcW w:w="3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0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Net (loss) earnings after allocation of earnings to participating securities</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(17,062)</w:t>
            </w:r>
          </w:p>
        </w:tc>
        <w:tc>
          <w:tcPr>
            <w:tcW w:w="3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97</w:t>
            </w:r>
          </w:p>
        </w:tc>
        <w:tc>
          <w:tcPr>
            <w:tcW w:w="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0FF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17,371,315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18,601,465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18,874,352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0FFFF"/>
          </w:tcPr>
          <w:p>
            <w:pPr>
              <w:ind w:left="480"/>
              <w:spacing w:after="0"/>
              <w:rPr>
                <w:sz w:val="20"/>
                <w:szCs w:val="20"/>
                <w:color w:val="auto"/>
              </w:rPr>
            </w:pPr>
            <w:r>
              <w:rPr>
                <w:rFonts w:ascii="Arial" w:cs="Arial" w:eastAsia="Arial" w:hAnsi="Arial"/>
                <w:sz w:val="18"/>
                <w:szCs w:val="18"/>
                <w:color w:val="auto"/>
              </w:rPr>
              <w:t>Dilutive effect of share-based awards:</w:t>
            </w:r>
          </w:p>
        </w:tc>
        <w:tc>
          <w:tcPr>
            <w:tcW w:w="28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51,547</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17,371,315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18,653,012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18,874,352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80" w:type="dxa"/>
            <w:vAlign w:val="bottom"/>
            <w:shd w:val="clear" w:color="auto" w:fill="C0FFFF"/>
          </w:tcPr>
          <w:p>
            <w:pPr>
              <w:spacing w:after="0" w:line="195" w:lineRule="exact"/>
              <w:rPr>
                <w:sz w:val="20"/>
                <w:szCs w:val="20"/>
                <w:color w:val="auto"/>
              </w:rPr>
            </w:pPr>
            <w:r>
              <w:rPr>
                <w:rFonts w:ascii="Arial" w:cs="Arial" w:eastAsia="Arial" w:hAnsi="Arial"/>
                <w:sz w:val="18"/>
                <w:szCs w:val="18"/>
                <w:color w:val="auto"/>
              </w:rPr>
              <w:t>Basic (loss) earnings per common share attributable to Build-A-Bear Workshop, Inc,</w:t>
            </w:r>
          </w:p>
        </w:tc>
        <w:tc>
          <w:tcPr>
            <w:tcW w:w="280" w:type="dxa"/>
            <w:vAlign w:val="bottom"/>
            <w:shd w:val="clear" w:color="auto" w:fill="C0FFFF"/>
          </w:tcPr>
          <w:p>
            <w:pPr>
              <w:spacing w:after="0"/>
              <w:rPr>
                <w:sz w:val="16"/>
                <w:szCs w:val="16"/>
                <w:color w:val="auto"/>
              </w:rPr>
            </w:pPr>
          </w:p>
        </w:tc>
        <w:tc>
          <w:tcPr>
            <w:tcW w:w="980" w:type="dxa"/>
            <w:vAlign w:val="bottom"/>
            <w:shd w:val="clear" w:color="auto" w:fill="C0FFFF"/>
          </w:tcPr>
          <w:p>
            <w:pPr>
              <w:spacing w:after="0"/>
              <w:rPr>
                <w:sz w:val="16"/>
                <w:szCs w:val="16"/>
                <w:color w:val="auto"/>
              </w:rPr>
            </w:pPr>
          </w:p>
        </w:tc>
        <w:tc>
          <w:tcPr>
            <w:tcW w:w="16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60" w:type="dxa"/>
            <w:vAlign w:val="bottom"/>
            <w:shd w:val="clear" w:color="auto" w:fill="C0FFFF"/>
          </w:tcPr>
          <w:p>
            <w:pPr>
              <w:spacing w:after="0"/>
              <w:rPr>
                <w:sz w:val="16"/>
                <w:szCs w:val="16"/>
                <w:color w:val="auto"/>
              </w:rPr>
            </w:pPr>
          </w:p>
        </w:tc>
        <w:tc>
          <w:tcPr>
            <w:tcW w:w="98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280" w:type="dxa"/>
            <w:vAlign w:val="bottom"/>
            <w:shd w:val="clear" w:color="auto" w:fill="C0FFFF"/>
          </w:tcPr>
          <w:p>
            <w:pPr>
              <w:spacing w:after="0"/>
              <w:rPr>
                <w:sz w:val="16"/>
                <w:szCs w:val="16"/>
                <w:color w:val="auto"/>
              </w:rPr>
            </w:pPr>
          </w:p>
        </w:tc>
        <w:tc>
          <w:tcPr>
            <w:tcW w:w="98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0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stockholders:</w:t>
            </w:r>
          </w:p>
        </w:tc>
        <w:tc>
          <w:tcPr>
            <w:tcW w:w="280" w:type="dxa"/>
            <w:vAlign w:val="bottom"/>
            <w:shd w:val="clear" w:color="auto" w:fill="C0FF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(0.98)</w:t>
            </w:r>
          </w:p>
        </w:tc>
        <w:tc>
          <w:tcPr>
            <w:tcW w:w="36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0.01</w:t>
            </w:r>
          </w:p>
        </w:tc>
        <w:tc>
          <w:tcPr>
            <w:tcW w:w="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80" w:type="dxa"/>
            <w:vAlign w:val="bottom"/>
            <w:tcBorders>
              <w:top w:val="single" w:sz="8" w:color="C0FFFF"/>
            </w:tcBorders>
          </w:tcPr>
          <w:p>
            <w:pPr>
              <w:spacing w:after="0" w:line="195" w:lineRule="exact"/>
              <w:rPr>
                <w:sz w:val="20"/>
                <w:szCs w:val="20"/>
                <w:color w:val="auto"/>
              </w:rPr>
            </w:pPr>
            <w:r>
              <w:rPr>
                <w:rFonts w:ascii="Arial" w:cs="Arial" w:eastAsia="Arial" w:hAnsi="Arial"/>
                <w:sz w:val="18"/>
                <w:szCs w:val="18"/>
                <w:color w:val="auto"/>
              </w:rPr>
              <w:t>Diluted (loss) earnings per common share attributable to Build-A-Bear Workshop, Inc,</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In calculating diluted earnings per share for fiscal 2011, 2010 and 2009, options to purchase 1,210,816, 627,456 and 805,347, respectively, shares of common stock were outstanding at the end of the period, but were not included in the computation of diluted earnings per share due to their anti-dilutive effect under provisions of ASC 260-10.</w:t>
      </w:r>
    </w:p>
    <w:p>
      <w:pPr>
        <w:spacing w:after="0" w:line="23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Due to the net loss in fiscal 2011 and fiscal 2009, the denominator for diluted earnings per common share is the same as the denominator for basic earnings per common share for those periods because the inclusion of stock options and unvested restricted shares would be anti-dilutive.</w:t>
      </w:r>
    </w:p>
    <w:p>
      <w:pPr>
        <w:spacing w:after="0" w:line="174"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28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On April 3, 2000, the Company adopted the 2000 Stock Option Plan (the Plan). In 2003, the Company adopted the Build-A-Bear Workshop, Inc. 2002 Stock Incentive Plan, in 2004, the Company adopted the Build-A-Bear Workshop, Inc. 2004 Stock Incentive Plan and in 2009, the Company amended and restated the Build-A-Bear Workshop, Inc. 2004 Stock Incentive Plan (collectively, the Plans).</w:t>
      </w:r>
    </w:p>
    <w:p>
      <w:pPr>
        <w:spacing w:after="0" w:line="23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Under the Plans, as amended, from January 3, 2009, up to 3,230,000 shares of common stock were reserved and may be granted to employees and nonemployees of the Company. The Plan allows for the grant of incentive stock options, nonqualified stock options, stock appreciation rights (SAR) and restricted stock. Options granted under the Plan expire no later than 10 years from the date of the grant. The exercise price of each incentive stock option shall not be less than 100% of the fair value of the stock subject to the option on the date the option is granted. The exercise price of all options shall be the fair market value on the date of the grant. The vesting provision of individual options is at the discretion of the compensation committee of the board of directors and generally ranges from one to four years. Each share of stock awarded pursuant to an option or subject to the exercised portion of a SAR reduces the number of shares available by one share. Each share of stock awarded pursuant to any other stock-based awards, including restricted stock grants, reduces the number of shares available by 1.27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7" w:name="page68"/>
    <w:bookmarkEnd w:id="67"/>
    <w:p>
      <w:pPr>
        <w:ind w:left="920" w:hanging="480"/>
        <w:spacing w:after="0"/>
        <w:tabs>
          <w:tab w:leader="none" w:pos="92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3, 2009</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354,772</w:t>
            </w:r>
          </w:p>
        </w:tc>
        <w:tc>
          <w:tcPr>
            <w:tcW w:w="3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15.98</w:t>
            </w:r>
          </w:p>
        </w:tc>
        <w:tc>
          <w:tcPr>
            <w:tcW w:w="1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480,967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30,392</w:t>
            </w:r>
          </w:p>
        </w:tc>
        <w:tc>
          <w:tcPr>
            <w:tcW w:w="24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400" w:type="dxa"/>
            <w:vAlign w:val="bottom"/>
            <w:tcBorders>
              <w:bottom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14.25</w:t>
            </w:r>
          </w:p>
        </w:tc>
        <w:tc>
          <w:tcPr>
            <w:tcW w:w="124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C0FFFF"/>
            </w:tcBorders>
            <w:shd w:val="clear" w:color="auto" w:fill="C0FFFF"/>
          </w:tcPr>
          <w:p>
            <w:pPr>
              <w:spacing w:after="0"/>
              <w:rPr>
                <w:sz w:val="19"/>
                <w:szCs w:val="19"/>
                <w:color w:val="auto"/>
              </w:rPr>
            </w:pPr>
          </w:p>
        </w:tc>
        <w:tc>
          <w:tcPr>
            <w:tcW w:w="1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Outstanding, January 2, 2010</w:t>
            </w:r>
          </w:p>
        </w:tc>
        <w:tc>
          <w:tcPr>
            <w:tcW w:w="1260" w:type="dxa"/>
            <w:vAlign w:val="bottom"/>
          </w:tcPr>
          <w:p>
            <w:pPr>
              <w:jc w:val="right"/>
              <w:spacing w:after="0"/>
              <w:rPr>
                <w:sz w:val="20"/>
                <w:szCs w:val="20"/>
                <w:color w:val="auto"/>
              </w:rPr>
            </w:pPr>
            <w:r>
              <w:rPr>
                <w:rFonts w:ascii="Arial" w:cs="Arial" w:eastAsia="Arial" w:hAnsi="Arial"/>
                <w:sz w:val="18"/>
                <w:szCs w:val="18"/>
                <w:color w:val="auto"/>
              </w:rPr>
              <w:t>805,347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391,228</w:t>
            </w:r>
          </w:p>
        </w:tc>
        <w:tc>
          <w:tcPr>
            <w:tcW w:w="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6.63</w:t>
            </w:r>
          </w:p>
        </w:tc>
        <w:tc>
          <w:tcPr>
            <w:tcW w:w="1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28,484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0.87</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42,868</w:t>
            </w:r>
          </w:p>
        </w:tc>
        <w:tc>
          <w:tcPr>
            <w:tcW w:w="24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400" w:type="dxa"/>
            <w:vAlign w:val="bottom"/>
            <w:tcBorders>
              <w:bottom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9.32</w:t>
            </w:r>
          </w:p>
        </w:tc>
        <w:tc>
          <w:tcPr>
            <w:tcW w:w="124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C0FFFF"/>
            </w:tcBorders>
            <w:shd w:val="clear" w:color="auto" w:fill="C0FFFF"/>
          </w:tcPr>
          <w:p>
            <w:pPr>
              <w:spacing w:after="0"/>
              <w:rPr>
                <w:sz w:val="19"/>
                <w:szCs w:val="19"/>
                <w:color w:val="auto"/>
              </w:rPr>
            </w:pPr>
          </w:p>
        </w:tc>
        <w:tc>
          <w:tcPr>
            <w:tcW w:w="1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Outstanding, January 1, 2011</w:t>
            </w:r>
          </w:p>
        </w:tc>
        <w:tc>
          <w:tcPr>
            <w:tcW w:w="1260" w:type="dxa"/>
            <w:vAlign w:val="bottom"/>
          </w:tcPr>
          <w:p>
            <w:pPr>
              <w:jc w:val="right"/>
              <w:spacing w:after="0"/>
              <w:rPr>
                <w:sz w:val="20"/>
                <w:szCs w:val="20"/>
                <w:color w:val="auto"/>
              </w:rPr>
            </w:pPr>
            <w:r>
              <w:rPr>
                <w:rFonts w:ascii="Arial" w:cs="Arial" w:eastAsia="Arial" w:hAnsi="Arial"/>
                <w:sz w:val="18"/>
                <w:szCs w:val="18"/>
                <w:color w:val="auto"/>
              </w:rPr>
              <w:t>1,125,223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305,727</w:t>
            </w:r>
          </w:p>
        </w:tc>
        <w:tc>
          <w:tcPr>
            <w:tcW w:w="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6.22</w:t>
            </w:r>
          </w:p>
        </w:tc>
        <w:tc>
          <w:tcPr>
            <w:tcW w:w="1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55,501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164,633</w:t>
            </w:r>
          </w:p>
        </w:tc>
        <w:tc>
          <w:tcPr>
            <w:tcW w:w="24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400" w:type="dxa"/>
            <w:vAlign w:val="bottom"/>
            <w:tcBorders>
              <w:bottom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7.04</w:t>
            </w:r>
          </w:p>
        </w:tc>
        <w:tc>
          <w:tcPr>
            <w:tcW w:w="124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C0FFFF"/>
            </w:tcBorders>
            <w:shd w:val="clear" w:color="auto" w:fill="C0FFFF"/>
          </w:tcPr>
          <w:p>
            <w:pPr>
              <w:spacing w:after="0"/>
              <w:rPr>
                <w:sz w:val="19"/>
                <w:szCs w:val="19"/>
                <w:color w:val="auto"/>
              </w:rPr>
            </w:pPr>
          </w:p>
        </w:tc>
        <w:tc>
          <w:tcPr>
            <w:tcW w:w="1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Outstanding, December 31, 2011</w:t>
            </w:r>
          </w:p>
        </w:tc>
        <w:tc>
          <w:tcPr>
            <w:tcW w:w="1260" w:type="dxa"/>
            <w:vAlign w:val="bottom"/>
          </w:tcPr>
          <w:p>
            <w:pPr>
              <w:jc w:val="right"/>
              <w:spacing w:after="0"/>
              <w:rPr>
                <w:sz w:val="20"/>
                <w:szCs w:val="20"/>
                <w:color w:val="auto"/>
              </w:rPr>
            </w:pPr>
            <w:r>
              <w:rPr>
                <w:rFonts w:ascii="Arial" w:cs="Arial" w:eastAsia="Arial" w:hAnsi="Arial"/>
                <w:sz w:val="18"/>
                <w:szCs w:val="18"/>
                <w:color w:val="auto"/>
              </w:rPr>
              <w:t>1,210,816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0FFFF"/>
          </w:tcPr>
          <w:p>
            <w:pPr>
              <w:spacing w:after="0"/>
              <w:rPr>
                <w:sz w:val="18"/>
                <w:szCs w:val="18"/>
                <w:color w:val="auto"/>
              </w:rPr>
            </w:pPr>
          </w:p>
        </w:tc>
        <w:tc>
          <w:tcPr>
            <w:tcW w:w="12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Options Exercisable As Of:</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December 31, 2011</w:t>
            </w:r>
          </w:p>
        </w:tc>
        <w:tc>
          <w:tcPr>
            <w:tcW w:w="12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480,814</w:t>
            </w:r>
          </w:p>
        </w:tc>
        <w:tc>
          <w:tcPr>
            <w:tcW w:w="24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Borders>
              <w:bottom w:val="single" w:sz="8" w:color="C0FFFF"/>
            </w:tcBorders>
            <w:shd w:val="clear" w:color="auto" w:fill="C0FFFF"/>
          </w:tcPr>
          <w:p>
            <w:pPr>
              <w:spacing w:after="0"/>
              <w:rPr>
                <w:sz w:val="22"/>
                <w:szCs w:val="22"/>
                <w:color w:val="auto"/>
              </w:rPr>
            </w:pPr>
          </w:p>
        </w:tc>
        <w:tc>
          <w:tcPr>
            <w:tcW w:w="12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C0FFFF"/>
            </w:tcBorders>
            <w:shd w:val="clear" w:color="auto" w:fill="C0FFFF"/>
          </w:tcPr>
          <w:p>
            <w:pPr>
              <w:spacing w:after="0"/>
              <w:rPr>
                <w:sz w:val="22"/>
                <w:szCs w:val="22"/>
                <w:color w:val="auto"/>
              </w:rPr>
            </w:pPr>
          </w:p>
        </w:tc>
        <w:tc>
          <w:tcPr>
            <w:tcW w:w="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The expense recorded related to options granted during fiscal 2011 was determined using the Black-Scholes option pricing model and the provisions of Staff Accounting Bulletin (SAB) 107 and 110, which allow the use of a simplified method to estimate the expected term of “plain vanilla” options. The assumptions used in the option pricing model during fiscal 2011 were: (a) dividend yield of 0%; (b) volatility of 65%; (c) risk-free interest rates ranging from 1.2% to 2.5%; and (d) an expected life of 6.25 years. The grant date fair value of options granted in 2011 was approximately $1.2 million.</w:t>
      </w:r>
    </w:p>
    <w:p>
      <w:pPr>
        <w:spacing w:after="0" w:line="208"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The assumptions used in the option pricing model during fiscal 2010 were: (a) dividend yield of 0%; (b) volatility of 65%; (c) risk-free interest rates ranging from 2.1% to 3.4%; and (d) an expected life of 6.25 years. The assumptions used in the option pricing model during fiscal 2009 were: (a) dividend yield of 0%; (b) volatility of 65%; (c) risk-free interest rates ranging from 2.3% to 3.1%; and (d) an expected life of 6.25 years.</w:t>
      </w:r>
    </w:p>
    <w:p>
      <w:pPr>
        <w:spacing w:after="0" w:line="220"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total intrinsic value of options exercised in fiscal 2011 and fiscal 2010 was approximately $0.1 and $0.2 million. No options were exercised in 2009. The Company generally issues new shares to satisfy option exercises.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Shares available for future option, non-vested stock and restricted stock grants were 1,104,894 and 1,877,010 at the end of 2011 and 2010,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8" w:name="page69"/>
    <w:bookmarkEnd w:id="68"/>
    <w:p>
      <w:pPr>
        <w:ind w:left="920" w:hanging="480"/>
        <w:spacing w:after="0"/>
        <w:tabs>
          <w:tab w:leader="none" w:pos="9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7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is a summary of the balance and activity for the Plans related to unvested restricted stock granted as compensation to employees and directors for the periods presented: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3, 2009</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713,756</w:t>
            </w:r>
          </w:p>
        </w:tc>
        <w:tc>
          <w:tcPr>
            <w:tcW w:w="3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1,144,343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294,545</w:t>
            </w:r>
          </w:p>
        </w:tc>
        <w:tc>
          <w:tcPr>
            <w:tcW w:w="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2, 2010</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1,450,308</w:t>
            </w:r>
          </w:p>
        </w:tc>
        <w:tc>
          <w:tcPr>
            <w:tcW w:w="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486,302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376,142</w:t>
            </w:r>
          </w:p>
        </w:tc>
        <w:tc>
          <w:tcPr>
            <w:tcW w:w="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Outstanding, January 1, 2011</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1,468,373</w:t>
            </w:r>
          </w:p>
        </w:tc>
        <w:tc>
          <w:tcPr>
            <w:tcW w:w="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532,791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394,766</w:t>
            </w:r>
          </w:p>
        </w:tc>
        <w:tc>
          <w:tcPr>
            <w:tcW w:w="1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168,267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120" w:type="dxa"/>
            <w:vAlign w:val="bottom"/>
            <w:tcBorders>
              <w:bottom w:val="single" w:sz="8" w:color="C0FFFF"/>
            </w:tcBorders>
            <w:shd w:val="clear" w:color="auto" w:fill="C0FFFF"/>
          </w:tcPr>
          <w:p>
            <w:pPr>
              <w:spacing w:after="0" w:line="196" w:lineRule="exact"/>
              <w:rPr>
                <w:sz w:val="20"/>
                <w:szCs w:val="20"/>
                <w:color w:val="auto"/>
              </w:rPr>
            </w:pPr>
            <w:r>
              <w:rPr>
                <w:rFonts w:ascii="Arial" w:cs="Arial" w:eastAsia="Arial" w:hAnsi="Arial"/>
                <w:sz w:val="18"/>
                <w:szCs w:val="18"/>
                <w:color w:val="auto"/>
              </w:rPr>
              <w:t>Outstanding, December 31, 2011</w:t>
            </w:r>
          </w:p>
        </w:tc>
        <w:tc>
          <w:tcPr>
            <w:tcW w:w="1380" w:type="dxa"/>
            <w:vAlign w:val="bottom"/>
            <w:tcBorders>
              <w:bottom w:val="single" w:sz="8" w:color="auto"/>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1,438,131</w:t>
            </w:r>
          </w:p>
        </w:tc>
        <w:tc>
          <w:tcPr>
            <w:tcW w:w="340" w:type="dxa"/>
            <w:vAlign w:val="bottom"/>
            <w:tcBorders>
              <w:bottom w:val="single" w:sz="8" w:color="C0FFFF"/>
            </w:tcBorders>
            <w:gridSpan w:val="2"/>
            <w:shd w:val="clear" w:color="auto" w:fill="C0FF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0FFFF"/>
            </w:tcBorders>
            <w:shd w:val="clear" w:color="auto" w:fill="C0FFFF"/>
          </w:tcPr>
          <w:p>
            <w:pPr>
              <w:jc w:val="right"/>
              <w:spacing w:after="0" w:line="196" w:lineRule="exact"/>
              <w:rPr>
                <w:sz w:val="20"/>
                <w:szCs w:val="20"/>
                <w:color w:val="auto"/>
              </w:rPr>
            </w:pPr>
            <w:r>
              <w:rPr>
                <w:rFonts w:ascii="Arial" w:cs="Arial" w:eastAsia="Arial" w:hAnsi="Arial"/>
                <w:sz w:val="18"/>
                <w:szCs w:val="18"/>
                <w:color w:val="auto"/>
              </w:rPr>
              <w:t>5.85</w:t>
            </w:r>
          </w:p>
        </w:tc>
        <w:tc>
          <w:tcPr>
            <w:tcW w:w="8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vesting date fair value of shares that vested in 2011, 2010 and 2009 was $2.5 million, $2.6 million and $1.6 million, respectively.</w:t>
      </w:r>
    </w:p>
    <w:p>
      <w:pPr>
        <w:spacing w:after="0" w:line="27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2011, 455,640 shares of non-vested restricted stock were granted to employees of the Company. The shares vest over a period of four years from the grant date at a grant date fair values ranging from $5.31 to $7.94. Various members of the Company’s board of directors were granted an additional 77,151 shares in the aggregate of non-vested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24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During 2010, 402,656 shares of non-vested restricted stock were granted to employees of the Company. The shares vest over a period of four years from the grant date at grant date fair values ranging from $5.94 to $9.64. Various members of the Company’s board of directors were granted an additional 83,646 shares in the aggregate of non-vested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242"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During 2009, 564,045 shares of non-vested restricted stock were granted to employees of the Company. The shares vest over a period of four years from the grant date at grant date fair values ranging from $4.41 to $5.14. An additional 460,990 shares were granted to certain employees at grant date fair values ranging from of $4.25 to $4.49. These shares cliff vest three years from the grant date. Various members of the Company’s board of directors were granted an additional 119,308 shares in the aggregate of non-vested restricted stock as compensation for services. The shares were issued subject to a restriction of continued service on the board of directors and all restrictions lapse one year from the grant date or upon a director’s retirement upon the completion of his or her term, if earlier.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71" w:right="339" w:bottom="1440" w:gutter="0" w:footer="0" w:header="0"/>
        </w:sectPr>
      </w:pPr>
    </w:p>
    <w:bookmarkStart w:id="69" w:name="page70"/>
    <w:bookmarkEnd w:id="69"/>
    <w:p>
      <w:pPr>
        <w:jc w:val="both"/>
        <w:ind w:firstLine="486"/>
        <w:spacing w:after="0" w:line="264" w:lineRule="auto"/>
        <w:rPr>
          <w:sz w:val="20"/>
          <w:szCs w:val="20"/>
          <w:color w:val="auto"/>
        </w:rPr>
      </w:pPr>
      <w:r>
        <w:rPr>
          <w:rFonts w:ascii="Arial" w:cs="Arial" w:eastAsia="Arial" w:hAnsi="Arial"/>
          <w:sz w:val="18"/>
          <w:szCs w:val="18"/>
          <w:color w:val="auto"/>
        </w:rPr>
        <w:t>The aggregate unearned compensation expense related to options and restricted stock was $6.5 million as of December 31, 2011. Based on the vesting provisions of the underlying equity instruments, future compensation expense related to previously issued options and restricted stock at December 31, 2011 will be as follows (in thousands):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shd w:val="clear" w:color="auto" w:fill="C0FFFF"/>
          </w:tcPr>
          <w:p>
            <w:pPr>
              <w:jc w:val="right"/>
              <w:ind w:right="3590"/>
              <w:spacing w:after="0"/>
              <w:rPr>
                <w:sz w:val="20"/>
                <w:szCs w:val="20"/>
                <w:color w:val="auto"/>
              </w:rPr>
            </w:pPr>
            <w:r>
              <w:rPr>
                <w:rFonts w:ascii="Arial" w:cs="Arial" w:eastAsia="Arial" w:hAnsi="Arial"/>
                <w:sz w:val="18"/>
                <w:szCs w:val="18"/>
                <w:color w:val="auto"/>
                <w:w w:val="79"/>
              </w:rPr>
              <w:t>2012</w:t>
            </w:r>
          </w:p>
        </w:tc>
        <w:tc>
          <w:tcPr>
            <w:tcW w:w="4180" w:type="dxa"/>
            <w:vAlign w:val="bottom"/>
            <w:gridSpan w:val="2"/>
            <w:shd w:val="clear" w:color="auto" w:fill="C0FF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jc w:val="right"/>
              <w:ind w:right="3590"/>
              <w:spacing w:after="0"/>
              <w:rPr>
                <w:sz w:val="20"/>
                <w:szCs w:val="20"/>
                <w:color w:val="auto"/>
              </w:rPr>
            </w:pPr>
            <w:r>
              <w:rPr>
                <w:rFonts w:ascii="Arial" w:cs="Arial" w:eastAsia="Arial" w:hAnsi="Arial"/>
                <w:sz w:val="18"/>
                <w:szCs w:val="18"/>
                <w:color w:val="auto"/>
                <w:w w:val="79"/>
              </w:rPr>
              <w:t>2013</w:t>
            </w:r>
          </w:p>
        </w:tc>
        <w:tc>
          <w:tcPr>
            <w:tcW w:w="3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0FFFF"/>
          </w:tcPr>
          <w:p>
            <w:pPr>
              <w:jc w:val="right"/>
              <w:ind w:right="3590"/>
              <w:spacing w:after="0"/>
              <w:rPr>
                <w:sz w:val="20"/>
                <w:szCs w:val="20"/>
                <w:color w:val="auto"/>
              </w:rPr>
            </w:pPr>
            <w:r>
              <w:rPr>
                <w:rFonts w:ascii="Arial" w:cs="Arial" w:eastAsia="Arial" w:hAnsi="Arial"/>
                <w:sz w:val="18"/>
                <w:szCs w:val="18"/>
                <w:color w:val="auto"/>
                <w:w w:val="79"/>
              </w:rPr>
              <w:t>2014</w:t>
            </w:r>
          </w:p>
        </w:tc>
        <w:tc>
          <w:tcPr>
            <w:tcW w:w="366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jc w:val="right"/>
              <w:ind w:right="3590"/>
              <w:spacing w:after="0"/>
              <w:rPr>
                <w:sz w:val="20"/>
                <w:szCs w:val="20"/>
                <w:color w:val="auto"/>
              </w:rPr>
            </w:pPr>
            <w:r>
              <w:rPr>
                <w:rFonts w:ascii="Arial" w:cs="Arial" w:eastAsia="Arial" w:hAnsi="Arial"/>
                <w:sz w:val="18"/>
                <w:szCs w:val="18"/>
                <w:color w:val="auto"/>
                <w:w w:val="79"/>
              </w:rPr>
              <w:t>2015</w:t>
            </w:r>
          </w:p>
        </w:tc>
        <w:tc>
          <w:tcPr>
            <w:tcW w:w="3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020" w:type="dxa"/>
            <w:vAlign w:val="bottom"/>
            <w:shd w:val="clear" w:color="auto" w:fill="C0FFFF"/>
          </w:tcPr>
          <w:p>
            <w:pPr>
              <w:spacing w:after="0"/>
              <w:rPr>
                <w:sz w:val="20"/>
                <w:szCs w:val="20"/>
                <w:color w:val="auto"/>
              </w:rPr>
            </w:pPr>
          </w:p>
        </w:tc>
        <w:tc>
          <w:tcPr>
            <w:tcW w:w="4180" w:type="dxa"/>
            <w:vAlign w:val="bottom"/>
            <w:gridSpan w:val="2"/>
            <w:shd w:val="clear" w:color="auto" w:fill="C0FF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6,479</w:t>
            </w:r>
          </w:p>
        </w:tc>
        <w:tc>
          <w:tcPr>
            <w:tcW w:w="80" w:type="dxa"/>
            <w:vAlign w:val="bottom"/>
            <w:shd w:val="clear" w:color="auto" w:fill="C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0FFFF"/>
            </w:tcBorders>
            <w:shd w:val="clear" w:color="auto" w:fill="C0FFFF"/>
          </w:tcPr>
          <w:p>
            <w:pPr>
              <w:spacing w:after="0" w:line="20" w:lineRule="exact"/>
              <w:rPr>
                <w:sz w:val="1"/>
                <w:szCs w:val="1"/>
                <w:color w:val="auto"/>
              </w:rPr>
            </w:pPr>
          </w:p>
        </w:tc>
        <w:tc>
          <w:tcPr>
            <w:tcW w:w="3660" w:type="dxa"/>
            <w:vAlign w:val="bottom"/>
            <w:tcBorders>
              <w:top w:val="single" w:sz="8" w:color="C0FFFF"/>
            </w:tcBorders>
            <w:shd w:val="clear" w:color="auto" w:fill="C0FF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ind w:right="460" w:firstLine="486"/>
        <w:spacing w:after="0" w:line="312" w:lineRule="auto"/>
        <w:rPr>
          <w:sz w:val="20"/>
          <w:szCs w:val="20"/>
          <w:color w:val="auto"/>
        </w:rPr>
      </w:pPr>
      <w:r>
        <w:rPr>
          <w:rFonts w:ascii="Arial" w:cs="Arial" w:eastAsia="Arial" w:hAnsi="Arial"/>
          <w:sz w:val="16"/>
          <w:szCs w:val="16"/>
          <w:color w:val="auto"/>
        </w:rPr>
        <w:t>The outstanding non-vested restricted stock is included in the number of outstanding shares on the face of the consolidated balance sheets, but is treated as outstanding stock options for accounting purposes. The shares of non-vested restricted stock, accounted for as options, are included in the calculation of diluted earnings per share using the two-class, with the proceeds equal to the sum of unrecognized compensation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8600" w:type="dxa"/>
            <w:vAlign w:val="bottom"/>
            <w:gridSpan w:val="3"/>
          </w:tcPr>
          <w:p>
            <w:pPr>
              <w:ind w:left="240"/>
              <w:spacing w:after="0"/>
              <w:rPr>
                <w:sz w:val="20"/>
                <w:szCs w:val="20"/>
                <w:color w:val="auto"/>
              </w:rPr>
            </w:pPr>
            <w:r>
              <w:rPr>
                <w:rFonts w:ascii="Arial" w:cs="Arial" w:eastAsia="Arial" w:hAnsi="Arial"/>
                <w:sz w:val="18"/>
                <w:szCs w:val="18"/>
                <w:b w:val="1"/>
                <w:bCs w:val="1"/>
                <w:color w:val="auto"/>
              </w:rPr>
              <w:t>Stockholders’ Equity</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8600" w:type="dxa"/>
            <w:vAlign w:val="bottom"/>
            <w:gridSpan w:val="3"/>
          </w:tcPr>
          <w:p>
            <w:pPr>
              <w:ind w:left="80"/>
              <w:spacing w:after="0"/>
              <w:rPr>
                <w:sz w:val="20"/>
                <w:szCs w:val="20"/>
                <w:color w:val="auto"/>
              </w:rPr>
            </w:pPr>
            <w:r>
              <w:rPr>
                <w:rFonts w:ascii="Arial" w:cs="Arial" w:eastAsia="Arial" w:hAnsi="Arial"/>
                <w:sz w:val="18"/>
                <w:szCs w:val="18"/>
                <w:color w:val="auto"/>
                <w:w w:val="91"/>
              </w:rPr>
              <w:t>The following table summarizes the changes in outstanding shares of common stock for fiscal 2009, 2010 and 2011:</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41"/>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78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Shares as of January 3, 2009</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19,478,750</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968,593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6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Shares as of January 2, 2010</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20,447,343</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60" w:type="dxa"/>
            <w:vAlign w:val="bottom"/>
            <w:gridSpan w:val="2"/>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180" w:type="dxa"/>
            <w:vAlign w:val="bottom"/>
          </w:tcPr>
          <w:p>
            <w:pPr>
              <w:jc w:val="right"/>
              <w:spacing w:after="0"/>
              <w:rPr>
                <w:sz w:val="20"/>
                <w:szCs w:val="20"/>
                <w:color w:val="auto"/>
              </w:rPr>
            </w:pPr>
            <w:r>
              <w:rPr>
                <w:rFonts w:ascii="Arial" w:cs="Arial" w:eastAsia="Arial" w:hAnsi="Arial"/>
                <w:sz w:val="18"/>
                <w:szCs w:val="18"/>
                <w:color w:val="auto"/>
              </w:rPr>
              <w:t>318,045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Repurchase of shares</w:t>
            </w:r>
          </w:p>
        </w:tc>
        <w:tc>
          <w:tcPr>
            <w:tcW w:w="18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(1,133,765)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Shares as of January 1, 2011</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19,631,623</w:t>
            </w: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6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302,007</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(2,528,360)</w:t>
            </w: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Shares as of December 31, 2011</w:t>
            </w:r>
          </w:p>
        </w:tc>
        <w:tc>
          <w:tcPr>
            <w:tcW w:w="180" w:type="dxa"/>
            <w:vAlign w:val="bottom"/>
            <w:tcBorders>
              <w:top w:val="single" w:sz="8" w:color="auto"/>
              <w:bottom w:val="single" w:sz="8" w:color="auto"/>
            </w:tcBorders>
            <w:shd w:val="clear" w:color="auto" w:fill="C0FFFF"/>
          </w:tcPr>
          <w:p>
            <w:pPr>
              <w:spacing w:after="0"/>
              <w:rPr>
                <w:sz w:val="22"/>
                <w:szCs w:val="22"/>
                <w:color w:val="auto"/>
              </w:rPr>
            </w:pPr>
          </w:p>
        </w:tc>
        <w:tc>
          <w:tcPr>
            <w:tcW w:w="118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17,405,270</w:t>
            </w:r>
          </w:p>
        </w:tc>
        <w:tc>
          <w:tcPr>
            <w:tcW w:w="8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(15)</w:t>
            </w:r>
          </w:p>
        </w:tc>
        <w:tc>
          <w:tcPr>
            <w:tcW w:w="8600" w:type="dxa"/>
            <w:vAlign w:val="bottom"/>
            <w:gridSpan w:val="3"/>
          </w:tcPr>
          <w:p>
            <w:pPr>
              <w:ind w:left="80"/>
              <w:spacing w:after="0"/>
              <w:rPr>
                <w:sz w:val="20"/>
                <w:szCs w:val="20"/>
                <w:color w:val="auto"/>
              </w:rPr>
            </w:pPr>
            <w:r>
              <w:rPr>
                <w:rFonts w:ascii="Arial" w:cs="Arial" w:eastAsia="Arial" w:hAnsi="Arial"/>
                <w:sz w:val="18"/>
                <w:szCs w:val="18"/>
                <w:b w:val="1"/>
                <w:bCs w:val="1"/>
                <w:color w:val="auto"/>
              </w:rPr>
              <w:t>Employee Benefit Plans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w:t>
      </w:r>
    </w:p>
    <w:p>
      <w:pPr>
        <w:spacing w:after="0" w:line="2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During 2000, the Company established a defined contribution plan that conforms to IRS provisions for 401(k) plans. The Build-A-Bear Workshop, Inc. Employees Savings Trust covers associates who work 1,000 hours or more in a year and have attained age 21. The Company, at the discretion of its board of directors, can provide for a Company match on the first 6% of employee deferrals. For 2011, the Company provided a match of 30% on the first 6% of employee deferrals totaling $0.3 million. For 2010, the Company provided a match of 25% on the first 6% of employee deferrals totaling $0.3 million. In 2009, the Company provided a match of 15% on the first 6% of employee deferrals totaling $0.2 million. The Company match vests over the first five years of employment.</w:t>
      </w:r>
    </w:p>
    <w:p>
      <w:pPr>
        <w:spacing w:after="0" w:line="243"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83"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Company bought fixtures for new stores and furniture for the corporate offices from a related party. The total payments to this related party for fixtures and furniture amounted to $0.5 million, $0.6 million and $0.1 million, in 2011, 2010 and 2009, respectively. The total amount due to this related party as of December 31, 2011 and January 1, 2011 was $-0- and $0.1 million, respectively.</w:t>
      </w:r>
    </w:p>
    <w:p>
      <w:pPr>
        <w:spacing w:after="0" w:line="235"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Company made charitable contributions of $2.4 million, $2.8 million and $0.9 million in 2011, 2010 and 2009, respectively, to charitable foundations controlled by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due to the charitable foundations as of December 31, 2011 and January 1, 2011 was $0.5 million and $0.6 million, respectively.</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70" w:name="page71"/>
    <w:bookmarkEnd w:id="70"/>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Affiliate</w:t>
      </w:r>
    </w:p>
    <w:p>
      <w:pPr>
        <w:spacing w:after="0" w:line="28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Company holds a minority interest in Ridemakerz, LLC, which is accounted for under the equity method. Ridemakerz has developed a wholesale toy product line and selectively operates interactive retail stores, primarily in tourist locations that allow children and families to build and customize their own personalized cars. From 2006 through 2008, the Company invested $5.5 million in cash and entered into a series of agreements whereby the Company agreed to perform advisory and operational support services for Ridemakerz in exchange for additional equity. The Company received a total of $3.6 million in equity in exchange for support services provided in fiscal 2007 through 2009. As of December 31, 2011, the Company retained an ownership interest of approximately 15%. Under the current agreements, as of the balance sheet date, the Company could own up to approximately 24% of fully diluted equity in Ridemakerz.</w:t>
      </w:r>
    </w:p>
    <w:p>
      <w:pPr>
        <w:spacing w:after="0" w:line="24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In 2006, the Company also purchased a call option from a group of other Ridemakerz investors for $150,000 for 1.25 million Ridemakerz common units at an exercise price of $1.25 per unit. The call option was immediately exercisable and expires April 30, 2012. Simultaneously, the Company granted a put option to the same group of investors for 1.25 million common units at an exercise price of $0.50 per unit. The put option was exercised on all 1.25 million shares on February 13, 2012. After the exercise, the Company’s ownership interest was approximately 18%. Under the current agreements, as of the exercise date, the Company could own up to approximately 24% of fully diluted equity in Ridemakerz.</w:t>
      </w:r>
    </w:p>
    <w:p>
      <w:pPr>
        <w:spacing w:after="0" w:line="22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fiscal 2009, the Company recorded non-cash pre-tax loss allocations of $7.5 million. In the 2009 fourth quarter, the Company determined that its investment in Ridemakerz had experienced an other than temporary decline in its fair value due to continued significant losses and uncertainty as to the ultimate results of their restructuring. Accordingly, an additional non-cash charge of $1.0 million was recorded. Additionally, the Company wrote-off $1.1 million in receivables from Ridemakerz. The combination of these charges reduced the book value of the Company’s investment to zero. All of these charges are included in “Losses from investment in affiliate” in the Consolidated Statements of Operations and are part of the Retail segment. No income or loss allocations, impairments or other charges related to Ridemakerz were recorded in fiscal 2011 or 2010</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2011 and January 1, 2011, outstanding receivables from Ridemakerz were $-0-.</w:t>
      </w:r>
    </w:p>
    <w:p>
      <w:pPr>
        <w:spacing w:after="0" w:line="275"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Major Vendors</w:t>
      </w:r>
    </w:p>
    <w:p>
      <w:pPr>
        <w:spacing w:after="0" w:line="28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Three vendors, each of whose primary manufacturing facilities are located in China, accounted for approximately 81%, 73% and 80% of inventory purchases in 2011, 2010 and 2009, respectively.</w:t>
      </w:r>
    </w:p>
    <w:p>
      <w:pPr>
        <w:spacing w:after="0" w:line="220"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Ireland, France and other retail delivery operations, including the Company’s web store, temporary stores and non-traditional store locations such as baseball ballparks. The international franchising segment includes the licensing activities of the Company’s franchise agreements with store locations in Europe, Asia, Australia, Africa, the Middle East, Mexico and South America. The commercial segment has been established to market the naming and branding rights of the Company’s intellectual properties for third party use.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 Following is a summary of the financial information for the Company’s reporting segments (in thousands):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Retail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Franchising</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Net sales to external customers</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387,041</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3,943</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3,391</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income (loss) before income taxes</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12,137</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24,183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Fiscal 2010</w:t>
            </w:r>
          </w:p>
        </w:tc>
        <w:tc>
          <w:tcPr>
            <w:tcW w:w="2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sales to external customers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387,163</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11,246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3,043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Net income (loss) before income taxes</w:t>
            </w:r>
          </w:p>
        </w:tc>
        <w:tc>
          <w:tcPr>
            <w:tcW w:w="2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(6,858)</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2,827</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26,482</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Fiscal 2009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Net sales to external customers</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388,552</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4,001</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3,353</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income (loss) before income taxes</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(27,726)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7,879</w:t>
            </w: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28,045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Assets as of:</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ind w:left="340"/>
              <w:spacing w:after="0"/>
              <w:rPr>
                <w:sz w:val="20"/>
                <w:szCs w:val="20"/>
                <w:color w:val="auto"/>
              </w:rPr>
            </w:pPr>
            <w:r>
              <w:rPr>
                <w:rFonts w:ascii="Arial" w:cs="Arial" w:eastAsia="Arial" w:hAnsi="Arial"/>
                <w:sz w:val="18"/>
                <w:szCs w:val="18"/>
                <w:color w:val="auto"/>
              </w:rPr>
              <w:t>December 31, 2011</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229,190</w:t>
            </w:r>
          </w:p>
        </w:tc>
        <w:tc>
          <w:tcPr>
            <w:tcW w:w="16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9,877</w:t>
            </w:r>
          </w:p>
        </w:tc>
        <w:tc>
          <w:tcPr>
            <w:tcW w:w="2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2,504</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241,571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January 1, 2011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263,193</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275,794</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440" w:firstLine="486"/>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America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Fiscal 2011</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316,853</w:t>
            </w:r>
          </w:p>
        </w:tc>
        <w:tc>
          <w:tcPr>
            <w:tcW w:w="120" w:type="dxa"/>
            <w:vAlign w:val="bottom"/>
            <w:shd w:val="clear" w:color="auto" w:fill="C0FFFF"/>
          </w:tcPr>
          <w:p>
            <w:pPr>
              <w:spacing w:after="0"/>
              <w:rPr>
                <w:sz w:val="18"/>
                <w:szCs w:val="18"/>
                <w:color w:val="auto"/>
              </w:rPr>
            </w:pPr>
          </w:p>
        </w:tc>
        <w:tc>
          <w:tcPr>
            <w:tcW w:w="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75,469</w:t>
            </w:r>
          </w:p>
        </w:tc>
        <w:tc>
          <w:tcPr>
            <w:tcW w:w="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2,053</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394,375</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65,902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11,543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77,445</w:t>
            </w:r>
          </w:p>
        </w:tc>
      </w:tr>
      <w:tr>
        <w:trPr>
          <w:trHeight w:val="216"/>
        </w:trPr>
        <w:tc>
          <w:tcPr>
            <w:tcW w:w="5620" w:type="dxa"/>
            <w:vAlign w:val="bottom"/>
            <w:shd w:val="clear" w:color="auto" w:fill="C0FFFF"/>
          </w:tcPr>
          <w:p>
            <w:pPr>
              <w:spacing w:after="0"/>
              <w:rPr>
                <w:sz w:val="20"/>
                <w:szCs w:val="20"/>
                <w:color w:val="auto"/>
              </w:rPr>
            </w:pPr>
            <w:r>
              <w:rPr>
                <w:rFonts w:ascii="Arial" w:cs="Arial" w:eastAsia="Arial" w:hAnsi="Arial"/>
                <w:sz w:val="18"/>
                <w:szCs w:val="18"/>
                <w:color w:val="auto"/>
              </w:rPr>
              <w:t>Fiscal 2010</w:t>
            </w:r>
          </w:p>
        </w:tc>
        <w:tc>
          <w:tcPr>
            <w:tcW w:w="1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328,524</w:t>
            </w:r>
          </w:p>
        </w:tc>
        <w:tc>
          <w:tcPr>
            <w:tcW w:w="1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70,864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401,452</w:t>
            </w:r>
          </w:p>
        </w:tc>
      </w:tr>
      <w:tr>
        <w:trPr>
          <w:trHeight w:val="216"/>
        </w:trPr>
        <w:tc>
          <w:tcPr>
            <w:tcW w:w="56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76,729</w:t>
            </w:r>
          </w:p>
        </w:tc>
        <w:tc>
          <w:tcPr>
            <w:tcW w:w="1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11,300</w:t>
            </w:r>
          </w:p>
        </w:tc>
        <w:tc>
          <w:tcPr>
            <w:tcW w:w="1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88,029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Fiscal 2009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0FFFF"/>
          </w:tcPr>
          <w:p>
            <w:pPr>
              <w:ind w:left="3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320,033</w:t>
            </w:r>
          </w:p>
        </w:tc>
        <w:tc>
          <w:tcPr>
            <w:tcW w:w="120" w:type="dxa"/>
            <w:vAlign w:val="bottom"/>
            <w:shd w:val="clear" w:color="auto" w:fill="C0FFFF"/>
          </w:tcPr>
          <w:p>
            <w:pPr>
              <w:spacing w:after="0"/>
              <w:rPr>
                <w:sz w:val="18"/>
                <w:szCs w:val="18"/>
                <w:color w:val="auto"/>
              </w:rPr>
            </w:pPr>
          </w:p>
        </w:tc>
        <w:tc>
          <w:tcPr>
            <w:tcW w:w="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74,255</w:t>
            </w:r>
          </w:p>
        </w:tc>
        <w:tc>
          <w:tcPr>
            <w:tcW w:w="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1,618</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395,906</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87,860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13,184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46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Mexico</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Europe includes the United Kingdom, Ireland, franchise businesses in Europe and, prior to 2011, Company-owned stores in France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61"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8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February 23, 2012, the Company announced the extension of its previously announced $50 million share repurchase program until March 31, 2013, subject to further extension by the Company’s Board of Directors. The Company currently intends to purchase up to $50 million of its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the Company to repurchase any specific number of shares and may be modified, suspended or terminated at any time without prior notice. Shares repurchased under the program will be subsequently retired. As of March 12, 2011, there was $8.7 million of availability remaining under the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p>
      <w:pPr>
        <w:spacing w:after="0" w:line="275" w:lineRule="exact"/>
        <w:rPr>
          <w:sz w:val="20"/>
          <w:szCs w:val="20"/>
          <w:color w:val="auto"/>
        </w:rPr>
      </w:pPr>
    </w:p>
    <w:p>
      <w:pPr>
        <w:jc w:val="right"/>
        <w:ind w:right="346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8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Balance as of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Charged to cost and expenses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Charged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Deductions</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Balance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31" w:hanging="1031"/>
        <w:spacing w:after="0"/>
        <w:tabs>
          <w:tab w:leader="none" w:pos="1031" w:val="left"/>
        </w:tabs>
        <w:numPr>
          <w:ilvl w:val="0"/>
          <w:numId w:val="70"/>
        </w:numPr>
        <w:rPr>
          <w:rFonts w:ascii="Arial" w:cs="Arial" w:eastAsia="Arial" w:hAnsi="Arial"/>
          <w:sz w:val="16"/>
          <w:szCs w:val="16"/>
          <w:color w:val="auto"/>
        </w:rPr>
      </w:pPr>
      <w:r>
        <w:rPr>
          <w:rFonts w:ascii="Arial" w:cs="Arial" w:eastAsia="Arial" w:hAnsi="Arial"/>
          <w:sz w:val="16"/>
          <w:szCs w:val="16"/>
          <w:color w:val="auto"/>
        </w:rPr>
        <w:t>561</w:t>
      </w:r>
    </w:p>
    <w:p>
      <w:pPr>
        <w:spacing w:after="0" w:line="46" w:lineRule="exact"/>
        <w:rPr>
          <w:rFonts w:ascii="Arial" w:cs="Arial" w:eastAsia="Arial" w:hAnsi="Arial"/>
          <w:sz w:val="16"/>
          <w:szCs w:val="16"/>
          <w:color w:val="auto"/>
        </w:rPr>
      </w:pPr>
    </w:p>
    <w:p>
      <w:pPr>
        <w:ind w:left="811"/>
        <w:spacing w:after="0"/>
        <w:rPr>
          <w:rFonts w:ascii="Arial" w:cs="Arial" w:eastAsia="Arial" w:hAnsi="Arial"/>
          <w:sz w:val="16"/>
          <w:szCs w:val="16"/>
          <w:color w:val="auto"/>
        </w:rPr>
      </w:pPr>
      <w:r>
        <w:rPr>
          <w:rFonts w:ascii="Arial" w:cs="Arial" w:eastAsia="Arial" w:hAnsi="Arial"/>
          <w:sz w:val="16"/>
          <w:szCs w:val="16"/>
          <w:color w:val="auto"/>
        </w:rPr>
        <w:t>15,565</w:t>
      </w:r>
    </w:p>
    <w:p>
      <w:pPr>
        <w:spacing w:after="0" w:line="32" w:lineRule="exact"/>
        <w:rPr>
          <w:rFonts w:ascii="Arial" w:cs="Arial" w:eastAsia="Arial" w:hAnsi="Arial"/>
          <w:sz w:val="16"/>
          <w:szCs w:val="16"/>
          <w:color w:val="auto"/>
        </w:rPr>
      </w:pPr>
    </w:p>
    <w:p>
      <w:pPr>
        <w:ind w:left="125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251"/>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5715</wp:posOffset>
            </wp:positionV>
            <wp:extent cx="11404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0460" cy="17145"/>
                    </a:xfrm>
                    <a:prstGeom prst="rect">
                      <a:avLst/>
                    </a:prstGeom>
                    <a:noFill/>
                  </pic:spPr>
                </pic:pic>
              </a:graphicData>
            </a:graphic>
          </wp:anchor>
        </w:drawing>
      </w:r>
    </w:p>
    <w:p>
      <w:pPr>
        <w:spacing w:after="0" w:line="2" w:lineRule="exact"/>
        <w:rPr>
          <w:sz w:val="20"/>
          <w:szCs w:val="20"/>
          <w:color w:val="auto"/>
        </w:rPr>
      </w:pPr>
    </w:p>
    <w:p>
      <w:pPr>
        <w:ind w:left="811" w:hanging="811"/>
        <w:spacing w:after="0"/>
        <w:tabs>
          <w:tab w:leader="none" w:pos="811" w:val="left"/>
        </w:tabs>
        <w:numPr>
          <w:ilvl w:val="0"/>
          <w:numId w:val="71"/>
        </w:numPr>
        <w:rPr>
          <w:rFonts w:ascii="Arial" w:cs="Arial" w:eastAsia="Arial" w:hAnsi="Arial"/>
          <w:sz w:val="16"/>
          <w:szCs w:val="16"/>
          <w:color w:val="auto"/>
        </w:rPr>
      </w:pPr>
      <w:r>
        <w:rPr>
          <w:rFonts w:ascii="Arial" w:cs="Arial" w:eastAsia="Arial" w:hAnsi="Arial"/>
          <w:sz w:val="16"/>
          <w:szCs w:val="16"/>
          <w:color w:val="auto"/>
        </w:rPr>
        <w:t>16,126</w:t>
      </w:r>
    </w:p>
    <w:p>
      <w:pPr>
        <w:spacing w:after="0" w:line="763" w:lineRule="exact"/>
        <w:rPr>
          <w:sz w:val="20"/>
          <w:szCs w:val="20"/>
          <w:color w:val="auto"/>
        </w:rPr>
      </w:pPr>
    </w:p>
    <w:p>
      <w:pPr>
        <w:sectPr>
          <w:pgSz w:w="11900" w:h="16838" w:orient="portrait"/>
          <w:cols w:equalWidth="0" w:num="2">
            <w:col w:w="7709" w:space="720"/>
            <w:col w:w="2991"/>
          </w:cols>
          <w:pgMar w:left="240" w:top="517" w:right="239" w:bottom="789" w:gutter="0" w:footer="0" w:header="0"/>
        </w:sectPr>
      </w:pP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2.1</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4"/>
              </w:rPr>
              <w:t>Agreement and Plan of Merger dated April 3, 2000 between Build-A-Bear Workshop, L.L.C. and the Registrant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3.1</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5"/>
              </w:rPr>
              <w:t>Third Amended and Restated Certificate of Incorporation (incorporated by reference from Exhibit 3.1 of our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filed on November 8, 2004)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3.2</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3"/>
              </w:rPr>
              <w:t>Amended and Restated Bylaws (incorporated by reference from Exhibit 3.4 to our Registration Statement on Form S-1, filed on August 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4.1</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2"/>
              </w:rPr>
              <w:t>Specimen Stock Certificate (incorporated by reference from Exhibit 4.1 to Amendment No. 3 to our Registration Statement on Form S-1,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on October 1,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2"/>
              </w:rPr>
              <w:t>Build-A-Bear Workshop, Inc. 2000 Stock Option Plan (incorporated by reference from Exhibit 10.1 to our Registration Statement on Form 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10.1.1*</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3"/>
              </w:rPr>
              <w:t>Form of Incentive Stock Option Agreement under the Build-A-Bear Workshop, Inc. 2000 Stock Option Plan (incorporated by reference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w w:val="92"/>
              </w:rPr>
              <w:t>Exhibit 10.1.1 to Pre-Effective Amendment No. 3 to our Registration Statement on Form S-1, filed on October 1, 2004, Registration No. 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10540" w:type="dxa"/>
            <w:vAlign w:val="bottom"/>
            <w:gridSpan w:val="2"/>
            <w:shd w:val="clear" w:color="auto" w:fill="C0FFFF"/>
          </w:tcPr>
          <w:p>
            <w:pPr>
              <w:ind w:left="220"/>
              <w:spacing w:after="0"/>
              <w:rPr>
                <w:sz w:val="20"/>
                <w:szCs w:val="20"/>
                <w:color w:val="auto"/>
              </w:rPr>
            </w:pPr>
            <w:r>
              <w:rPr>
                <w:rFonts w:ascii="Arial" w:cs="Arial" w:eastAsia="Arial" w:hAnsi="Arial"/>
                <w:sz w:val="18"/>
                <w:szCs w:val="18"/>
                <w:color w:val="auto"/>
              </w:rPr>
              <w:t>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10.1.2*</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4"/>
              </w:rPr>
              <w:t>Form of Nonqualified Stock Option Agreement under the Build-A-Bear Workshop, Inc. 2000 Stock Option Plan (incorporated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w w:val="92"/>
              </w:rPr>
              <w:t>from Exhibit 10.1.2 to Pre-Effective Amendment No. 3 to our Registration Statement on Form S-1, filed on October 1, 2004, Registration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10540" w:type="dxa"/>
            <w:vAlign w:val="bottom"/>
            <w:gridSpan w:val="2"/>
            <w:shd w:val="clear" w:color="auto" w:fill="C0FFFF"/>
          </w:tcPr>
          <w:p>
            <w:pPr>
              <w:ind w:left="220"/>
              <w:spacing w:after="0"/>
              <w:rPr>
                <w:sz w:val="20"/>
                <w:szCs w:val="20"/>
                <w:color w:val="auto"/>
              </w:rPr>
            </w:pPr>
            <w:r>
              <w:rPr>
                <w:rFonts w:ascii="Arial" w:cs="Arial" w:eastAsia="Arial" w:hAnsi="Arial"/>
                <w:sz w:val="18"/>
                <w:szCs w:val="18"/>
                <w:color w:val="auto"/>
              </w:rPr>
              <w:t>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7"/>
              </w:rPr>
              <w:t>Build-A-Bear Workshop, Inc. 2002 Stock Incentive Plan, as amended (incorporated by reference from Exhibit 10.2 to our Registration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10.2.1*</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2"/>
              </w:rPr>
              <w:t>Form of Manager-Level Incentive Stock Option Agreement under the Build-A-Bear Workshop, Inc. 2002 Stock Option Plan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w w:val="97"/>
              </w:rPr>
              <w:t>reference from Exhibit 10.2.1 to Pre-Effective Amendment No. 3 to our Registration Statement on Form S-1, filed on October 1, 2004,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10.2.2*</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4"/>
              </w:rPr>
              <w:t>Form of Nonqualified Stock Option Agreement under the Build-A-Bear Workshop, Inc. 2002 Stock Option Plan (incorporated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w w:val="92"/>
              </w:rPr>
              <w:t>from Exhibit 10.2.2 to Pre-Effective Amendment No. 3 to our Registration Statement on Form S-1, filed on October 1, 2004, Registration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10540" w:type="dxa"/>
            <w:vAlign w:val="bottom"/>
            <w:gridSpan w:val="2"/>
            <w:shd w:val="clear" w:color="auto" w:fill="C0FFFF"/>
          </w:tcPr>
          <w:p>
            <w:pPr>
              <w:ind w:left="220"/>
              <w:spacing w:after="0"/>
              <w:rPr>
                <w:sz w:val="20"/>
                <w:szCs w:val="20"/>
                <w:color w:val="auto"/>
              </w:rPr>
            </w:pPr>
            <w:r>
              <w:rPr>
                <w:rFonts w:ascii="Arial" w:cs="Arial" w:eastAsia="Arial" w:hAnsi="Arial"/>
                <w:sz w:val="18"/>
                <w:szCs w:val="18"/>
                <w:color w:val="auto"/>
              </w:rPr>
              <w:t>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4"/>
              </w:rPr>
              <w:t>Build-A-Bear Workshop, Inc. 2004 Stock Incentive Plan (incorporated by reference from Exhibit 10.3 to Pre-Effective Amendment No. 3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rPr>
              <w:t>our Registration Statement on Form S-1, filed on October 1,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10.3.1*</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5"/>
              </w:rPr>
              <w:t>Form of Incentive Stock Option Agreement under the Build-A-Bear Workshop, Inc. 2004 Stock Incentive Plan (incorporated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w w:val="92"/>
              </w:rPr>
              <w:t>from Exhibit 10.3.1 to Pre-Effective Amendment No. 3 to our Registration Statement on Form S-1, filed on October 1, 2004, Registration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10540" w:type="dxa"/>
            <w:vAlign w:val="bottom"/>
            <w:gridSpan w:val="2"/>
            <w:shd w:val="clear" w:color="auto" w:fill="C0FFFF"/>
          </w:tcPr>
          <w:p>
            <w:pPr>
              <w:ind w:left="220"/>
              <w:spacing w:after="0"/>
              <w:rPr>
                <w:sz w:val="20"/>
                <w:szCs w:val="20"/>
                <w:color w:val="auto"/>
              </w:rPr>
            </w:pPr>
            <w:r>
              <w:rPr>
                <w:rFonts w:ascii="Arial" w:cs="Arial" w:eastAsia="Arial" w:hAnsi="Arial"/>
                <w:sz w:val="18"/>
                <w:szCs w:val="18"/>
                <w:color w:val="auto"/>
              </w:rPr>
              <w:t>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10.3.2*</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2"/>
              </w:rPr>
              <w:t>Model Incentive Stock Option Agreement Under the Registrant’s 2004 Stock Incentive Plan (incorporated by reference from Exhibit 10.3.3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w w:val="97"/>
              </w:rPr>
              <w:t>Pre-Effective Amendment No. 5 to our Registration Statement on Form S-1, filed on October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10.3.3*</w:t>
            </w:r>
          </w:p>
        </w:tc>
        <w:tc>
          <w:tcPr>
            <w:tcW w:w="220" w:type="dxa"/>
            <w:vAlign w:val="bottom"/>
            <w:shd w:val="clear" w:color="auto" w:fill="C0FFFF"/>
          </w:tcPr>
          <w:p>
            <w:pPr>
              <w:spacing w:after="0"/>
              <w:rPr>
                <w:sz w:val="17"/>
                <w:szCs w:val="17"/>
                <w:color w:val="auto"/>
              </w:rPr>
            </w:pPr>
          </w:p>
        </w:tc>
        <w:tc>
          <w:tcPr>
            <w:tcW w:w="1032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5"/>
              </w:rPr>
              <w:t>Form of Employee Nonqualified Stock Option Under the Registrant’s 2004 Stock Incentive Plan (incorporated by reference from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320" w:type="dxa"/>
            <w:vAlign w:val="bottom"/>
            <w:shd w:val="clear" w:color="auto" w:fill="C0FFFF"/>
          </w:tcPr>
          <w:p>
            <w:pPr>
              <w:spacing w:after="0"/>
              <w:rPr>
                <w:sz w:val="20"/>
                <w:szCs w:val="20"/>
                <w:color w:val="auto"/>
              </w:rPr>
            </w:pPr>
            <w:r>
              <w:rPr>
                <w:rFonts w:ascii="Arial" w:cs="Arial" w:eastAsia="Arial" w:hAnsi="Arial"/>
                <w:sz w:val="18"/>
                <w:szCs w:val="18"/>
                <w:color w:val="auto"/>
                <w:w w:val="96"/>
              </w:rPr>
              <w:t>10.3.4 to Pre-Effective Amendment No. 5 to our Registration Statement on Form S-1, filed on October 12, 2004, Registration No. 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0FFFF"/>
          </w:tcPr>
          <w:p>
            <w:pPr>
              <w:spacing w:after="0"/>
              <w:rPr>
                <w:sz w:val="20"/>
                <w:szCs w:val="20"/>
                <w:color w:val="auto"/>
              </w:rPr>
            </w:pPr>
          </w:p>
        </w:tc>
        <w:tc>
          <w:tcPr>
            <w:tcW w:w="10540" w:type="dxa"/>
            <w:vAlign w:val="bottom"/>
            <w:gridSpan w:val="2"/>
            <w:shd w:val="clear" w:color="auto" w:fill="C0FFFF"/>
          </w:tcPr>
          <w:p>
            <w:pPr>
              <w:ind w:left="220"/>
              <w:spacing w:after="0"/>
              <w:rPr>
                <w:sz w:val="20"/>
                <w:szCs w:val="20"/>
                <w:color w:val="auto"/>
              </w:rPr>
            </w:pPr>
            <w:r>
              <w:rPr>
                <w:rFonts w:ascii="Arial" w:cs="Arial" w:eastAsia="Arial" w:hAnsi="Arial"/>
                <w:sz w:val="18"/>
                <w:szCs w:val="18"/>
                <w:color w:val="auto"/>
              </w:rPr>
              <w:t>118142)</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2"/>
          </w:tcPr>
          <w:p>
            <w:pPr>
              <w:jc w:val="right"/>
              <w:ind w:right="55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789" w:gutter="0" w:footer="0" w:header="0"/>
          <w:type w:val="continuous"/>
        </w:sectPr>
      </w:pPr>
    </w:p>
    <w:bookmarkStart w:id="73" w:name="page74"/>
    <w:bookmarkEnd w:id="7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shd w:val="clear" w:color="auto" w:fill="C0FFFF"/>
          </w:tcPr>
          <w:p>
            <w:pPr>
              <w:spacing w:after="0"/>
              <w:rPr>
                <w:sz w:val="20"/>
                <w:szCs w:val="20"/>
                <w:color w:val="auto"/>
              </w:rPr>
            </w:pPr>
            <w:r>
              <w:rPr>
                <w:rFonts w:ascii="Arial" w:cs="Arial" w:eastAsia="Arial" w:hAnsi="Arial"/>
                <w:sz w:val="18"/>
                <w:szCs w:val="18"/>
                <w:color w:val="auto"/>
              </w:rPr>
              <w:t>10.3.4*</w:t>
            </w: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3"/>
              </w:rPr>
              <w:t>Form of the Restricted Stock Agreement under the Registrant’s 2004 Stock Incentive Plan (incorporated by reference from Exhibit 10.3.5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7"/>
              </w:rPr>
              <w:t>Pre-Effective Amendment No. 5 to our Registration Statement on Form S-1, filed on October 12, 2004, Registration No. 333-118142)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10.3.5*</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Amended and Restated Build-A-Bear Workshop, Inc. 2004 Stock Incentive Plan (incorporated by reference from Exhibit 10.1 on our Current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Report on Form 8-K, filed on August 1,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10.3.6*</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Second Amended and Restated Build-A-Bear Workshop, Inc. 2004 Stock Incentive Plan (incorporated by reference from Exhibit 10.1 on our</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Current Report on Form 8-K, filed on May 20,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10.3.7*</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Form of the Restricted Stock Agreement under the Registrant’s Second Amended and Restated 2004 Stock Incentive Plan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reference from Exhibit 10.1 on our Quarterly Report on Form 10-Q, filed on May 8, 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10.3.8*</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Form of the Restricted Stock and Non-Qualified Stock Option Agreement under the Registrant’s Second Amended and Restated 2004 Stock</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Incentive Plan (incorporated by reference from Exhibit 10.1 on our Quarterly Report on Form 10-Q, filed on May 14,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10.3.9*</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Form of the Restricted Stock Agreement under the Registrant’s Second Amended and Restated 2004 Stock Incentive Plan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reference from Exhibit 10.3 on our Current Report on Form 8-K, filed on May 20,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10.3.10*</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Form of the Restricted Stock and Non-Qualified Stock Option Agreement under the Registrant’s Second Amended and Restated 2004 Stock</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Incentive Plan (incorporated by reference from Exhibit 10.2 on our Current Report on Form 8-K, filed on March 28,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10.4*</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5"/>
              </w:rPr>
              <w:t>Employment, Confidentiality and Noncompete Agreement dated May 1, 2004 between Maxine Clark and the Registrant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5"/>
              </w:rPr>
              <w:t>reference from Exhibit 10.4 to Pre-Effective Amendment No. 2 to our Registration Statement on Form S-1, filed on September 20,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Registration No. 333-118142)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10.4.1*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5"/>
              </w:rPr>
              <w:t>First Amendment dated February 22, 2006 to the Employment, Confidentiality and Noncompete Agreement dated May 1, 2004 between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6"/>
              </w:rPr>
              <w:t>Maxine Clark and the Registrant (incorporated by reference from Exhibit 10.4.1 to our Annual Report on Form 10-K for the 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10.4.2*</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Second Amendment dated March 22, 2011 to Employment, Confidentiality and Noncompete Agreement dated May 1, 2004 between Maxine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9"/>
              </w:rPr>
              <w:t>Clark and the Registrant (incorporated by reference from Exhibit 10.1 on our Current Report on Form 8-K, filed on March 28,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10.5*</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4"/>
              </w:rPr>
              <w:t>Employment, Confidentiality and Noncompete Agreement dated March 7, 2004 between Tina Klocke and the Registrant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5"/>
              </w:rPr>
              <w:t>reference from Exhibit 10.6 to Pre-Effective Amendment No. 2 to our Registration Statement on Form S-1, filed on September 20,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Registration No. 333-118142)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10.5.1*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4"/>
              </w:rPr>
              <w:t>First Amendment dated February 22, 2006 to the Employment, Confidentiality and Noncompete Agreement dated March 7, 2004 between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7"/>
              </w:rPr>
              <w:t>Tina Klocke and the Registrant (incorporated by reference from Exhibit 10.6.1 to our Annual Report on Form 10-K for the 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10.6*</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8"/>
              </w:rPr>
              <w:t>Employment, Confidentiality and Noncompete Agreement dated as of January 10, 2007 between Dave Finnegan and the Registrant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(incorporated by reference from Exhibit 10.6 to our Annual Report on Form 10-K for the year ended January 2, 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10.7*</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0"/>
              </w:rPr>
              <w:t>Employment, Confidentiality and Noncompete Agreement dated September 10, 2001 between Teresa Kroll and the Registrant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5"/>
              </w:rPr>
              <w:t>reference from Exhibit 10.9 to Pre-Effective Amendment No. 2 to our Registration Statement on Form S-1, filed on September 20,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Registration No. 333-118142)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10.7.1*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6"/>
              </w:rPr>
              <w:t>First Amendment dated February 22, 2006 to the Employment, Confidentiality and Noncompete Agreement dated September 10, 2001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1"/>
              </w:rPr>
              <w:t>between Teresa Kroll and the Registrant (incorporated by reference from Exhibit 10.9.1 to our Annual Report on Form 10-K for the 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10.8*</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0"/>
              </w:rPr>
              <w:t>Employment, Confidentiality and Noncompete Agreement dated July 1, 2008 between Eric Fencl and the Registrant (incorporated by reference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from Exhibit 10.1 to our Quarterly Report on Form 10-Q, filed on November 6, 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10.9*</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Employment, Confidentiality and Noncompete Agreement dated March 16, 2009 between John Haugh and the Registrant (incorporated by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reference from Exhibit 10.2 to our Quarterly Report on Form 10-Q, filed on May 14,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10.10*</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Form of Indemnification Agreement between the Registrant and its directors and executive officers (incorporated by reference from Exhibit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10.11 to our Registration Statement on Form S-1, filed on August 12, 2004, Registration No. 333-118142)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Third Amendment to Loan Documents among the Registrant, Shirts Illustrated, LLC, Build-A-Bear Workshop Franchise Holdings, Inc., Build-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8"/>
              </w:rPr>
              <w:t>A-Bear Entertainment, LLC, Build-A-Bear Retail Management, LLC (incorporated by reference from Exhibit 10.12 to our Registration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Statement on Form S-1, filed on August 12, 2004, Registration No. 333-118142)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10.11.1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Fifth Amendment to Loan Documents among the Registrant, Shirts Illustrated, LLC, Build-A-Bear Workshop Franchise Holdings, Inc., Build-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4"/>
              </w:rPr>
              <w:t>A-Bear Entertainment, LLC, Build-A-Bear Retail Management, LLC (incorporated by reference from Exhibit 10.1 of our Current Report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Form 8-K, filed on July 10,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10.11.2</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Sixth Amendment to Loan Documents between Build-A-Bear Workshop, Inc., Build-A-Bear Workshop Franchise Holdings, Inc. Build-A-Bear</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6"/>
              </w:rPr>
              <w:t>Entertainment, LLC, Build-A-Bear Retail Management, Inc., and Build-A-Bear Workshop UK Holdings Ltd., as borrowers, Build-A-Bear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3"/>
              </w:rPr>
              <w:t>Workshop Canada, Ltd. and US Bank National Association, as lender entered into on and effective as of on June 19, 2007 (incorporated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reference from Exhibit 10.1 to our Current Report on Form 8-K filed on June 20, 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10.11.3</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Seventh Amendment to Loan Documents between Build-A-Bear Workshop, Inc., Build-A-Bear Workshop Franchise Holdings, Inc. Build-A-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1"/>
              </w:rPr>
              <w:t>Bear Entertainment, LLC, and Build-A-Bear Retail Management, Inc., as borrowers, and US Bank National Association, as lender entered into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shd w:val="clear" w:color="auto" w:fill="C0FFFF"/>
          </w:tcPr>
          <w:p>
            <w:pPr>
              <w:spacing w:after="0"/>
              <w:rPr>
                <w:sz w:val="14"/>
                <w:szCs w:val="14"/>
                <w:color w:val="auto"/>
              </w:rPr>
            </w:pPr>
          </w:p>
        </w:tc>
        <w:tc>
          <w:tcPr>
            <w:tcW w:w="10560" w:type="dxa"/>
            <w:vAlign w:val="bottom"/>
            <w:shd w:val="clear" w:color="auto" w:fill="C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23" w:right="239" w:bottom="0" w:gutter="0" w:footer="0" w:header="0"/>
        </w:sectPr>
      </w:pPr>
    </w:p>
    <w:bookmarkStart w:id="74" w:name="page75"/>
    <w:bookmarkEnd w:id="74"/>
    <w:p>
      <w:pPr>
        <w:ind w:left="960"/>
        <w:spacing w:after="0"/>
        <w:rPr>
          <w:sz w:val="20"/>
          <w:szCs w:val="20"/>
          <w:color w:val="auto"/>
        </w:rPr>
      </w:pPr>
      <w:r>
        <w:rPr>
          <w:rFonts w:ascii="Arial" w:cs="Arial" w:eastAsia="Arial" w:hAnsi="Arial"/>
          <w:sz w:val="17"/>
          <w:szCs w:val="17"/>
          <w:color w:val="auto"/>
        </w:rPr>
        <w:t>as of on October 28, 2009 (incorporated by reference from Exhibit 10.1 to our Current Report on Form 8-K filed on October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-114300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ind w:left="960" w:hanging="1079"/>
        <w:spacing w:after="0" w:line="312" w:lineRule="auto"/>
        <w:tabs>
          <w:tab w:leader="none" w:pos="940" w:val="left"/>
        </w:tabs>
        <w:rPr>
          <w:sz w:val="20"/>
          <w:szCs w:val="20"/>
          <w:color w:val="auto"/>
        </w:rPr>
      </w:pPr>
      <w:r>
        <w:rPr>
          <w:rFonts w:ascii="Arial" w:cs="Arial" w:eastAsia="Arial" w:hAnsi="Arial"/>
          <w:sz w:val="18"/>
          <w:szCs w:val="18"/>
          <w:color w:val="auto"/>
        </w:rPr>
        <w:t>10.11.4</w:t>
      </w:r>
      <w:r>
        <w:rPr>
          <w:sz w:val="20"/>
          <w:szCs w:val="20"/>
          <w:color w:val="auto"/>
        </w:rPr>
        <w:tab/>
      </w:r>
      <w:r>
        <w:rPr>
          <w:rFonts w:ascii="Arial" w:cs="Arial" w:eastAsia="Arial" w:hAnsi="Arial"/>
          <w:sz w:val="16"/>
          <w:szCs w:val="16"/>
          <w:color w:val="auto"/>
        </w:rPr>
        <w:t>Eighth Amendment to Loan Documents between Build-A-Bear Workshop, Inc., Build-A-Bear Workshop Franchise Holdings, Inc., Build-A-Bear Entertainment, LLC, Build-A-Bear Retail Management, Inc., as Borrowers, and U.S. Bank National Association, as Lender, entered into effective as of December 31, 2010 (incorporated by reference to Exhibit 10.1 to our Current Report on Form 8-K filed on January 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-445770</wp:posOffset>
            </wp:positionV>
            <wp:extent cx="72466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125"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shd w:val="clear" w:color="auto" w:fill="C0FFFF"/>
          </w:tcPr>
          <w:p>
            <w:pPr>
              <w:spacing w:after="0"/>
              <w:rPr>
                <w:sz w:val="20"/>
                <w:szCs w:val="20"/>
                <w:color w:val="auto"/>
              </w:rPr>
            </w:pPr>
            <w:r>
              <w:rPr>
                <w:rFonts w:ascii="Arial" w:cs="Arial" w:eastAsia="Arial" w:hAnsi="Arial"/>
                <w:sz w:val="18"/>
                <w:szCs w:val="18"/>
                <w:color w:val="auto"/>
              </w:rPr>
              <w:t>10.11.5</w:t>
            </w: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5"/>
              </w:rPr>
              <w:t>Ninth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2"/>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2"/>
              </w:rPr>
              <w:t>effective as of December 30, 2011 (incorporated by reference from Exhibit 10.1 to our Current Report on Form 8-K, filed on January 4,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10.12</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Third Amended and Restated Loan Agreement between the Registrant, Shirts Illustrated, LLC, Build-A-Bear Workshop Franchise 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5"/>
              </w:rPr>
              <w:t>Inc., Build-A-Bear Entertainment, LLC, and Build-A-Bear Retail Management, Inc., as borrowers, and U.S. Bank National Association,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6"/>
              </w:rPr>
              <w:t>Lender, entered into on September 27, 2005 with an effective date of May 31, 2005 (incorporated by reference from Exhibit 10.1 to our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Current Report on Form 8-K, filed on October 3,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10.13</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Second Amended and Restated Revolving Credit Note dated May 31, 2005 by the Registrant, Shirts Illustrated, LLC, Build-A-Bear Workshop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3"/>
              </w:rPr>
              <w:t>Franchise Holdings, Inc., Build-A-Bear Entertainment, LLC, and Build-A-Bear Retail Management, Inc., as Borrowers, in favor of U.S. Bank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National Association (incorporated by reference from Exhibit 10.2 to our Current Report on Form 8-K, filed on October 3,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10.14</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5"/>
              </w:rPr>
              <w:t>Fourth Amended and Restated Loan Agreement between the Registrant, Build-A-Bear Workshop Franchise Holdings, Inc., Build-A-Bear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2"/>
              </w:rPr>
              <w:t>Entertainment, LLC, Build-A-Bear Retail Management, Inc., as borrowers, and U.S. Bank National Association, as lender, dated as of August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11, 2008 (incorporated by reference from Exhibit 10.1 to our Current Report on Form 8-K, filed on August 13,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10.14.1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1"/>
              </w:rPr>
              <w:t>Fourth Amended And Restated Revolving Credit Note dated as of October 28, 2009 by the Registrant, Franchise Holdings, Inc., Build-A-Bear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9"/>
              </w:rPr>
              <w:t>Entertainment, LLC (“BABE”), and Build-A-Bear Retail Management, Inc., as borrowers, in favor of U.S. Bank National Association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(incorporated by reference from Exhibit 10.1 to our Current Report on Form 8-K, filed on October 29,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10.15</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1"/>
              </w:rPr>
              <w:t>Public Warehouse Agreement dated April 5, 2002 between the Registrant and JS Logistics, Inc., as amended (incorporated by reference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Exhibit 10.25 to our Registration 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10.15.1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89"/>
              </w:rPr>
              <w:t>Second Amendment dated June 16, 2005 to the Public Warehouse Agreement dated April 5, 2002 between the Registrant and JS Warehousing,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8"/>
              </w:rPr>
              <w:t>Inc. (incorporated by reference from Exhibit 10.2 to our Quarterly Report on Form 10-Q for the fiscal quarter ended on April 2,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10.15.2†</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89"/>
              </w:rPr>
              <w:t>Second Amendment dated June 16, 2005 to the Public Warehouse Agreement dated April 5, 2002 between the Registrant and JS Warehousing,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Inc. (incorporated by reference from Exhibit 10.2 to our Quarterly Report on Form 10-Q for the fiscal quarter ended July 2,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10.16</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7"/>
              </w:rPr>
              <w:t>Agreement for Logistics Services dated as of February 24, 2002 by and among the Registrant and HA Logistics, Inc.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reference from Exhibit 10.26 to our Registration 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10.16.1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9"/>
              </w:rPr>
              <w:t>Letter Agreement extending Agreement for Logistics Services between HA Logistics, Inc. and the Registrant dated March 22, 2005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(incorporated by reference from Exhibit 10.3 to our Quarterly Report on Form 10-Q for the fiscal quarter ended April 2,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10.16.2</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1"/>
              </w:rPr>
              <w:t>Letter Agreement extending Agreement for Logistics Services between HA Logistics, Inc. and the Registrant dated May 3, 2005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by reference from Exhibit 10.4 to our Quarterly Report on Form 10-Q for the fiscal quarter ended April 2,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10.16.3†</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2"/>
              </w:rPr>
              <w:t>Letter Agreement dated June 7, 2005 amending the Agreement for Logistics Services dated February 24, 2002 by and among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2"/>
              </w:rPr>
              <w:t>and HA Logistics, Inc. (incorporated by reference from Exhibit 10.1 to our Quarterly Report on Form 10-Q for the fiscal quarter ended July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10.16.4†</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Agreement For Logistics Services dated as of June 30, 2008 between the Registrant and HA Logistics. Inc. (incorporated by reference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Exhibit 10.1 to our Current Report on Form 8-K, filed on July 3,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10.17†</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1"/>
              </w:rPr>
              <w:t>Lease Agreement dated as of June 21, 2001 between the Registrant and Walt Disney World Co. (incorporated by reference from Exhibit 2.1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our Registration 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10.18</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9"/>
              </w:rPr>
              <w:t>Lease dated May 5, 1997 between Smart Stuff, Inc. and Hycel Partners I, L.P. (incorporated by reference from Exhibit 10.29 to our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Registration 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10.19</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Agreement dated October 16, 2002 between the Registrant and Hycel Properties Co., as amended (incorporated by reference from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10.30 to our Registration 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0FFFF"/>
          </w:tcPr>
          <w:p>
            <w:pPr>
              <w:spacing w:after="0"/>
              <w:rPr>
                <w:sz w:val="20"/>
                <w:szCs w:val="20"/>
                <w:color w:val="auto"/>
              </w:rPr>
            </w:pPr>
            <w:r>
              <w:rPr>
                <w:rFonts w:ascii="Arial" w:cs="Arial" w:eastAsia="Arial" w:hAnsi="Arial"/>
                <w:sz w:val="18"/>
                <w:szCs w:val="18"/>
                <w:color w:val="auto"/>
              </w:rPr>
              <w:t>10.19.1</w:t>
            </w: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Third Amendment to Lease between First Industrial, L.P. and Registrant, dated as of November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0FFFF"/>
          </w:tcPr>
          <w:p>
            <w:pPr>
              <w:spacing w:after="0"/>
              <w:rPr>
                <w:sz w:val="20"/>
                <w:szCs w:val="20"/>
                <w:color w:val="auto"/>
              </w:rPr>
            </w:pPr>
            <w:r>
              <w:rPr>
                <w:rFonts w:ascii="Arial" w:cs="Arial" w:eastAsia="Arial" w:hAnsi="Arial"/>
                <w:sz w:val="18"/>
                <w:szCs w:val="18"/>
                <w:color w:val="auto"/>
              </w:rPr>
              <w:t>10.19.2</w:t>
            </w: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Fourth Amendment to Lease between First Industrial, L.P and Registrant, dated as of December 29,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10.20</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1"/>
              </w:rPr>
              <w:t>Letter Agreement dated September 30, 2003 between the Registrant and Hycel Properties Co. (incorporated by reference from Exhibit 10.30.1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w w:val="95"/>
              </w:rPr>
              <w:t>to Pre-Effective Amendment No. 5 to our Registration Statement on Form S-1, filed on October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10.21</w:t>
            </w:r>
          </w:p>
        </w:tc>
        <w:tc>
          <w:tcPr>
            <w:tcW w:w="10560" w:type="dxa"/>
            <w:vAlign w:val="bottom"/>
            <w:shd w:val="clear" w:color="auto" w:fill="C0FFFF"/>
          </w:tcPr>
          <w:p>
            <w:pPr>
              <w:ind w:left="220"/>
              <w:spacing w:after="0" w:line="201" w:lineRule="exact"/>
              <w:rPr>
                <w:sz w:val="20"/>
                <w:szCs w:val="20"/>
                <w:color w:val="auto"/>
              </w:rPr>
            </w:pPr>
            <w:r>
              <w:rPr>
                <w:rFonts w:ascii="Arial" w:cs="Arial" w:eastAsia="Arial" w:hAnsi="Arial"/>
                <w:sz w:val="18"/>
                <w:szCs w:val="18"/>
                <w:color w:val="auto"/>
                <w:w w:val="93"/>
              </w:rPr>
              <w:t>Construction Management Agreement dated November 10, 2003 by and between the Registrant and Hycel Properties Co.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0FFFF"/>
          </w:tcPr>
          <w:p>
            <w:pPr>
              <w:spacing w:after="0"/>
              <w:rPr>
                <w:sz w:val="20"/>
                <w:szCs w:val="20"/>
                <w:color w:val="auto"/>
              </w:rPr>
            </w:pPr>
          </w:p>
        </w:tc>
        <w:tc>
          <w:tcPr>
            <w:tcW w:w="1056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reference from Exhibit 10.31 to our Registration Statement on Form S-1, filed on August 12, 2004, Registration No. 333-118142)</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560" w:type="dxa"/>
            <w:vAlign w:val="bottom"/>
          </w:tcPr>
          <w:p>
            <w:pPr>
              <w:ind w:left="47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0" w:right="239" w:bottom="1059" w:gutter="0" w:footer="0" w:header="0"/>
        </w:sectPr>
      </w:pPr>
    </w:p>
    <w:bookmarkStart w:id="76" w:name="page77"/>
    <w:bookmarkEnd w:id="76"/>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10.22</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w w:val="93"/>
              </w:rPr>
              <w:t>Agreement dated July 19, 2001 between the Registrant and Adrienne Weiss Company (incorporated by reference from Exhibit 10.32 to our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Registration Statement on Form S-1, filed on August 12,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10.23</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6"/>
              </w:rPr>
              <w:t>Lease between 5th Midtown LLC and the Registrant dated July 21, 2004 (incorporated by reference from Exhibit 10.33 to Pre-Effective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Amendment No. 1 to our Registration Statement on Form S-1, filed on September 10, 2004, Registration No. 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10.24</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2"/>
              </w:rPr>
              <w:t>Exclusive Patent License Agreement dated March 12, 2001 by and between Tonyco, Inc. and the Registrant (incorporated by reference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w w:val="93"/>
              </w:rPr>
              <w:t>Exhibit 10.34 to Pre-Effective Amendment No. 2 to our Registration Statement on Form S-1, filed on September 20, 2004, Registration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10.25</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2"/>
              </w:rPr>
              <w:t>Standard Form Industrial Building Lease dated August 28, 2004 between First Industrial, L.P. and the Registrant (incorporated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w w:val="92"/>
              </w:rPr>
              <w:t>from Exhibit 10.35 to Pre-Effective Amendment No. 4 to our Registration Statement on Form S-1, filed on October 5, 2004, Registration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333-118142)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10.26</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2"/>
              </w:rPr>
              <w:t>Facility Construction Agreement dated December 22, 2005 between the Registrant and Duke Construction Limited Partnership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by reference from Exhibit 10.35 to our Annual Report on Form 10-K for the year ended December 31,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10.27</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2"/>
              </w:rPr>
              <w:t>Real Estate Purchase Agreement dated December 19, 2005 between Duke Realty Ohio and the Registrant (incorporated by reference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Exhibit 10.36 to our Annual Report on Form 10-K for the year ended December 31, 2005)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10.28*</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3"/>
              </w:rPr>
              <w:t>Rules of the Build-A-Bear Workshop, Inc. U.K. Share Option Scheme (incorporated by reference from Exhibit 10.1 to our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Form 8-K filed on February 9,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10.29*</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2"/>
              </w:rPr>
              <w:t>Nonqualified Deferred Compensation Plan (incorporated by reference from Exhibit 10.42 to our Annual Report on Form 10-K, filed on March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15, 2007)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10.30</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1"/>
              </w:rPr>
              <w:t>Settlement Agreement between Build-A-Bear Workshop, Inc. and the United States Consumer Products Safety Commission, finally accepted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effective January 4, 2012 (incorporated by reference from Exhibit 10.2 to our Current Report on Form 8-K, filed January 4,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11.1</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4"/>
              </w:rPr>
              <w:t>Statement regarding computation of earnings per share (incorporated by reference from Note 12 of the Registrant’s audited consolidated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financial statements included herein)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13.1</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1"/>
              </w:rPr>
              <w:t>Annual Report to Shareholders for the Fiscal Year Ended January 2, 2010 (The Annual Report, except for those portions which are expressly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w w:val="93"/>
              </w:rPr>
              <w:t>incorporated by reference in the Form 10-K, is furnished for the information of the Commission and is not deemed filed as part of the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16.1</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2"/>
              </w:rPr>
              <w:t>Letter dated July 15, 2011 from KMPG LLP to the Securities and Exchange Commission (incorporated by reference from Exhibit 16.1 to our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Current Report on Form 8-K, filed on July 15,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21.1</w:t>
            </w:r>
          </w:p>
        </w:tc>
        <w:tc>
          <w:tcPr>
            <w:tcW w:w="10520" w:type="dxa"/>
            <w:vAlign w:val="bottom"/>
            <w:shd w:val="clear" w:color="auto" w:fill="C0FFFF"/>
          </w:tcPr>
          <w:p>
            <w:pPr>
              <w:ind w:left="200"/>
              <w:spacing w:after="0" w:line="201" w:lineRule="exact"/>
              <w:rPr>
                <w:sz w:val="20"/>
                <w:szCs w:val="20"/>
                <w:color w:val="auto"/>
              </w:rPr>
            </w:pPr>
            <w:r>
              <w:rPr>
                <w:rFonts w:ascii="Arial" w:cs="Arial" w:eastAsia="Arial" w:hAnsi="Arial"/>
                <w:sz w:val="18"/>
                <w:szCs w:val="18"/>
                <w:color w:val="auto"/>
                <w:w w:val="95"/>
              </w:rPr>
              <w:t>List of Subsidiaries of the Registrant (incorporated by reference from Exhibit 21.1 to our Annual Report on Form 10-K 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0FFFF"/>
          </w:tcPr>
          <w:p>
            <w:pPr>
              <w:spacing w:after="0"/>
              <w:rPr>
                <w:sz w:val="20"/>
                <w:szCs w:val="20"/>
                <w:color w:val="auto"/>
              </w:rPr>
            </w:pP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December 30, 2006, filed March 15,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23.1</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23.2</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31.1</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Chief Executive Bear)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31.2</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w w:val="94"/>
              </w:rPr>
              <w:t>Rule 13a-14(a)/15d-14(a) certification (pursuant to Section 302 of the Sarbanes-Oxley Act of 2002, executed by the Chief Financial Bear)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32.1</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Executive Bear)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32.2</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Financial Bear)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99.1</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Financial Statements of Ridemakerz, LLC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101.INS</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XBRL Instance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101.SCH</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XBRL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101.CAL</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XBRL Extension Calculation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101.DEF</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XBRL Extension Definition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101.LAB</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XBRL Extension Label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0FFFF"/>
          </w:tcPr>
          <w:p>
            <w:pPr>
              <w:spacing w:after="0"/>
              <w:rPr>
                <w:sz w:val="20"/>
                <w:szCs w:val="20"/>
                <w:color w:val="auto"/>
              </w:rPr>
            </w:pPr>
            <w:r>
              <w:rPr>
                <w:rFonts w:ascii="Arial" w:cs="Arial" w:eastAsia="Arial" w:hAnsi="Arial"/>
                <w:sz w:val="18"/>
                <w:szCs w:val="18"/>
                <w:color w:val="auto"/>
              </w:rPr>
              <w:t>101.PRE</w:t>
            </w:r>
          </w:p>
        </w:tc>
        <w:tc>
          <w:tcPr>
            <w:tcW w:w="10520" w:type="dxa"/>
            <w:vAlign w:val="bottom"/>
            <w:shd w:val="clear" w:color="auto" w:fill="C0FFFF"/>
          </w:tcPr>
          <w:p>
            <w:pPr>
              <w:ind w:left="200"/>
              <w:spacing w:after="0"/>
              <w:rPr>
                <w:sz w:val="20"/>
                <w:szCs w:val="20"/>
                <w:color w:val="auto"/>
              </w:rPr>
            </w:pPr>
            <w:r>
              <w:rPr>
                <w:rFonts w:ascii="Arial" w:cs="Arial" w:eastAsia="Arial" w:hAnsi="Arial"/>
                <w:sz w:val="18"/>
                <w:szCs w:val="18"/>
                <w:color w:val="auto"/>
              </w:rPr>
              <w:t>XBRL Extension Presentation</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5620" w:right="2460" w:hanging="5612"/>
        <w:spacing w:after="0" w:line="715"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filed separately with the Securities and Exchange Commission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83" w:orient="portrait"/>
          <w:cols w:equalWidth="0" w:num="1">
            <w:col w:w="11420"/>
          </w:cols>
          <w:pgMar w:left="240" w:top="580" w:right="239" w:bottom="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40" w:val="left"/>
          <w:tab w:leader="none" w:pos="638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Bear</w:t>
      </w:r>
    </w:p>
    <w:p>
      <w:pPr>
        <w:spacing w:after="0" w:line="211" w:lineRule="exact"/>
        <w:rPr>
          <w:sz w:val="20"/>
          <w:szCs w:val="20"/>
          <w:color w:val="auto"/>
        </w:rPr>
      </w:pPr>
    </w:p>
    <w:p>
      <w:pPr>
        <w:ind w:left="596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Operations and Financial Bear, Treasurer and Secretary</w:t>
      </w:r>
    </w:p>
    <w:p>
      <w:pPr>
        <w:spacing w:after="0" w:line="26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Maxine Clark and Tina Klocke,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December 31, 2011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470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Lou Fiala</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Non-Executive Chairman</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Mary Lou Fiala</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Gould</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James M. Gould</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Kent</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Virginia Kent</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Braden Leonard</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Braden Leonard</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M. Mucci</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Louis M. Mucci</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Coleman Peterson</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Coleman Peterson</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Reisler</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William Reisler</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Maxine Clark</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Director and Chief Executive Bear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Maxine Clark</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Tina Klocke</w:t>
            </w:r>
          </w:p>
        </w:tc>
        <w:tc>
          <w:tcPr>
            <w:tcW w:w="12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Operations and Financial Bear, Treasurer</w:t>
            </w:r>
          </w:p>
        </w:tc>
        <w:tc>
          <w:tcPr>
            <w:tcW w:w="1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March 15, 2012</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Tina Klocke</w:t>
            </w: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and Secretary (Principal Financial and Accounting Officer)</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513"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10.19.1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LEASE</w:t>
      </w:r>
    </w:p>
    <w:p>
      <w:pPr>
        <w:spacing w:after="0" w:line="26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xml:space="preserve">This Third Amendment to Lease (the “Amendment”), made and entered into as of the 21 day of November, 2007 by and between </w:t>
      </w:r>
      <w:r>
        <w:rPr>
          <w:rFonts w:ascii="Arial" w:cs="Arial" w:eastAsia="Arial" w:hAnsi="Arial"/>
          <w:sz w:val="18"/>
          <w:szCs w:val="18"/>
          <w:b w:val="1"/>
          <w:bCs w:val="1"/>
          <w:color w:val="auto"/>
        </w:rPr>
        <w:t>First Industrial, L.P.,</w:t>
      </w:r>
      <w:r>
        <w:rPr>
          <w:rFonts w:ascii="Arial" w:cs="Arial" w:eastAsia="Arial" w:hAnsi="Arial"/>
          <w:sz w:val="18"/>
          <w:szCs w:val="18"/>
          <w:color w:val="auto"/>
        </w:rPr>
        <w:t xml:space="preserve"> a Delaware limited partnership, as Landlord, (hereinafter “Landlord”) and </w:t>
      </w:r>
      <w:r>
        <w:rPr>
          <w:rFonts w:ascii="Arial" w:cs="Arial" w:eastAsia="Arial" w:hAnsi="Arial"/>
          <w:sz w:val="18"/>
          <w:szCs w:val="18"/>
          <w:b w:val="1"/>
          <w:bCs w:val="1"/>
          <w:color w:val="auto"/>
        </w:rPr>
        <w:t>Build-A-Bear Retail Management, Inc.,</w:t>
      </w:r>
      <w:r>
        <w:rPr>
          <w:rFonts w:ascii="Arial" w:cs="Arial" w:eastAsia="Arial" w:hAnsi="Arial"/>
          <w:sz w:val="18"/>
          <w:szCs w:val="18"/>
          <w:color w:val="auto"/>
        </w:rPr>
        <w:t xml:space="preserve"> a Delaware corporation, as Tenant, (hereinafter “Tenant”).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8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WHEREAS, Landlord and Tenant entered into an Industrial Building Lease dated August 28, 2004 (also known as the Industrial Space Lease dated August 22, 2004, the “Original Lease”), amended by the First Amendment to Lease dated October 31, 2006 (the “First Amendment”), and further amended by the Second Amendment to Lease dated December 31, 2006 (the “Second Amendment”, together with the First Amendment, the Original Lease and as amended hereby, the “Lease”), for certain space known and numbered as 1938 – 1954 Innerbelt Business Center Drive, St. Louis, Missouri 63144 (the “Building”) containing approximately 51,976 rentable square feet (the “Premises”); and</w:t>
      </w:r>
    </w:p>
    <w:p>
      <w:pPr>
        <w:spacing w:after="0" w:line="24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WHEREAS, pursuant to the terms and conditions of the Second Amendment, Tenant occupies and uses Suite 1930 Innerbelt Business Center Drive containing approximately 7,437 square feet (the “Expansion Premises”) on a month to month basis; and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WHEREAS, Landlord and Tenant desire to modify and amend the Lease to their mutual benefit and advantage, as more fully set forth herein below.</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NOW THEREFORE, for and in consideration of the covenants and agreements herein, the parties hereto stipulate, covenant and agree as follows:</w:t>
      </w:r>
    </w:p>
    <w:p>
      <w:pPr>
        <w:spacing w:after="0" w:line="291" w:lineRule="exact"/>
        <w:rPr>
          <w:sz w:val="20"/>
          <w:szCs w:val="20"/>
          <w:color w:val="auto"/>
        </w:rPr>
      </w:pPr>
    </w:p>
    <w:p>
      <w:pPr>
        <w:ind w:right="40" w:firstLine="8"/>
        <w:spacing w:after="0" w:line="291" w:lineRule="auto"/>
        <w:tabs>
          <w:tab w:leader="none" w:pos="225" w:val="left"/>
        </w:tabs>
        <w:numPr>
          <w:ilvl w:val="0"/>
          <w:numId w:val="74"/>
        </w:numPr>
        <w:rPr>
          <w:rFonts w:ascii="Arial" w:cs="Arial" w:eastAsia="Arial" w:hAnsi="Arial"/>
          <w:sz w:val="16"/>
          <w:szCs w:val="16"/>
          <w:color w:val="auto"/>
        </w:rPr>
      </w:pPr>
      <w:r>
        <w:rPr>
          <w:rFonts w:ascii="Arial" w:cs="Arial" w:eastAsia="Arial" w:hAnsi="Arial"/>
          <w:sz w:val="16"/>
          <w:szCs w:val="16"/>
          <w:color w:val="auto"/>
        </w:rPr>
        <w:t>Landlord and Tenant hereby amend and modify the Lease to provide that, effective as of January 1, 2008, the Expansion Premises Term (as defined in the Second Amendment) shall no longer be on a month-to-month basis, and shall instead be coterminous with the Term for the remainder of the Premises and, effective as of January 1, 2008, the Expansion Premises shall be deemed a portion of the Premises for all purposes under the Lease. Effective as of January 1, 2008, Section 6 of the Second Amendment shall be deleted in its entirety. Notwithstanding anything contained in the Lease to the contrary, from and after January 1, 2008 and for the duration of the Term, the term “Premises” under the Lease shall be deemed to include the Premises (as defined in the Original Lease) and the Expansion Premises (as defined in the Second Amendment). The parties hereby agree that Tenant does not occupy and shall have no liability for the Additional Premises (as defined in the First Amendment), and that such Additional Premises is not a part of the Premises.</w:t>
      </w:r>
    </w:p>
    <w:p>
      <w:pPr>
        <w:spacing w:after="0" w:line="221" w:lineRule="exact"/>
        <w:rPr>
          <w:rFonts w:ascii="Arial" w:cs="Arial" w:eastAsia="Arial" w:hAnsi="Arial"/>
          <w:sz w:val="16"/>
          <w:szCs w:val="16"/>
          <w:color w:val="auto"/>
        </w:rPr>
      </w:pPr>
    </w:p>
    <w:p>
      <w:pPr>
        <w:ind w:right="500" w:firstLine="8"/>
        <w:spacing w:after="0" w:line="277" w:lineRule="auto"/>
        <w:tabs>
          <w:tab w:leader="none" w:pos="22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approximate square footage of the Premises as set forth in Section 1.4 of the Original Lease shall be amended effective January 1, 2008 to mean approximately 59,413 square feet.</w:t>
      </w:r>
    </w:p>
    <w:p>
      <w:pPr>
        <w:spacing w:after="0" w:line="224" w:lineRule="exact"/>
        <w:rPr>
          <w:rFonts w:ascii="Arial" w:cs="Arial" w:eastAsia="Arial" w:hAnsi="Arial"/>
          <w:sz w:val="18"/>
          <w:szCs w:val="18"/>
          <w:color w:val="auto"/>
        </w:rPr>
      </w:pPr>
    </w:p>
    <w:p>
      <w:pPr>
        <w:ind w:right="60" w:firstLine="8"/>
        <w:spacing w:after="0" w:line="277" w:lineRule="auto"/>
        <w:tabs>
          <w:tab w:leader="none" w:pos="2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Effective as of January 1, 2008, the Term of this Lease shall be extended for a period of five (5) years so that the Expiration Date of the Term as defined in Section 1.6 of the Original Lease shall be amended as of January 1, 2008 to mean December 31, 2013.</w:t>
      </w:r>
    </w:p>
    <w:p>
      <w:pPr>
        <w:spacing w:after="0" w:line="224" w:lineRule="exact"/>
        <w:rPr>
          <w:rFonts w:ascii="Arial" w:cs="Arial" w:eastAsia="Arial" w:hAnsi="Arial"/>
          <w:sz w:val="18"/>
          <w:szCs w:val="18"/>
          <w:color w:val="auto"/>
        </w:rPr>
      </w:pPr>
    </w:p>
    <w:p>
      <w:pPr>
        <w:ind w:right="60" w:firstLine="8"/>
        <w:spacing w:after="0" w:line="264" w:lineRule="auto"/>
        <w:tabs>
          <w:tab w:leader="none" w:pos="2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Commencing January 1, 2008, Base Rent for the Premises shall be amended as set forth herein and continuing through December 31, 2013, and in consideration of the Premises, Tenant shall pay to Landlord as Base Rent, payable in equal installments on or before the first day of the month, without notice or setoff except as provided in the Lease, per the following schedule: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Jan. 1, 2008 – Dec. 31, 2010</w:t>
            </w:r>
          </w:p>
        </w:tc>
        <w:tc>
          <w:tcPr>
            <w:tcW w:w="3820" w:type="dxa"/>
            <w:vAlign w:val="bottom"/>
          </w:tcPr>
          <w:p>
            <w:pPr>
              <w:ind w:left="1220"/>
              <w:spacing w:after="0"/>
              <w:rPr>
                <w:sz w:val="20"/>
                <w:szCs w:val="20"/>
                <w:color w:val="auto"/>
              </w:rPr>
            </w:pPr>
            <w:r>
              <w:rPr>
                <w:rFonts w:ascii="Arial" w:cs="Arial" w:eastAsia="Arial" w:hAnsi="Arial"/>
                <w:sz w:val="18"/>
                <w:szCs w:val="18"/>
                <w:color w:val="auto"/>
              </w:rPr>
              <w:t>$505,010.50 ($8.50/ft)</w:t>
            </w:r>
          </w:p>
        </w:tc>
        <w:tc>
          <w:tcPr>
            <w:tcW w:w="4320" w:type="dxa"/>
            <w:vAlign w:val="bottom"/>
          </w:tcPr>
          <w:p>
            <w:pPr>
              <w:ind w:left="960"/>
              <w:spacing w:after="0"/>
              <w:rPr>
                <w:sz w:val="20"/>
                <w:szCs w:val="20"/>
                <w:color w:val="auto"/>
              </w:rPr>
            </w:pPr>
            <w:r>
              <w:rPr>
                <w:rFonts w:ascii="Arial" w:cs="Arial" w:eastAsia="Arial" w:hAnsi="Arial"/>
                <w:sz w:val="18"/>
                <w:szCs w:val="18"/>
                <w:color w:val="auto"/>
              </w:rPr>
              <w:t>$42,084.21/month</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Jan. 1, 2011 – Dec. 31, 2013</w:t>
            </w:r>
          </w:p>
        </w:tc>
        <w:tc>
          <w:tcPr>
            <w:tcW w:w="3820" w:type="dxa"/>
            <w:vAlign w:val="bottom"/>
          </w:tcPr>
          <w:p>
            <w:pPr>
              <w:ind w:left="1220"/>
              <w:spacing w:after="0"/>
              <w:rPr>
                <w:sz w:val="20"/>
                <w:szCs w:val="20"/>
                <w:color w:val="auto"/>
              </w:rPr>
            </w:pPr>
            <w:r>
              <w:rPr>
                <w:rFonts w:ascii="Arial" w:cs="Arial" w:eastAsia="Arial" w:hAnsi="Arial"/>
                <w:sz w:val="18"/>
                <w:szCs w:val="18"/>
                <w:color w:val="auto"/>
              </w:rPr>
              <w:t>$522,834.40 ($8.80/ft)</w:t>
            </w:r>
          </w:p>
        </w:tc>
        <w:tc>
          <w:tcPr>
            <w:tcW w:w="4320" w:type="dxa"/>
            <w:vAlign w:val="bottom"/>
          </w:tcPr>
          <w:p>
            <w:pPr>
              <w:ind w:left="960"/>
              <w:spacing w:after="0"/>
              <w:rPr>
                <w:sz w:val="20"/>
                <w:szCs w:val="20"/>
                <w:color w:val="auto"/>
              </w:rPr>
            </w:pPr>
            <w:r>
              <w:rPr>
                <w:rFonts w:ascii="Arial" w:cs="Arial" w:eastAsia="Arial" w:hAnsi="Arial"/>
                <w:sz w:val="18"/>
                <w:szCs w:val="18"/>
                <w:color w:val="auto"/>
              </w:rPr>
              <w:t>$43,569.53/month</w:t>
            </w:r>
          </w:p>
        </w:tc>
      </w:tr>
      <w:tr>
        <w:trPr>
          <w:trHeight w:val="686"/>
        </w:trPr>
        <w:tc>
          <w:tcPr>
            <w:tcW w:w="328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p>
      <w:pPr>
        <w:ind w:right="200" w:firstLine="8"/>
        <w:spacing w:after="0" w:line="290" w:lineRule="auto"/>
        <w:tabs>
          <w:tab w:leader="none" w:pos="2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Effective as of January 1, 2008, Tenant’s Proportionate Share as set forth in Section 1.12 of the Original Lease shall be amended to mean 30.96% (59,413/191,923), and commencing on January 1, 2008 and continuing through the Expiration Date, Tenant shall pay its Proportionate Share of Operating Expenses based on this increased Proportionate Share. Commencing as of January 1, 2008, the annual cost of Controllable Operating Expenses (as hereinafter defined) shall not increase by more than five (5) percent over the cost of Controllable Operating Expenses for the immediately preceding year, it being acknowledged that the cost of Controllable Operating Expenses for calendar year 2007 was $1.02 per square foot, and accordingly, the cost of Controllable Operating Expenses for the calendar year 2008 shall not exceed $1.07 per square foot. Controllable Operating Expenses shall mean those Operating Expenses that are not costs attributable to utilities, real estate taxes, assessments, owner’s association fees, insurance premiums, snow removal, amortization of capital expenses, real estate tax appeal fees, snow removal or any other costs outside of Landlord’s reasonable control.</w:t>
      </w:r>
    </w:p>
    <w:p>
      <w:pPr>
        <w:spacing w:after="0" w:line="220" w:lineRule="exact"/>
        <w:rPr>
          <w:rFonts w:ascii="Arial" w:cs="Arial" w:eastAsia="Arial" w:hAnsi="Arial"/>
          <w:sz w:val="16"/>
          <w:szCs w:val="16"/>
          <w:color w:val="auto"/>
        </w:rPr>
      </w:pPr>
    </w:p>
    <w:p>
      <w:pPr>
        <w:ind w:right="440" w:firstLine="8"/>
        <w:spacing w:after="0" w:line="264" w:lineRule="auto"/>
        <w:tabs>
          <w:tab w:leader="none" w:pos="2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Tenant and Landlord hereby acknowledge that Premises is leased in its current and existing “as is, where is” condition. Landlord has agreed to allow Tenant to perform certain improvements within the Premises in accordance with the terms and provisions of the Tenant Work Letter attached hereto as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and made a part hereof .</w:t>
      </w:r>
    </w:p>
    <w:p>
      <w:pPr>
        <w:spacing w:after="0" w:line="235" w:lineRule="exact"/>
        <w:rPr>
          <w:rFonts w:ascii="Arial" w:cs="Arial" w:eastAsia="Arial" w:hAnsi="Arial"/>
          <w:sz w:val="18"/>
          <w:szCs w:val="18"/>
          <w:color w:val="auto"/>
        </w:rPr>
      </w:pPr>
    </w:p>
    <w:p>
      <w:pPr>
        <w:ind w:right="280" w:firstLine="8"/>
        <w:spacing w:after="0" w:line="259" w:lineRule="auto"/>
        <w:tabs>
          <w:tab w:leader="none" w:pos="2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Tenant and Landlord hereby acknowledge that no broker or agent was involved in this transaction, thus neither Landlord nor Tenant are under any obligation to pay any leasing commissions or fees. Each party hereby holds harmless and indemnifies the other from and against any and all cost, expense (including reasonable attorneys' fees) or liability for any compensation, commissions or charges by a party claiming to have dealt with the indemnifying party. The foregoing indemnification shall survive the termination or expiration of this Lease.</w:t>
      </w:r>
    </w:p>
    <w:p>
      <w:pPr>
        <w:spacing w:after="0" w:line="240" w:lineRule="exact"/>
        <w:rPr>
          <w:rFonts w:ascii="Arial" w:cs="Arial" w:eastAsia="Arial" w:hAnsi="Arial"/>
          <w:sz w:val="18"/>
          <w:szCs w:val="18"/>
          <w:color w:val="auto"/>
        </w:rPr>
      </w:pPr>
    </w:p>
    <w:p>
      <w:pPr>
        <w:ind w:right="140" w:firstLine="8"/>
        <w:spacing w:after="0" w:line="264" w:lineRule="auto"/>
        <w:tabs>
          <w:tab w:leader="none" w:pos="2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Amendment shall be incorporated into and made a part of the Lease, and all provisions of the Lease not expressly modified or amended hereby shall remain in full force and effect. As amended hereby, the Lease is hereby ratified and confirmed by Landlord and Tenant. To the extent the terms hereof are inconsistent with the terms of the Lease, the terms hereof shall control.</w:t>
      </w:r>
    </w:p>
    <w:p>
      <w:pPr>
        <w:spacing w:after="0" w:line="235" w:lineRule="exact"/>
        <w:rPr>
          <w:rFonts w:ascii="Arial" w:cs="Arial" w:eastAsia="Arial" w:hAnsi="Arial"/>
          <w:sz w:val="18"/>
          <w:szCs w:val="18"/>
          <w:color w:val="auto"/>
        </w:rPr>
      </w:pPr>
    </w:p>
    <w:p>
      <w:pPr>
        <w:ind w:left="240" w:hanging="232"/>
        <w:spacing w:after="0"/>
        <w:tabs>
          <w:tab w:leader="none" w:pos="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Neither this Amendment nor any memorandum thereof shall be recorded and the act of recording by Tenant shall be deemed a default by Tenant hereunder.</w:t>
      </w:r>
    </w:p>
    <w:p>
      <w:pPr>
        <w:spacing w:after="0" w:line="302" w:lineRule="exact"/>
        <w:rPr>
          <w:rFonts w:ascii="Arial" w:cs="Arial" w:eastAsia="Arial" w:hAnsi="Arial"/>
          <w:sz w:val="16"/>
          <w:szCs w:val="16"/>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laws of the State in which the Property is located.</w:t>
      </w:r>
    </w:p>
    <w:p>
      <w:pPr>
        <w:spacing w:after="0" w:line="279"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construing this Amendment, all headings and titles are for the convenience of the parties only and shall not be considered a part of this</w:t>
      </w:r>
    </w:p>
    <w:p>
      <w:pPr>
        <w:spacing w:after="0" w:line="2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Amendment. Whenever required by the context, the singular shall include the plural and the masculine shall include the feminine and vice versa. This Amendment shall not be construed as if prepared by one of the parties, but rather according to its fair meaning as a whole, as if both parties had prepared it.</w:t>
      </w:r>
    </w:p>
    <w:p>
      <w:pPr>
        <w:spacing w:after="0" w:line="193" w:lineRule="exact"/>
        <w:rPr>
          <w:sz w:val="20"/>
          <w:szCs w:val="20"/>
          <w:color w:val="auto"/>
        </w:rPr>
      </w:pPr>
    </w:p>
    <w:p>
      <w:pPr>
        <w:ind w:right="600" w:firstLine="8"/>
        <w:spacing w:after="0" w:line="277" w:lineRule="auto"/>
        <w:tabs>
          <w:tab w:leader="none" w:pos="3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provisions of this Amendment shall be deemed independent and severable, and the invalidity or partial invalidity or enforceability of any one provision shall not affect the validity of enforceability of any other provision hereof.</w:t>
      </w:r>
    </w:p>
    <w:p>
      <w:pPr>
        <w:spacing w:after="0" w:line="224" w:lineRule="exact"/>
        <w:rPr>
          <w:rFonts w:ascii="Arial" w:cs="Arial" w:eastAsia="Arial" w:hAnsi="Arial"/>
          <w:sz w:val="18"/>
          <w:szCs w:val="18"/>
          <w:color w:val="auto"/>
        </w:rPr>
      </w:pPr>
    </w:p>
    <w:p>
      <w:pPr>
        <w:ind w:right="40" w:firstLine="8"/>
        <w:spacing w:after="0" w:line="277" w:lineRule="auto"/>
        <w:tabs>
          <w:tab w:leader="none" w:pos="3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Amendment may be executed in multiple counterparts and shall be valid and binding with the same force and effect as if all parties had executed the same Amendment. A fully executed facsimile copy of this Amendment shall be effective as an original.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duly executed this Third Amendment to Lease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INDUSTRIAL, L.P., a Delaware Limited Partnership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By: First Industrial Realty Trust, Inc., a Maryland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0" w:name="page81"/>
    <w:bookmarkEnd w:id="80"/>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Prokup________________________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-10160</wp:posOffset>
            </wp:positionV>
            <wp:extent cx="933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___ </w:t>
      </w:r>
      <w:r>
        <w:rPr>
          <w:rFonts w:ascii="Arial" w:cs="Arial" w:eastAsia="Arial" w:hAnsi="Arial"/>
          <w:sz w:val="18"/>
          <w:szCs w:val="18"/>
          <w:u w:val="single" w:color="auto"/>
          <w:color w:val="auto"/>
        </w:rPr>
        <w:t>Richard Prokup</w:t>
      </w:r>
      <w:r>
        <w:rPr>
          <w:rFonts w:ascii="Arial" w:cs="Arial" w:eastAsia="Arial" w:hAnsi="Arial"/>
          <w:sz w:val="18"/>
          <w:szCs w:val="18"/>
          <w:color w:val="auto"/>
        </w:rPr>
        <w:t xml:space="preserve"> _______________________</w:t>
      </w:r>
    </w:p>
    <w:p>
      <w:pPr>
        <w:spacing w:after="0" w:line="27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___</w:t>
      </w:r>
      <w:r>
        <w:rPr>
          <w:rFonts w:ascii="Arial" w:cs="Arial" w:eastAsia="Arial" w:hAnsi="Arial"/>
          <w:sz w:val="18"/>
          <w:szCs w:val="18"/>
          <w:u w:val="single" w:color="auto"/>
          <w:color w:val="auto"/>
        </w:rPr>
        <w:t>Vice President</w:t>
      </w:r>
      <w:r>
        <w:rPr>
          <w:rFonts w:ascii="Arial" w:cs="Arial" w:eastAsia="Arial" w:hAnsi="Arial"/>
          <w:sz w:val="18"/>
          <w:szCs w:val="18"/>
          <w:color w:val="auto"/>
        </w:rPr>
        <w:t>_________________________</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___</w:t>
      </w:r>
      <w:r>
        <w:rPr>
          <w:rFonts w:ascii="Arial" w:cs="Arial" w:eastAsia="Arial" w:hAnsi="Arial"/>
          <w:sz w:val="18"/>
          <w:szCs w:val="18"/>
          <w:u w:val="single" w:color="auto"/>
          <w:color w:val="auto"/>
        </w:rPr>
        <w:t>11/21/2007</w:t>
      </w:r>
      <w:r>
        <w:rPr>
          <w:rFonts w:ascii="Arial" w:cs="Arial" w:eastAsia="Arial" w:hAnsi="Arial"/>
          <w:sz w:val="18"/>
          <w:szCs w:val="18"/>
          <w:color w:val="auto"/>
        </w:rPr>
        <w:t>____________________________</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Build-A-Bear Retail Management, Inc., a Delaware corporation</w:t>
      </w:r>
    </w:p>
    <w:p>
      <w:pPr>
        <w:spacing w:after="0" w:line="30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___</w:t>
      </w:r>
      <w:r>
        <w:rPr>
          <w:rFonts w:ascii="Arial" w:cs="Arial" w:eastAsia="Arial" w:hAnsi="Arial"/>
          <w:sz w:val="18"/>
          <w:szCs w:val="18"/>
          <w:u w:val="single" w:color="auto"/>
          <w:color w:val="auto"/>
        </w:rPr>
        <w:t>/S/Tina Klocke</w:t>
      </w:r>
      <w:r>
        <w:rPr>
          <w:rFonts w:ascii="Arial" w:cs="Arial" w:eastAsia="Arial" w:hAnsi="Arial"/>
          <w:sz w:val="18"/>
          <w:szCs w:val="18"/>
          <w:color w:val="auto"/>
        </w:rPr>
        <w:t>_________________________</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Name: __</w:t>
      </w:r>
      <w:r>
        <w:rPr>
          <w:rFonts w:ascii="Arial" w:cs="Arial" w:eastAsia="Arial" w:hAnsi="Arial"/>
          <w:sz w:val="18"/>
          <w:szCs w:val="18"/>
          <w:u w:val="single" w:color="auto"/>
          <w:color w:val="auto"/>
        </w:rPr>
        <w:t>Tina Klocke</w:t>
      </w:r>
      <w:r>
        <w:rPr>
          <w:rFonts w:ascii="Arial" w:cs="Arial" w:eastAsia="Arial" w:hAnsi="Arial"/>
          <w:sz w:val="18"/>
          <w:szCs w:val="18"/>
          <w:color w:val="auto"/>
        </w:rPr>
        <w:t>____________________________</w:t>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___</w:t>
      </w:r>
      <w:r>
        <w:rPr>
          <w:rFonts w:ascii="Arial" w:cs="Arial" w:eastAsia="Arial" w:hAnsi="Arial"/>
          <w:sz w:val="18"/>
          <w:szCs w:val="18"/>
          <w:u w:val="single" w:color="auto"/>
          <w:color w:val="auto"/>
        </w:rPr>
        <w:t>Chief Financial Bear</w:t>
      </w: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200" w:lineRule="exact"/>
        <w:rPr>
          <w:sz w:val="20"/>
          <w:szCs w:val="20"/>
          <w:color w:val="auto"/>
        </w:rPr>
      </w:pPr>
    </w:p>
    <w:p>
      <w:pPr>
        <w:spacing w:after="0" w:line="3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Tenant shall perform or cause to be performed any initial tenant improvements in the Premises, then Tenant shall comply with the requirements set forth herein. All alterations to the Premises, excepting movable furniture and trade fixtures or any other alteration that constitutes Tenant’s Property (as defined in the Original Lease), shall, at Landlord's option, become a part of the realty and belong to Landlord.</w:t>
      </w:r>
    </w:p>
    <w:p>
      <w:pPr>
        <w:spacing w:after="0" w:line="235" w:lineRule="exact"/>
        <w:rPr>
          <w:sz w:val="20"/>
          <w:szCs w:val="20"/>
          <w:color w:val="auto"/>
        </w:rPr>
      </w:pPr>
    </w:p>
    <w:p>
      <w:pPr>
        <w:jc w:val="both"/>
        <w:ind w:firstLine="8"/>
        <w:spacing w:after="0" w:line="266" w:lineRule="auto"/>
        <w:tabs>
          <w:tab w:leader="none" w:pos="67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SUBMITTAL OF PLANS</w:t>
      </w:r>
      <w:r>
        <w:rPr>
          <w:rFonts w:ascii="Arial" w:cs="Arial" w:eastAsia="Arial" w:hAnsi="Arial"/>
          <w:sz w:val="17"/>
          <w:szCs w:val="17"/>
          <w:color w:val="auto"/>
        </w:rPr>
        <w:t>. Prior to commencing any work in the Premises, Tenant shall submit to Landlord for Landlord’s review and approval its proposed plans for the tenant improvement work. Landlord shall, within thirty (30) business days after the date of Tenant’s submittal, approve in writing or make any comments to the proposed plans. In the event Landlord fails to approve or request changes to the proposed plans within such thirty (30) day period, such proposed plans shall be deemed approved. If changes are required by Landlord, Tenant shall, within thirty (30) working days of the date Landlord submits its requested changes to the proposed plans, incorporate any changes acceptable to Tenant into a revised set of proposed plans, and shall resubmit such revised proposed plans to Landlord for Landlord’s review and approval. Landlord shall provide its written approval or additional requested change to the revised proposed plans within fifteen (15) business days of Tenant’s resubmission of such revised proposed plans. In the event Landlord fails to approve or request additional changes to the revised proposed plans within such fifteen (15) business day period, such revised proposed plans shall be deemed approved. Tenant may not commence work in the Premises until Tenant has obtained Landlord’s written approval of Tenant’s proposed plans (as revised, if applicable). The tenant improvement work as set forth in the final plans that Landlord has approved in writing shall be referred to as “</w:t>
      </w:r>
      <w:r>
        <w:rPr>
          <w:rFonts w:ascii="Arial" w:cs="Arial" w:eastAsia="Arial" w:hAnsi="Arial"/>
          <w:sz w:val="17"/>
          <w:szCs w:val="17"/>
          <w:b w:val="1"/>
          <w:bCs w:val="1"/>
          <w:color w:val="auto"/>
        </w:rPr>
        <w:t>Tenant’s</w:t>
      </w:r>
      <w:r>
        <w:rPr>
          <w:rFonts w:ascii="Arial" w:cs="Arial" w:eastAsia="Arial" w:hAnsi="Arial"/>
          <w:sz w:val="17"/>
          <w:szCs w:val="17"/>
          <w:color w:val="auto"/>
        </w:rPr>
        <w:t xml:space="preserve"> </w:t>
      </w:r>
      <w:r>
        <w:rPr>
          <w:rFonts w:ascii="Arial" w:cs="Arial" w:eastAsia="Arial" w:hAnsi="Arial"/>
          <w:sz w:val="17"/>
          <w:szCs w:val="17"/>
          <w:b w:val="1"/>
          <w:bCs w:val="1"/>
          <w:color w:val="auto"/>
        </w:rPr>
        <w:t>Work</w:t>
      </w:r>
      <w:r>
        <w:rPr>
          <w:rFonts w:ascii="Arial" w:cs="Arial" w:eastAsia="Arial" w:hAnsi="Arial"/>
          <w:sz w:val="17"/>
          <w:szCs w:val="17"/>
          <w:color w:val="auto"/>
        </w:rPr>
        <w:t>.” Without limiting the foregoing, Tenant’s proposed plans shall include:</w:t>
      </w:r>
    </w:p>
    <w:p>
      <w:pPr>
        <w:spacing w:after="0" w:line="8" w:lineRule="exact"/>
        <w:rPr>
          <w:rFonts w:ascii="Arial" w:cs="Arial" w:eastAsia="Arial" w:hAnsi="Arial"/>
          <w:sz w:val="17"/>
          <w:szCs w:val="17"/>
          <w:color w:val="auto"/>
        </w:rPr>
      </w:pPr>
    </w:p>
    <w:p>
      <w:pPr>
        <w:ind w:left="1340" w:hanging="684"/>
        <w:spacing w:after="0"/>
        <w:tabs>
          <w:tab w:leader="none" w:pos="13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separate scale drawing denoting all proposed construction and/or demolition, if necessary.</w:t>
      </w:r>
    </w:p>
    <w:p>
      <w:pPr>
        <w:spacing w:after="0" w:line="264" w:lineRule="exact"/>
        <w:rPr>
          <w:rFonts w:ascii="Arial" w:cs="Arial" w:eastAsia="Arial" w:hAnsi="Arial"/>
          <w:sz w:val="18"/>
          <w:szCs w:val="18"/>
          <w:color w:val="auto"/>
        </w:rPr>
      </w:pPr>
    </w:p>
    <w:p>
      <w:pPr>
        <w:ind w:left="1620" w:hanging="964"/>
        <w:spacing w:after="0"/>
        <w:tabs>
          <w:tab w:leader="none" w:pos="162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 separate drawing for each trade proposing structural, electrical, mechanical, civil or landscaping modifications in the Expansion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Premises.</w:t>
      </w:r>
    </w:p>
    <w:p>
      <w:pPr>
        <w:spacing w:after="0" w:line="264" w:lineRule="exact"/>
        <w:rPr>
          <w:rFonts w:ascii="Arial" w:cs="Arial" w:eastAsia="Arial" w:hAnsi="Arial"/>
          <w:sz w:val="17"/>
          <w:szCs w:val="17"/>
          <w:color w:val="auto"/>
        </w:rPr>
      </w:pPr>
    </w:p>
    <w:p>
      <w:pPr>
        <w:ind w:left="1360" w:hanging="704"/>
        <w:spacing w:after="0"/>
        <w:tabs>
          <w:tab w:leader="none" w:pos="13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Specify all dimensions and complete references to all work to be performed in the affected areas.</w:t>
      </w:r>
    </w:p>
    <w:p>
      <w:pPr>
        <w:spacing w:after="0" w:line="279" w:lineRule="exact"/>
        <w:rPr>
          <w:rFonts w:ascii="Arial" w:cs="Arial" w:eastAsia="Arial" w:hAnsi="Arial"/>
          <w:sz w:val="18"/>
          <w:szCs w:val="18"/>
          <w:color w:val="auto"/>
        </w:rPr>
      </w:pPr>
    </w:p>
    <w:p>
      <w:pPr>
        <w:ind w:left="1360" w:hanging="704"/>
        <w:spacing w:after="0"/>
        <w:tabs>
          <w:tab w:leader="none" w:pos="13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adding extra electrical or mechanical equipment, provide complete operating and maintenance specifications for each item.</w:t>
      </w:r>
    </w:p>
    <w:p>
      <w:pPr>
        <w:spacing w:after="0" w:line="279" w:lineRule="exact"/>
        <w:rPr>
          <w:rFonts w:ascii="Arial" w:cs="Arial" w:eastAsia="Arial" w:hAnsi="Arial"/>
          <w:sz w:val="18"/>
          <w:szCs w:val="18"/>
          <w:color w:val="auto"/>
        </w:rPr>
      </w:pPr>
    </w:p>
    <w:p>
      <w:pPr>
        <w:jc w:val="both"/>
        <w:ind w:firstLine="8"/>
        <w:spacing w:after="0" w:line="264" w:lineRule="auto"/>
        <w:tabs>
          <w:tab w:leader="none" w:pos="84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CHECKLIST</w:t>
      </w:r>
      <w:r>
        <w:rPr>
          <w:rFonts w:ascii="Arial" w:cs="Arial" w:eastAsia="Arial" w:hAnsi="Arial"/>
          <w:sz w:val="18"/>
          <w:szCs w:val="18"/>
          <w:color w:val="auto"/>
        </w:rPr>
        <w:t>. Landlord has provided Tenant with a checklist, attached hereto as Attachment 1, listing the items required to be furnished to Landlord in connection with the Tenant’s Work. Tenant shall furnish to Landlord prior to, during, or upon completion of Tenant's Work, as applicable, each of the items specified in the checklist attached hereto as Attachment 1.</w:t>
      </w:r>
    </w:p>
    <w:p>
      <w:pPr>
        <w:spacing w:after="0" w:line="235" w:lineRule="exact"/>
        <w:rPr>
          <w:rFonts w:ascii="Arial" w:cs="Arial" w:eastAsia="Arial" w:hAnsi="Arial"/>
          <w:sz w:val="18"/>
          <w:szCs w:val="18"/>
          <w:color w:val="auto"/>
        </w:rPr>
      </w:pPr>
    </w:p>
    <w:p>
      <w:pPr>
        <w:ind w:left="640" w:hanging="632"/>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CONTRACTORS PROVIDING TENANT IMPROVEMENT SERVICES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firstLine="656"/>
        <w:spacing w:after="0" w:line="277" w:lineRule="auto"/>
        <w:tabs>
          <w:tab w:leader="none" w:pos="1457"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contractor employed by Tenant and any subcontractors shall be (i) duly licensed in the state in which the Premises are located, and (ii) subject to Landlord's prior written approval, which approval shall not be unreasonably withheld, conditioned or delayed. If more than one trade is employed on a single job, state law requires the services of a general contractor in addition to contractors for specialty work being performed</w:t>
      </w:r>
    </w:p>
    <w:p>
      <w:pPr>
        <w:spacing w:after="0" w:line="227" w:lineRule="exact"/>
        <w:rPr>
          <w:rFonts w:ascii="Arial" w:cs="Arial" w:eastAsia="Arial" w:hAnsi="Arial"/>
          <w:sz w:val="17"/>
          <w:szCs w:val="17"/>
          <w:color w:val="auto"/>
        </w:rPr>
      </w:pPr>
    </w:p>
    <w:p>
      <w:pPr>
        <w:ind w:firstLine="656"/>
        <w:spacing w:after="0" w:line="277" w:lineRule="auto"/>
        <w:tabs>
          <w:tab w:leader="none" w:pos="15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Each contractor shall provide proof of licensing as a general or specialty contractor in accordance with state law. Additionally, each contractor shall furnish proof of licensing in the city or municipality in which the construction related activity is to take place.</w:t>
      </w:r>
    </w:p>
    <w:p>
      <w:pPr>
        <w:spacing w:after="0" w:line="224" w:lineRule="exact"/>
        <w:rPr>
          <w:rFonts w:ascii="Arial" w:cs="Arial" w:eastAsia="Arial" w:hAnsi="Arial"/>
          <w:sz w:val="18"/>
          <w:szCs w:val="18"/>
          <w:color w:val="auto"/>
        </w:rPr>
      </w:pPr>
    </w:p>
    <w:p>
      <w:pPr>
        <w:ind w:left="1360" w:hanging="704"/>
        <w:spacing w:after="0"/>
        <w:tabs>
          <w:tab w:leader="none" w:pos="13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2" w:name="page83"/>
    <w:bookmarkEnd w:id="82"/>
    <w:p>
      <w:pPr>
        <w:ind w:firstLine="656"/>
        <w:spacing w:after="0" w:line="342" w:lineRule="auto"/>
        <w:tabs>
          <w:tab w:leader="none" w:pos="149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Tenant and Tenant's contractors, and any Landlord’s contractors, if applicable, shall comply with all Applicable Laws pertaining to the performance of Tenant's Work and the completed improvements and all applicable safety regulations established by Landlord or the general contractor.</w:t>
      </w:r>
    </w:p>
    <w:p>
      <w:pPr>
        <w:spacing w:after="0" w:line="177" w:lineRule="exact"/>
        <w:rPr>
          <w:rFonts w:ascii="Arial" w:cs="Arial" w:eastAsia="Arial" w:hAnsi="Arial"/>
          <w:sz w:val="16"/>
          <w:szCs w:val="16"/>
          <w:color w:val="auto"/>
        </w:rPr>
      </w:pPr>
    </w:p>
    <w:p>
      <w:pPr>
        <w:jc w:val="both"/>
        <w:ind w:firstLine="656"/>
        <w:spacing w:after="0" w:line="279" w:lineRule="auto"/>
        <w:tabs>
          <w:tab w:leader="none" w:pos="1457"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Prior to commencement of any work in the Premises, Tenant and Tenant's contractors (and any subcontractors) shall obtain and provide Landlord with certificates evidencing Workers' Compensation, public liability and property damage insurance in amounts and forms and with companies satisfactory to Landlord. Each general contractor (and any subcontractor) employed on the Premises shall provide Landlord with a current certificate of insurance in effect for that contractor with a thirty day notice of cancellation or revocation clause. Insurance requirements are as follows:</w:t>
      </w:r>
    </w:p>
    <w:p>
      <w:pPr>
        <w:spacing w:after="0" w:line="225" w:lineRule="exact"/>
        <w:rPr>
          <w:rFonts w:ascii="Arial" w:cs="Arial" w:eastAsia="Arial" w:hAnsi="Arial"/>
          <w:sz w:val="17"/>
          <w:szCs w:val="17"/>
          <w:color w:val="auto"/>
        </w:rPr>
      </w:pPr>
    </w:p>
    <w:p>
      <w:pPr>
        <w:jc w:val="both"/>
        <w:ind w:firstLine="1305"/>
        <w:spacing w:after="0" w:line="264" w:lineRule="auto"/>
        <w:tabs>
          <w:tab w:leader="none" w:pos="2027"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Comprehensive General Liability with a $2,000,000 Combined Single Limit covering the liability of Landlord and contractor for bodily injury and property damage arising as a result of the construction of the improvements and the services performed thereunder. Landlord shall be named as an additional insured.</w:t>
      </w:r>
    </w:p>
    <w:p>
      <w:pPr>
        <w:spacing w:after="0" w:line="235" w:lineRule="exact"/>
        <w:rPr>
          <w:rFonts w:ascii="Arial" w:cs="Arial" w:eastAsia="Arial" w:hAnsi="Arial"/>
          <w:sz w:val="18"/>
          <w:szCs w:val="18"/>
          <w:color w:val="auto"/>
        </w:rPr>
      </w:pPr>
    </w:p>
    <w:p>
      <w:pPr>
        <w:ind w:firstLine="1305"/>
        <w:spacing w:after="0" w:line="277" w:lineRule="auto"/>
        <w:tabs>
          <w:tab w:leader="none" w:pos="227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Comprehensive Automobile Liability with a $2,000,000 Combined Single Limit covering Landlord and vehicles used by contractor (and any subcontractor) in connection with the construction of the improvements.</w:t>
      </w:r>
    </w:p>
    <w:p>
      <w:pPr>
        <w:spacing w:after="0" w:line="224" w:lineRule="exact"/>
        <w:rPr>
          <w:rFonts w:ascii="Arial" w:cs="Arial" w:eastAsia="Arial" w:hAnsi="Arial"/>
          <w:sz w:val="18"/>
          <w:szCs w:val="18"/>
          <w:color w:val="auto"/>
        </w:rPr>
      </w:pPr>
    </w:p>
    <w:p>
      <w:pPr>
        <w:ind w:right="20" w:firstLine="1305"/>
        <w:spacing w:after="0" w:line="277" w:lineRule="auto"/>
        <w:tabs>
          <w:tab w:leader="none" w:pos="2095" w:val="left"/>
        </w:tabs>
        <w:numPr>
          <w:ilvl w:val="1"/>
          <w:numId w:val="78"/>
        </w:numPr>
        <w:rPr>
          <w:rFonts w:ascii="Arial" w:cs="Arial" w:eastAsia="Arial" w:hAnsi="Arial"/>
          <w:sz w:val="18"/>
          <w:szCs w:val="18"/>
          <w:color w:val="auto"/>
        </w:rPr>
      </w:pPr>
      <w:r>
        <w:rPr>
          <w:rFonts w:ascii="Arial" w:cs="Arial" w:eastAsia="Arial" w:hAnsi="Arial"/>
          <w:sz w:val="18"/>
          <w:szCs w:val="18"/>
          <w:color w:val="auto"/>
        </w:rPr>
        <w:t>Workers' Compensation and Employer's Liability as required by law, for employees of the contractor (and any subcontractors) performing work on the Premises.</w:t>
      </w:r>
    </w:p>
    <w:p>
      <w:pPr>
        <w:spacing w:after="0" w:line="224" w:lineRule="exact"/>
        <w:rPr>
          <w:rFonts w:ascii="Arial" w:cs="Arial" w:eastAsia="Arial" w:hAnsi="Arial"/>
          <w:sz w:val="18"/>
          <w:szCs w:val="18"/>
          <w:color w:val="auto"/>
        </w:rPr>
      </w:pPr>
    </w:p>
    <w:p>
      <w:pPr>
        <w:ind w:firstLine="656"/>
        <w:spacing w:after="0" w:line="277" w:lineRule="auto"/>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requirements shall be incorporated as "Special Conditions" into the contract between Tenant and its contractors and a copy of each contract shall be furnished to Landlord prior to the commencement of Tenant's Work:</w:t>
      </w:r>
    </w:p>
    <w:p>
      <w:pPr>
        <w:spacing w:after="0" w:line="224" w:lineRule="exact"/>
        <w:rPr>
          <w:rFonts w:ascii="Arial" w:cs="Arial" w:eastAsia="Arial" w:hAnsi="Arial"/>
          <w:sz w:val="18"/>
          <w:szCs w:val="18"/>
          <w:color w:val="auto"/>
        </w:rPr>
      </w:pPr>
    </w:p>
    <w:p>
      <w:pPr>
        <w:ind w:firstLine="1305"/>
        <w:spacing w:after="0" w:line="277" w:lineRule="auto"/>
        <w:tabs>
          <w:tab w:leader="none" w:pos="2182"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Prior to start of Tenant's Work, Tenant's contractor shall provide Landlord with a construction schedule in "bar graph" form indicating the estimated completion dates of all phases of Tenant's Work.</w:t>
      </w:r>
    </w:p>
    <w:p>
      <w:pPr>
        <w:spacing w:after="0" w:line="224" w:lineRule="exact"/>
        <w:rPr>
          <w:rFonts w:ascii="Arial" w:cs="Arial" w:eastAsia="Arial" w:hAnsi="Arial"/>
          <w:sz w:val="18"/>
          <w:szCs w:val="18"/>
          <w:color w:val="auto"/>
        </w:rPr>
      </w:pPr>
    </w:p>
    <w:p>
      <w:pPr>
        <w:ind w:right="20" w:firstLine="1305"/>
        <w:spacing w:after="0" w:line="277" w:lineRule="auto"/>
        <w:tabs>
          <w:tab w:leader="none" w:pos="1977" w:val="left"/>
        </w:tabs>
        <w:numPr>
          <w:ilvl w:val="1"/>
          <w:numId w:val="78"/>
        </w:numPr>
        <w:rPr>
          <w:rFonts w:ascii="Arial" w:cs="Arial" w:eastAsia="Arial" w:hAnsi="Arial"/>
          <w:sz w:val="18"/>
          <w:szCs w:val="18"/>
          <w:color w:val="auto"/>
        </w:rPr>
      </w:pPr>
      <w:r>
        <w:rPr>
          <w:rFonts w:ascii="Arial" w:cs="Arial" w:eastAsia="Arial" w:hAnsi="Arial"/>
          <w:sz w:val="18"/>
          <w:szCs w:val="18"/>
          <w:color w:val="auto"/>
        </w:rPr>
        <w:t>Tenant's contractor shall be responsible for the repair, replacement or clean-up of any damage done by it to other contractors' work which specifically includes accessways to the Premises which may be concurrently used by others.</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067" w:val="left"/>
        </w:tabs>
        <w:numPr>
          <w:ilvl w:val="1"/>
          <w:numId w:val="78"/>
        </w:numPr>
        <w:rPr>
          <w:rFonts w:ascii="Arial" w:cs="Arial" w:eastAsia="Arial" w:hAnsi="Arial"/>
          <w:sz w:val="18"/>
          <w:szCs w:val="18"/>
          <w:color w:val="auto"/>
        </w:rPr>
      </w:pPr>
      <w:r>
        <w:rPr>
          <w:rFonts w:ascii="Arial" w:cs="Arial" w:eastAsia="Arial" w:hAnsi="Arial"/>
          <w:sz w:val="18"/>
          <w:szCs w:val="18"/>
          <w:color w:val="auto"/>
        </w:rPr>
        <w:t>Tenant's contractor shall accept the Premises prior to starting any trenching operations. Any rework of sub-base or compaction required after the contractor's initial acceptance of the Premises shall be done by Tenant's contractor, which shall include the removal from the Property of any excess dirt or debris.</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Tenant's contractor shall contain its storage of materials and its operations within the Premises and such other space as it may be assigned by Landlord. Should Tenant’s contractor be assigned space outside the Premises, it shall move to such other space as Landlord or Landlord's contractor shall direct from time to time to avoid interference or delays with other work.</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Tenant's contractor shall clean up the construction area and surrounding exterior areas daily. All trash, demolition materials and surplus construction materials shall be stored within the Premises and promptly removed from the Premises and the Property and disposed of in an appropriate sanitation site.</w:t>
      </w:r>
    </w:p>
    <w:p>
      <w:pPr>
        <w:spacing w:after="0" w:line="235" w:lineRule="exact"/>
        <w:rPr>
          <w:rFonts w:ascii="Arial" w:cs="Arial" w:eastAsia="Arial" w:hAnsi="Arial"/>
          <w:sz w:val="18"/>
          <w:szCs w:val="18"/>
          <w:color w:val="auto"/>
        </w:rPr>
      </w:pPr>
    </w:p>
    <w:p>
      <w:pPr>
        <w:ind w:left="2040" w:hanging="735"/>
        <w:spacing w:after="0"/>
        <w:tabs>
          <w:tab w:leader="none" w:pos="20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Tenant's contractor shall provide temporary utilities, portable toilet facilities, and potable drinking water as required for its work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within the Premises.</w:t>
      </w:r>
    </w:p>
    <w:p>
      <w:pPr>
        <w:spacing w:after="0" w:line="264" w:lineRule="exact"/>
        <w:rPr>
          <w:rFonts w:ascii="Arial" w:cs="Arial" w:eastAsia="Arial" w:hAnsi="Arial"/>
          <w:sz w:val="16"/>
          <w:szCs w:val="16"/>
          <w:color w:val="auto"/>
        </w:rPr>
      </w:pPr>
    </w:p>
    <w:p>
      <w:pPr>
        <w:ind w:left="1980" w:hanging="675"/>
        <w:spacing w:after="0"/>
        <w:tabs>
          <w:tab w:leader="none" w:pos="19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Tenant's contractor shall notify Landlord or Landlord's project manager of any planned work to be done on weekends or other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normal job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p>
      <w:pPr>
        <w:ind w:left="1972" w:hanging="675"/>
        <w:spacing w:after="0"/>
        <w:tabs>
          <w:tab w:leader="none" w:pos="19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Tenant's contractor or subcontractors shall not post signs on any part of the Property or on the Premises.</w:t>
      </w:r>
    </w:p>
    <w:p>
      <w:pPr>
        <w:spacing w:after="0" w:line="279" w:lineRule="exact"/>
        <w:rPr>
          <w:sz w:val="20"/>
          <w:szCs w:val="20"/>
          <w:color w:val="auto"/>
        </w:rPr>
      </w:pPr>
    </w:p>
    <w:p>
      <w:pPr>
        <w:ind w:left="632" w:hanging="632"/>
        <w:spacing w:after="0"/>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8" w:firstLine="656"/>
        <w:spacing w:after="0" w:line="255" w:lineRule="auto"/>
        <w:tabs>
          <w:tab w:leader="none" w:pos="1359"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Tenant shall promptly pay any and all costs and expenses in connection with or arising out of the performance of Tenant's Work (including the costs of all permits and inspections therefore, including the applicable certificate of occupancy) and shall furnish to Landlord within a reasonable time, evidence of such payment upon request.</w:t>
      </w:r>
    </w:p>
    <w:p>
      <w:pPr>
        <w:spacing w:after="0" w:line="244" w:lineRule="exact"/>
        <w:rPr>
          <w:rFonts w:ascii="Arial" w:cs="Arial" w:eastAsia="Arial" w:hAnsi="Arial"/>
          <w:sz w:val="18"/>
          <w:szCs w:val="18"/>
          <w:color w:val="auto"/>
        </w:rPr>
      </w:pPr>
    </w:p>
    <w:p>
      <w:pPr>
        <w:jc w:val="both"/>
        <w:ind w:left="-8" w:firstLine="656"/>
        <w:spacing w:after="0" w:line="269" w:lineRule="auto"/>
        <w:tabs>
          <w:tab w:leader="none" w:pos="1542" w:val="left"/>
        </w:tabs>
        <w:numPr>
          <w:ilvl w:val="1"/>
          <w:numId w:val="80"/>
        </w:numPr>
        <w:rPr>
          <w:rFonts w:ascii="Arial" w:cs="Arial" w:eastAsia="Arial" w:hAnsi="Arial"/>
          <w:sz w:val="17"/>
          <w:szCs w:val="17"/>
          <w:color w:val="auto"/>
        </w:rPr>
      </w:pPr>
      <w:r>
        <w:rPr>
          <w:rFonts w:ascii="Arial" w:cs="Arial" w:eastAsia="Arial" w:hAnsi="Arial"/>
          <w:sz w:val="17"/>
          <w:szCs w:val="17"/>
          <w:color w:val="auto"/>
        </w:rPr>
        <w:t>Landlord shall reimburse Tenant for Tenant’s actual costs incurred in the performance of Tenant’s Work (the “Work Cost”) up to the maximum amount of $62,413.00 (“Landlord’s Contribution”). Landlord shall pay to Tenant a portion of the Work Cost up to the maximum amount of Landlord’s Contribution within thirty (30) days after Tenant submits to Landlord written evidence of the Work Cost, together with final lien waivers from all general contractors and sub-contractors. Tenant shall be solely responsible for all portions of the Work Cost that exceed Landlord’s Contribution. Tenant must request the reimbursement of the Landlord’s Contribution, if at all, prior to November 30, 2008, and if Tenant does not request Landlord’s contribution on or prior to November 30, 2008, Landlord’s Contribution shall no longer be available to Tenant and Landlord shall not be responsible for, and shall not pay to Tenant, any portion of the Work Cost or Landlord’s Contribution; provided, however, that in the event Tenant’s completion of Tenant’s Work is delayed due to governmental acts, strikes, utility disruptions or failures, acts of God or any other cause beyond the reasonable control of Tenant (each, a “Force Majeure Event”), Landlord’s obligation hereunder to reimbursement of Landlord’s Contribution shall extend pass November 30, 2008 for an amount of time equivalent to the period of any Force Majeure Events so long as Tenant promptly notifies Landlord of each such Force Majeure Event and uses all reasonable efforts to remove the cause of such delay and to resume the performance of Tenant’s Work.</w:t>
      </w:r>
    </w:p>
    <w:p>
      <w:pPr>
        <w:spacing w:after="0" w:line="236" w:lineRule="exact"/>
        <w:rPr>
          <w:rFonts w:ascii="Arial" w:cs="Arial" w:eastAsia="Arial" w:hAnsi="Arial"/>
          <w:sz w:val="17"/>
          <w:szCs w:val="17"/>
          <w:color w:val="auto"/>
        </w:rPr>
      </w:pPr>
    </w:p>
    <w:p>
      <w:pPr>
        <w:jc w:val="both"/>
        <w:ind w:left="-8" w:firstLine="8"/>
        <w:spacing w:after="0" w:line="302" w:lineRule="auto"/>
        <w:tabs>
          <w:tab w:leader="none" w:pos="71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CONTRACTOR'S BONDS</w:t>
      </w:r>
      <w:r>
        <w:rPr>
          <w:rFonts w:ascii="Arial" w:cs="Arial" w:eastAsia="Arial" w:hAnsi="Arial"/>
          <w:sz w:val="16"/>
          <w:szCs w:val="16"/>
          <w:color w:val="auto"/>
        </w:rPr>
        <w:t>. All contractors and subcontractors engaged by Tenant shall be bondable, licensed contractors, possessing good labor relations, capable of performing quality workmanship and working in harmony with the general contractor and other contractors on the project. Tenant shall obtain or cause its contractor to obtain and deliver evidence thereof to Landlord covering the faithful performance of the contract for the construction of the Tenant's Work. Any bonds obtained pursuant hereto shall be for the mutual benefit of both Landlord and Tenant as obligees and beneficiaries.</w:t>
      </w:r>
    </w:p>
    <w:p>
      <w:pPr>
        <w:spacing w:after="0" w:line="208" w:lineRule="exact"/>
        <w:rPr>
          <w:rFonts w:ascii="Arial" w:cs="Arial" w:eastAsia="Arial" w:hAnsi="Arial"/>
          <w:sz w:val="16"/>
          <w:szCs w:val="16"/>
          <w:color w:val="auto"/>
        </w:rPr>
      </w:pPr>
    </w:p>
    <w:p>
      <w:pPr>
        <w:ind w:left="632" w:hanging="632"/>
        <w:spacing w:after="0"/>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MECHANIC'S LIENS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8" w:firstLine="656"/>
        <w:spacing w:after="0" w:line="261" w:lineRule="auto"/>
        <w:tabs>
          <w:tab w:leader="none" w:pos="135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Tenant shall not suffer or permit to be enforced against the Premises or any part of the Property any mechanic's, materialman's, contractor's or subcontractor's lien arising out of any work of improvement, however it may arise.</w:t>
      </w:r>
    </w:p>
    <w:p>
      <w:pPr>
        <w:spacing w:after="0" w:line="237" w:lineRule="exact"/>
        <w:rPr>
          <w:rFonts w:ascii="Arial" w:cs="Arial" w:eastAsia="Arial" w:hAnsi="Arial"/>
          <w:sz w:val="18"/>
          <w:szCs w:val="18"/>
          <w:color w:val="auto"/>
        </w:rPr>
      </w:pPr>
    </w:p>
    <w:p>
      <w:pPr>
        <w:jc w:val="both"/>
        <w:ind w:left="-8" w:firstLine="656"/>
        <w:spacing w:after="0" w:line="259" w:lineRule="auto"/>
        <w:tabs>
          <w:tab w:leader="none" w:pos="145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Tenant shall notify Landlord at least ten (10) days prior to the commencement of construction of any Tenant's Work and Landlord shall have the right to post and record a notice of nonresponsibility in conformity with applicable law. Within ten (10) days following completion of Tenant's Work, Tenant shall file a Notice of Completion and deliver to Landlord an unconditional release and waiver of lien executed by each contractor, subcontractor and materialman involved in Tenant's Work.</w:t>
      </w:r>
    </w:p>
    <w:p>
      <w:pPr>
        <w:spacing w:after="0" w:line="240" w:lineRule="exact"/>
        <w:rPr>
          <w:rFonts w:ascii="Arial" w:cs="Arial" w:eastAsia="Arial" w:hAnsi="Arial"/>
          <w:sz w:val="18"/>
          <w:szCs w:val="18"/>
          <w:color w:val="auto"/>
        </w:rPr>
      </w:pPr>
    </w:p>
    <w:p>
      <w:pPr>
        <w:jc w:val="both"/>
        <w:ind w:left="-8" w:firstLine="656"/>
        <w:spacing w:after="0" w:line="276" w:lineRule="auto"/>
        <w:tabs>
          <w:tab w:leader="none" w:pos="1335" w:val="left"/>
        </w:tabs>
        <w:numPr>
          <w:ilvl w:val="1"/>
          <w:numId w:val="80"/>
        </w:numPr>
        <w:rPr>
          <w:rFonts w:ascii="Arial" w:cs="Arial" w:eastAsia="Arial" w:hAnsi="Arial"/>
          <w:sz w:val="17"/>
          <w:szCs w:val="17"/>
          <w:color w:val="auto"/>
        </w:rPr>
      </w:pPr>
      <w:r>
        <w:rPr>
          <w:rFonts w:ascii="Arial" w:cs="Arial" w:eastAsia="Arial" w:hAnsi="Arial"/>
          <w:sz w:val="17"/>
          <w:szCs w:val="17"/>
          <w:color w:val="auto"/>
        </w:rPr>
        <w:t>In the event any lien is filed against the Property or any portion thereof or against Tenant's leasehold interest therein, Tenant shall obtain the release and/or discharge of said lien, within ten (10) days after the filing thereof. In the event Tenant fails to do so, Landlord may obtain the release and/or discharge of said lien and Tenant shall indemnify Landlord for the costs thereof, including reasonable attorney's fees, together with interest at the Applicable Interest Rate from the date of demand. Nothing herein shall prohibit Tenant from contesting the validity of any such asserted claim, provided Tenant has furnished to Landlord a lien release bond freeing the Premises from the effect of the lien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408305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4" w:name="page85"/>
    <w:bookmarkEnd w:id="84"/>
    <w:p>
      <w:pPr>
        <w:jc w:val="both"/>
        <w:ind w:left="-8" w:firstLine="8"/>
        <w:spacing w:after="0" w:line="276" w:lineRule="auto"/>
        <w:tabs>
          <w:tab w:leader="none" w:pos="757"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Tenant shall indemnify, defend (with counsel satisfactory to Landlord) and hold Landlord harmless from and against any and all suits, claims, actions, loss, cost or expense (including claims for workers' compensation, reasonable attorney's fees and costs) based on personal injury or property damage, or otherwise (including, without limitation, contract and breach of warranty claims) arising from the performance of Tenant's Work. Tenant shall repair or replace (or, at Landlord's election, reimburse Landlord for the cost of repairing or replacing) any portion of the Building or item of Landlord's equipment or any of Landlord's real or personal property damaged, lost or destroyed in the performance of Tenant's Work.</w:t>
      </w:r>
    </w:p>
    <w:p>
      <w:pPr>
        <w:spacing w:after="0" w:line="226" w:lineRule="exact"/>
        <w:rPr>
          <w:rFonts w:ascii="Arial" w:cs="Arial" w:eastAsia="Arial" w:hAnsi="Arial"/>
          <w:sz w:val="17"/>
          <w:szCs w:val="17"/>
          <w:color w:val="auto"/>
        </w:rPr>
      </w:pPr>
    </w:p>
    <w:p>
      <w:pPr>
        <w:ind w:left="-8" w:firstLine="8"/>
        <w:spacing w:after="0" w:line="277" w:lineRule="auto"/>
        <w:tabs>
          <w:tab w:leader="none" w:pos="71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BUILDING STANDARDS</w:t>
      </w:r>
      <w:r>
        <w:rPr>
          <w:rFonts w:ascii="Arial" w:cs="Arial" w:eastAsia="Arial" w:hAnsi="Arial"/>
          <w:sz w:val="18"/>
          <w:szCs w:val="18"/>
          <w:color w:val="auto"/>
        </w:rPr>
        <w:t>. All work shall conform to Landlord's established building standards and specifications provided to Tenant. Tenant is required to make these standards part of the construction documents.</w:t>
      </w:r>
    </w:p>
    <w:p>
      <w:pPr>
        <w:spacing w:after="0" w:line="224" w:lineRule="exact"/>
        <w:rPr>
          <w:rFonts w:ascii="Arial" w:cs="Arial" w:eastAsia="Arial" w:hAnsi="Arial"/>
          <w:sz w:val="18"/>
          <w:szCs w:val="18"/>
          <w:color w:val="auto"/>
        </w:rPr>
      </w:pPr>
    </w:p>
    <w:p>
      <w:pPr>
        <w:jc w:val="both"/>
        <w:ind w:left="-8" w:firstLine="8"/>
        <w:spacing w:after="0" w:line="264" w:lineRule="auto"/>
        <w:tabs>
          <w:tab w:leader="none" w:pos="63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ROOF PENETRATIONS</w:t>
      </w:r>
      <w:r>
        <w:rPr>
          <w:rFonts w:ascii="Arial" w:cs="Arial" w:eastAsia="Arial" w:hAnsi="Arial"/>
          <w:sz w:val="18"/>
          <w:szCs w:val="18"/>
          <w:color w:val="auto"/>
        </w:rPr>
        <w:t>. If improvements penetrate the roof membrane, the penetrations will be sealed per Landlord’s roofing contractor’s roofing specifications and inspected by Landlord’s roofing contractor to maintain the roof warranty. The cost of inspection and all corrective work shall be borne by Tenant.</w:t>
      </w:r>
    </w:p>
    <w:p>
      <w:pPr>
        <w:spacing w:after="0" w:line="235" w:lineRule="exact"/>
        <w:rPr>
          <w:rFonts w:ascii="Arial" w:cs="Arial" w:eastAsia="Arial" w:hAnsi="Arial"/>
          <w:sz w:val="18"/>
          <w:szCs w:val="18"/>
          <w:color w:val="auto"/>
        </w:rPr>
      </w:pPr>
    </w:p>
    <w:p>
      <w:pPr>
        <w:jc w:val="both"/>
        <w:ind w:left="-8" w:firstLine="8"/>
        <w:spacing w:after="0" w:line="264" w:lineRule="auto"/>
        <w:tabs>
          <w:tab w:leader="none" w:pos="79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BUILDING MODIFICATIONS</w:t>
      </w:r>
      <w:r>
        <w:rPr>
          <w:rFonts w:ascii="Arial" w:cs="Arial" w:eastAsia="Arial" w:hAnsi="Arial"/>
          <w:sz w:val="18"/>
          <w:szCs w:val="18"/>
          <w:color w:val="auto"/>
        </w:rPr>
        <w:t>. Tenant’s Work shall only be completed within the Premises. Tenant will not be allowed to modify Building exterior or mechanical and electrical service as provided to the Building in common with other tenants, except to the extent required by applicable laws, codes, rules or regulations.</w:t>
      </w:r>
    </w:p>
    <w:p>
      <w:pPr>
        <w:spacing w:after="0" w:line="235" w:lineRule="exact"/>
        <w:rPr>
          <w:rFonts w:ascii="Arial" w:cs="Arial" w:eastAsia="Arial" w:hAnsi="Arial"/>
          <w:sz w:val="18"/>
          <w:szCs w:val="18"/>
          <w:color w:val="auto"/>
        </w:rPr>
      </w:pPr>
    </w:p>
    <w:p>
      <w:pPr>
        <w:ind w:left="-8" w:firstLine="8"/>
        <w:spacing w:after="0" w:line="277" w:lineRule="auto"/>
        <w:tabs>
          <w:tab w:leader="none" w:pos="72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ELECTRICAL WORK</w:t>
      </w:r>
      <w:r>
        <w:rPr>
          <w:rFonts w:ascii="Arial" w:cs="Arial" w:eastAsia="Arial" w:hAnsi="Arial"/>
          <w:sz w:val="18"/>
          <w:szCs w:val="18"/>
          <w:color w:val="auto"/>
        </w:rPr>
        <w:t>. All electrical work shall be provided from the unit space electrical panel only. Additional service requirements shall be secured only by direction of Landlord.</w:t>
      </w:r>
    </w:p>
    <w:p>
      <w:pPr>
        <w:spacing w:after="0" w:line="224" w:lineRule="exact"/>
        <w:rPr>
          <w:rFonts w:ascii="Arial" w:cs="Arial" w:eastAsia="Arial" w:hAnsi="Arial"/>
          <w:sz w:val="18"/>
          <w:szCs w:val="18"/>
          <w:color w:val="auto"/>
        </w:rPr>
      </w:pPr>
    </w:p>
    <w:p>
      <w:pPr>
        <w:ind w:left="-8" w:firstLine="8"/>
        <w:spacing w:after="0" w:line="308" w:lineRule="auto"/>
        <w:tabs>
          <w:tab w:leader="none" w:pos="74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SCHEDULE OF WORK</w:t>
      </w:r>
      <w:r>
        <w:rPr>
          <w:rFonts w:ascii="Arial" w:cs="Arial" w:eastAsia="Arial" w:hAnsi="Arial"/>
          <w:sz w:val="17"/>
          <w:szCs w:val="17"/>
          <w:color w:val="auto"/>
        </w:rPr>
        <w:t>. Tenant may be required to provide a schedule of all work to be performed, subject to Landlord approval, which such approval shall not be unreasonably withheld, conditioned or delayed. All costs to produce such schedule shall be borne solely by Tenant.</w:t>
      </w:r>
    </w:p>
    <w:p>
      <w:pPr>
        <w:spacing w:after="0" w:line="200" w:lineRule="exact"/>
        <w:rPr>
          <w:rFonts w:ascii="Arial" w:cs="Arial" w:eastAsia="Arial" w:hAnsi="Arial"/>
          <w:sz w:val="17"/>
          <w:szCs w:val="17"/>
          <w:color w:val="auto"/>
        </w:rPr>
      </w:pPr>
    </w:p>
    <w:p>
      <w:pPr>
        <w:jc w:val="both"/>
        <w:ind w:left="-8" w:firstLine="8"/>
        <w:spacing w:after="0" w:line="264" w:lineRule="auto"/>
        <w:tabs>
          <w:tab w:leader="none" w:pos="62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CLEAN UP AND DISPOSAL OF CONSTRUCTION DEBRIS</w:t>
      </w:r>
      <w:r>
        <w:rPr>
          <w:rFonts w:ascii="Arial" w:cs="Arial" w:eastAsia="Arial" w:hAnsi="Arial"/>
          <w:sz w:val="18"/>
          <w:szCs w:val="18"/>
          <w:color w:val="auto"/>
        </w:rPr>
        <w:t>. Building trash containers are provided for office generated trash only and are not to be used for disposal of construction-related materials and debris. Unapproved usage will result in a penalty assessment to the Tenant equal to the cost of an extra pick-up service as provided under the current rate schedule of regular trash removal service.</w:t>
      </w:r>
    </w:p>
    <w:p>
      <w:pPr>
        <w:spacing w:after="0" w:line="235" w:lineRule="exact"/>
        <w:rPr>
          <w:rFonts w:ascii="Arial" w:cs="Arial" w:eastAsia="Arial" w:hAnsi="Arial"/>
          <w:sz w:val="18"/>
          <w:szCs w:val="18"/>
          <w:color w:val="auto"/>
        </w:rPr>
      </w:pPr>
    </w:p>
    <w:p>
      <w:pPr>
        <w:jc w:val="both"/>
        <w:ind w:left="-8" w:firstLine="8"/>
        <w:spacing w:after="0" w:line="276" w:lineRule="auto"/>
        <w:tabs>
          <w:tab w:leader="none" w:pos="811"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INSPECTION BY LANDLORD</w:t>
      </w:r>
      <w:r>
        <w:rPr>
          <w:rFonts w:ascii="Arial" w:cs="Arial" w:eastAsia="Arial" w:hAnsi="Arial"/>
          <w:sz w:val="17"/>
          <w:szCs w:val="17"/>
          <w:color w:val="auto"/>
        </w:rPr>
        <w:t>. Landlord reserves the following rights: (i) the right of inspection prior to, during and at completion of all construction and/or demolition; provided, however, that such inspections shall not unreasonably interfere with completion of Tenant’s Work, (ii) the right to post and record a notice of nonresponsibility in conformity with applicable law, and (iii) the right to order a total stop to all improvements underway for non-compliance with any of the requirements hereof; provided, however, that Landlord shall not have the right to order such total stop to all improvements unless Landlord has provided Tenant two (2) business days prior written notice of such non-compliance.</w:t>
      </w:r>
    </w:p>
    <w:p>
      <w:pPr>
        <w:spacing w:after="0" w:line="226" w:lineRule="exact"/>
        <w:rPr>
          <w:rFonts w:ascii="Arial" w:cs="Arial" w:eastAsia="Arial" w:hAnsi="Arial"/>
          <w:sz w:val="17"/>
          <w:szCs w:val="17"/>
          <w:color w:val="auto"/>
        </w:rPr>
      </w:pPr>
    </w:p>
    <w:p>
      <w:pPr>
        <w:ind w:left="632" w:hanging="632"/>
        <w:spacing w:after="0"/>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8" w:firstLine="656"/>
        <w:spacing w:after="0" w:line="255" w:lineRule="auto"/>
        <w:tabs>
          <w:tab w:leader="none" w:pos="173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materials, work, installations and decorations of any nature whatsoever brought on or installed in the Premises before the commencement of the Term or throughout the Term shall be at Tenant's risk, and neither Landlord nor any party acting on Landlord's behalf shall be responsible for any damage thereto or loss or destruction thereof due to any reason or cause whatsoever.</w:t>
      </w:r>
    </w:p>
    <w:p>
      <w:pPr>
        <w:spacing w:after="0" w:line="244" w:lineRule="exact"/>
        <w:rPr>
          <w:rFonts w:ascii="Arial" w:cs="Arial" w:eastAsia="Arial" w:hAnsi="Arial"/>
          <w:sz w:val="18"/>
          <w:szCs w:val="18"/>
          <w:color w:val="auto"/>
        </w:rPr>
      </w:pPr>
    </w:p>
    <w:p>
      <w:pPr>
        <w:ind w:left="1352" w:hanging="704"/>
        <w:spacing w:after="0"/>
        <w:tabs>
          <w:tab w:leader="none" w:pos="1352"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Nothing contained herein shall make or constitute Tenant as the agent of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441325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90" w:right="239" w:bottom="1440" w:gutter="0" w:footer="0" w:header="0"/>
        </w:sectPr>
      </w:pPr>
    </w:p>
    <w:bookmarkStart w:id="85" w:name="page86"/>
    <w:bookmarkEnd w:id="85"/>
    <w:p>
      <w:pPr>
        <w:jc w:val="center"/>
        <w:ind w:right="-11"/>
        <w:spacing w:after="0"/>
        <w:rPr>
          <w:sz w:val="20"/>
          <w:szCs w:val="20"/>
          <w:color w:val="auto"/>
        </w:rPr>
      </w:pPr>
      <w:r>
        <w:rPr>
          <w:rFonts w:ascii="Arial" w:cs="Arial" w:eastAsia="Arial" w:hAnsi="Arial"/>
          <w:sz w:val="18"/>
          <w:szCs w:val="18"/>
          <w:b w:val="1"/>
          <w:bCs w:val="1"/>
          <w:color w:val="auto"/>
        </w:rPr>
        <w:t>ATTACHMENT 1</w:t>
      </w:r>
    </w:p>
    <w:p>
      <w:pPr>
        <w:spacing w:after="0" w:line="2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ITEMS TO BE FURNISHED TO LANDLORD FOR EACH WORK OF IMPROVEMENT:</w:t>
      </w:r>
    </w:p>
    <w:p>
      <w:pPr>
        <w:spacing w:after="0" w:line="283" w:lineRule="exact"/>
        <w:rPr>
          <w:sz w:val="20"/>
          <w:szCs w:val="20"/>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Plan of Alterations for Landlord Approval.</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Contractor(s), Address, Telephone Number, Contact Person.</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Copy of Contractor's State and City Business License.</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Copy of Building Permit.</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Copy of Final Inspection and Signed Building Permit Cards.</w:t>
      </w:r>
    </w:p>
    <w:p>
      <w:pPr>
        <w:spacing w:after="0" w:line="279"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Copy of Certificate of Insurance naming Landlord as Additional Insured. Insurance to include Comprehensive General Liability, Comprehensive Auto, Workers' Compensation and Employer's Liability.</w:t>
      </w:r>
    </w:p>
    <w:p>
      <w:pPr>
        <w:spacing w:after="0" w:line="224"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Signed Unconditional Lien Waiver in favor of Landlord.</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Schedule of Work.</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Architect's License and Expiration.</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Tenant and Architect Agreement.</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Tenant and Contractor Agreement.</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Copy of Permit Plans.</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Copy of As-Builts.</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Copy of Recorded Notice of Completion.</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Certificate of Occupancy.</w:t>
      </w:r>
    </w:p>
    <w:p>
      <w:pPr>
        <w:spacing w:after="0" w:line="279" w:lineRule="exact"/>
        <w:rPr>
          <w:rFonts w:ascii="Arial" w:cs="Arial" w:eastAsia="Arial" w:hAnsi="Arial"/>
          <w:sz w:val="18"/>
          <w:szCs w:val="18"/>
          <w:color w:val="auto"/>
        </w:rPr>
      </w:pPr>
    </w:p>
    <w:p>
      <w:pPr>
        <w:ind w:left="652" w:hanging="652"/>
        <w:spacing w:after="0"/>
        <w:tabs>
          <w:tab w:leader="none" w:pos="6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Evidence of Insurance for All-Risk/Builder's Risk Insurance to the Amount of Improvements.</w:t>
      </w:r>
    </w:p>
    <w:p>
      <w:pPr>
        <w:sectPr>
          <w:pgSz w:w="11900" w:h="16838" w:orient="portrait"/>
          <w:cols w:equalWidth="0" w:num="1">
            <w:col w:w="11412"/>
          </w:cols>
          <w:pgMar w:left="248" w:top="486"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10.19.2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FOURTH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made this 29 day of December, 2011 by and between </w:t>
      </w:r>
      <w:r>
        <w:rPr>
          <w:rFonts w:ascii="Arial" w:cs="Arial" w:eastAsia="Arial" w:hAnsi="Arial"/>
          <w:sz w:val="18"/>
          <w:szCs w:val="18"/>
          <w:b w:val="1"/>
          <w:bCs w:val="1"/>
          <w:color w:val="auto"/>
        </w:rPr>
        <w:t>FR National Life,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Build-A-Bear Retail Management,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entered into that certain Industrial Building Lease dated as of August 28, 2004 (also known as the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Space Lease dated as of August 22, 2004, the “</w:t>
      </w:r>
      <w:r>
        <w:rPr>
          <w:rFonts w:ascii="Arial" w:cs="Arial" w:eastAsia="Arial" w:hAnsi="Arial"/>
          <w:sz w:val="18"/>
          <w:szCs w:val="18"/>
          <w:b w:val="1"/>
          <w:bCs w:val="1"/>
          <w:color w:val="auto"/>
        </w:rPr>
        <w:t>Initial Lease</w:t>
      </w:r>
      <w:r>
        <w:rPr>
          <w:rFonts w:ascii="Arial" w:cs="Arial" w:eastAsia="Arial" w:hAnsi="Arial"/>
          <w:sz w:val="18"/>
          <w:szCs w:val="18"/>
          <w:color w:val="auto"/>
        </w:rPr>
        <w:t>”), amended by the First Amendment to Lease dated as of October 31, 2006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as further amended by the Second Amendment to Lease dated as of December 31, 2006 the “</w:t>
      </w:r>
      <w:r>
        <w:rPr>
          <w:rFonts w:ascii="Arial" w:cs="Arial" w:eastAsia="Arial" w:hAnsi="Arial"/>
          <w:sz w:val="18"/>
          <w:szCs w:val="18"/>
          <w:b w:val="1"/>
          <w:bCs w:val="1"/>
          <w:color w:val="auto"/>
        </w:rPr>
        <w:t>Second Amendment</w:t>
      </w:r>
      <w:r>
        <w:rPr>
          <w:rFonts w:ascii="Arial" w:cs="Arial" w:eastAsia="Arial" w:hAnsi="Arial"/>
          <w:sz w:val="18"/>
          <w:szCs w:val="18"/>
          <w:color w:val="auto"/>
        </w:rPr>
        <w:t>”), and as further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by that certain Third Amendment to Lease dated as of November 21, 2007 (the “</w:t>
      </w:r>
      <w:r>
        <w:rPr>
          <w:rFonts w:ascii="Arial" w:cs="Arial" w:eastAsia="Arial" w:hAnsi="Arial"/>
          <w:sz w:val="18"/>
          <w:szCs w:val="18"/>
          <w:b w:val="1"/>
          <w:bCs w:val="1"/>
          <w:color w:val="auto"/>
        </w:rPr>
        <w:t>Third Amendment</w:t>
      </w:r>
      <w:r>
        <w:rPr>
          <w:rFonts w:ascii="Arial" w:cs="Arial" w:eastAsia="Arial" w:hAnsi="Arial"/>
          <w:sz w:val="18"/>
          <w:szCs w:val="18"/>
          <w:color w:val="auto"/>
        </w:rPr>
        <w:t>”, together with the Initial Lease, the First Amendment and the Second Amendment, the “</w:t>
      </w:r>
      <w:r>
        <w:rPr>
          <w:rFonts w:ascii="Arial" w:cs="Arial" w:eastAsia="Arial" w:hAnsi="Arial"/>
          <w:sz w:val="18"/>
          <w:szCs w:val="18"/>
          <w:b w:val="1"/>
          <w:bCs w:val="1"/>
          <w:color w:val="auto"/>
        </w:rPr>
        <w:t>Original Lease</w:t>
      </w:r>
      <w:r>
        <w:rPr>
          <w:rFonts w:ascii="Arial" w:cs="Arial" w:eastAsia="Arial" w:hAnsi="Arial"/>
          <w:sz w:val="18"/>
          <w:szCs w:val="18"/>
          <w:color w:val="auto"/>
        </w:rPr>
        <w:t>”), for certain space commonly known as Suite 1930 and Suites 1938 – 1954, Innerbelt Business Center Drive, St. Louis, Missouri 63144 (the “</w:t>
      </w:r>
      <w:r>
        <w:rPr>
          <w:rFonts w:ascii="Arial" w:cs="Arial" w:eastAsia="Arial" w:hAnsi="Arial"/>
          <w:sz w:val="18"/>
          <w:szCs w:val="18"/>
          <w:b w:val="1"/>
          <w:bCs w:val="1"/>
          <w:color w:val="auto"/>
        </w:rPr>
        <w:t>Building</w:t>
      </w:r>
      <w:r>
        <w:rPr>
          <w:rFonts w:ascii="Arial" w:cs="Arial" w:eastAsia="Arial" w:hAnsi="Arial"/>
          <w:sz w:val="18"/>
          <w:szCs w:val="18"/>
          <w:color w:val="auto"/>
        </w:rPr>
        <w:t>”) containing approximately 59,413 rentable square feet, as more particularly described in the Original Lease; and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desire to further amend and modify the Original Lease on the terms and conditions hereinafter set forth.</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acknowledged hereby, Landlord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216" w:lineRule="exact"/>
        <w:rPr>
          <w:sz w:val="20"/>
          <w:szCs w:val="20"/>
          <w:color w:val="auto"/>
        </w:rPr>
      </w:pPr>
    </w:p>
    <w:p>
      <w:pPr>
        <w:jc w:val="both"/>
        <w:ind w:firstLine="8"/>
        <w:spacing w:after="0" w:line="266" w:lineRule="auto"/>
        <w:tabs>
          <w:tab w:leader="none" w:pos="459"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 Defined Terms</w:t>
      </w:r>
      <w:r>
        <w:rPr>
          <w:rFonts w:ascii="Arial" w:cs="Arial" w:eastAsia="Arial" w:hAnsi="Arial"/>
          <w:sz w:val="18"/>
          <w:szCs w:val="18"/>
          <w:color w:val="auto"/>
        </w:rPr>
        <w:t>. The foregoing recitals are hereby incorporated into the body of this Amendment as if such recitals were more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set forth. Capitalized terms used herein and not otherwise defined shall have the meanings respectively ascribed to such terms in the Original Lease. The Original Lease, as modified by this Amendment, is referred to as the “Lease”.</w:t>
      </w:r>
    </w:p>
    <w:p>
      <w:pPr>
        <w:spacing w:after="0" w:line="230" w:lineRule="exact"/>
        <w:rPr>
          <w:rFonts w:ascii="Arial" w:cs="Arial" w:eastAsia="Arial" w:hAnsi="Arial"/>
          <w:sz w:val="18"/>
          <w:szCs w:val="18"/>
          <w:b w:val="1"/>
          <w:bCs w:val="1"/>
          <w:color w:val="auto"/>
        </w:rPr>
      </w:pPr>
    </w:p>
    <w:p>
      <w:pPr>
        <w:jc w:val="both"/>
        <w:ind w:firstLine="8"/>
        <w:spacing w:after="0" w:line="255" w:lineRule="auto"/>
        <w:tabs>
          <w:tab w:leader="none" w:pos="405"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Relocation of Premises</w:t>
      </w:r>
      <w:r>
        <w:rPr>
          <w:rFonts w:ascii="Arial" w:cs="Arial" w:eastAsia="Arial" w:hAnsi="Arial"/>
          <w:sz w:val="18"/>
          <w:szCs w:val="18"/>
          <w:color w:val="auto"/>
        </w:rPr>
        <w:t>. From and after January 1, 2012 (subject to the provisions of</w:t>
      </w:r>
      <w:r>
        <w:rPr>
          <w:rFonts w:ascii="Arial" w:cs="Arial" w:eastAsia="Arial" w:hAnsi="Arial"/>
          <w:sz w:val="18"/>
          <w:szCs w:val="18"/>
          <w:b w:val="1"/>
          <w:bCs w:val="1"/>
          <w:color w:val="auto"/>
        </w:rPr>
        <w:t xml:space="preserve"> Section 6 </w:t>
      </w:r>
      <w:r>
        <w:rPr>
          <w:rFonts w:ascii="Arial" w:cs="Arial" w:eastAsia="Arial" w:hAnsi="Arial"/>
          <w:sz w:val="18"/>
          <w:szCs w:val="18"/>
          <w:color w:val="auto"/>
        </w:rPr>
        <w:t>below, the “</w:t>
      </w:r>
      <w:r>
        <w:rPr>
          <w:rFonts w:ascii="Arial" w:cs="Arial" w:eastAsia="Arial" w:hAnsi="Arial"/>
          <w:sz w:val="18"/>
          <w:szCs w:val="18"/>
          <w:b w:val="1"/>
          <w:bCs w:val="1"/>
          <w:color w:val="auto"/>
        </w:rPr>
        <w:t>Relocation Date</w:t>
      </w:r>
      <w:r>
        <w:rPr>
          <w:rFonts w:ascii="Arial" w:cs="Arial" w:eastAsia="Arial" w:hAnsi="Arial"/>
          <w:sz w:val="18"/>
          <w:szCs w:val="18"/>
          <w:color w:val="auto"/>
        </w:rPr>
        <w:t>”), Tenant shall,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cost and expense, relocate a portion of the Premises, as defined as the “Expansion Premises” in the Second Amendment consisting of 7,437 rentable square feet, and commonly known as Suite 1930 in the Building, depicted on </w:t>
      </w:r>
      <w:r>
        <w:rPr>
          <w:rFonts w:ascii="Arial" w:cs="Arial" w:eastAsia="Arial" w:hAnsi="Arial"/>
          <w:sz w:val="18"/>
          <w:szCs w:val="18"/>
          <w:b w:val="1"/>
          <w:bCs w:val="1"/>
          <w:color w:val="auto"/>
        </w:rPr>
        <w:t>Exhibit B</w:t>
      </w:r>
      <w:r>
        <w:rPr>
          <w:rFonts w:ascii="Arial" w:cs="Arial" w:eastAsia="Arial" w:hAnsi="Arial"/>
          <w:sz w:val="18"/>
          <w:szCs w:val="18"/>
          <w:color w:val="auto"/>
        </w:rPr>
        <w:t>, attached hereto and made a part hereof (the “</w:t>
      </w:r>
      <w:r>
        <w:rPr>
          <w:rFonts w:ascii="Arial" w:cs="Arial" w:eastAsia="Arial" w:hAnsi="Arial"/>
          <w:sz w:val="18"/>
          <w:szCs w:val="18"/>
          <w:b w:val="1"/>
          <w:bCs w:val="1"/>
          <w:color w:val="auto"/>
        </w:rPr>
        <w:t>Surrendered Premises</w:t>
      </w:r>
      <w:r>
        <w:rPr>
          <w:rFonts w:ascii="Arial" w:cs="Arial" w:eastAsia="Arial" w:hAnsi="Arial"/>
          <w:sz w:val="18"/>
          <w:szCs w:val="18"/>
          <w:color w:val="auto"/>
        </w:rPr>
        <w:t xml:space="preserve">”) to that certain space consisting of approximately 7,437 rentable square feet, and commonly known as a portion of Suite 1960 in the Building, depicted on </w:t>
      </w:r>
      <w:r>
        <w:rPr>
          <w:rFonts w:ascii="Arial" w:cs="Arial" w:eastAsia="Arial" w:hAnsi="Arial"/>
          <w:sz w:val="18"/>
          <w:szCs w:val="18"/>
          <w:b w:val="1"/>
          <w:bCs w:val="1"/>
          <w:color w:val="auto"/>
        </w:rPr>
        <w:t>Exhibit A</w:t>
      </w:r>
      <w:r>
        <w:rPr>
          <w:rFonts w:ascii="Arial" w:cs="Arial" w:eastAsia="Arial" w:hAnsi="Arial"/>
          <w:sz w:val="18"/>
          <w:szCs w:val="18"/>
          <w:color w:val="auto"/>
        </w:rPr>
        <w:t>, attached hereto and made a part hereof (the “</w:t>
      </w:r>
      <w:r>
        <w:rPr>
          <w:rFonts w:ascii="Arial" w:cs="Arial" w:eastAsia="Arial" w:hAnsi="Arial"/>
          <w:sz w:val="18"/>
          <w:szCs w:val="18"/>
          <w:b w:val="1"/>
          <w:bCs w:val="1"/>
          <w:color w:val="auto"/>
        </w:rPr>
        <w:t>Relocation Premises</w:t>
      </w:r>
      <w:r>
        <w:rPr>
          <w:rFonts w:ascii="Arial" w:cs="Arial" w:eastAsia="Arial" w:hAnsi="Arial"/>
          <w:sz w:val="18"/>
          <w:szCs w:val="18"/>
          <w:color w:val="auto"/>
        </w:rPr>
        <w:t>”), such that, from and after the Relocation Date, Tenant shall lease from</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Landlord shall lease to Tenant, the Premises as defined in the Original Lease, consisting of 51,976 square feet (the “</w:t>
      </w:r>
      <w:r>
        <w:rPr>
          <w:rFonts w:ascii="Arial" w:cs="Arial" w:eastAsia="Arial" w:hAnsi="Arial"/>
          <w:sz w:val="18"/>
          <w:szCs w:val="18"/>
          <w:b w:val="1"/>
          <w:bCs w:val="1"/>
          <w:color w:val="auto"/>
        </w:rPr>
        <w:t>Original Premises</w:t>
      </w:r>
      <w:r>
        <w:rPr>
          <w:rFonts w:ascii="Arial" w:cs="Arial" w:eastAsia="Arial" w:hAnsi="Arial"/>
          <w:sz w:val="18"/>
          <w:szCs w:val="18"/>
          <w:color w:val="auto"/>
        </w:rPr>
        <w:t>”), and the Relocation Premises pursuant to the Lease. From and after the Relocation Date, the term “</w:t>
      </w:r>
      <w:r>
        <w:rPr>
          <w:rFonts w:ascii="Arial" w:cs="Arial" w:eastAsia="Arial" w:hAnsi="Arial"/>
          <w:sz w:val="18"/>
          <w:szCs w:val="18"/>
          <w:b w:val="1"/>
          <w:bCs w:val="1"/>
          <w:color w:val="auto"/>
        </w:rPr>
        <w:t>Premises</w:t>
      </w:r>
      <w:r>
        <w:rPr>
          <w:rFonts w:ascii="Arial" w:cs="Arial" w:eastAsia="Arial" w:hAnsi="Arial"/>
          <w:sz w:val="18"/>
          <w:szCs w:val="18"/>
          <w:color w:val="auto"/>
        </w:rPr>
        <w:t>” shall mean the Original Premises and the Relocation Premises.</w:t>
      </w:r>
    </w:p>
    <w:p>
      <w:pPr>
        <w:spacing w:after="0" w:line="239" w:lineRule="exact"/>
        <w:rPr>
          <w:rFonts w:ascii="Arial" w:cs="Arial" w:eastAsia="Arial" w:hAnsi="Arial"/>
          <w:sz w:val="18"/>
          <w:szCs w:val="18"/>
          <w:b w:val="1"/>
          <w:bCs w:val="1"/>
          <w:color w:val="auto"/>
        </w:rPr>
      </w:pPr>
    </w:p>
    <w:p>
      <w:pPr>
        <w:jc w:val="both"/>
        <w:ind w:firstLine="8"/>
        <w:spacing w:after="0" w:line="271" w:lineRule="auto"/>
        <w:tabs>
          <w:tab w:leader="none" w:pos="445"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 of Premises</w:t>
      </w:r>
      <w:r>
        <w:rPr>
          <w:rFonts w:ascii="Arial" w:cs="Arial" w:eastAsia="Arial" w:hAnsi="Arial"/>
          <w:sz w:val="17"/>
          <w:szCs w:val="17"/>
          <w:color w:val="auto"/>
        </w:rPr>
        <w:t>. Tenant agrees that Tenant is familiar with the condition of both the Premises and the Property, and Tenant hereby accepts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foregoing on an “AS-IS,” “WHERE-IS” basis, except as is otherwise expressly and specifically described on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attached hereto and incorporated herein by this reference. Tenant acknowledges that neither Landlord nor Agent, nor any representative of Landlord, has made any representation as to the condition of the foregoing or the suitability of the foregoing for Tenant’s intended use. Tenant acknowledges and agrees that a demising wall will need to be constructed, and Tenant may experience certain disruptions at the Relocation Premises (including noise, debris and dust). In the event the Landlord is unable to deliver possession of the Relocation Premises to Tenant in the condition required by this Amendment on the Relocation Date for any reason (including, without limitation, any holdover by any existing tenant of the Relocation Premises), Landlord shall have no liability to Tenant on account thereof and the obligations of Tenant shall not be affected thereby, except that the Relocation Date shall be extended until such time as Landlord delivers possession of the Relocation Premises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7" w:name="page88"/>
    <w:bookmarkEnd w:id="87"/>
    <w:p>
      <w:pPr>
        <w:jc w:val="both"/>
        <w:ind w:left="-8" w:firstLine="8"/>
        <w:spacing w:after="0" w:line="285" w:lineRule="auto"/>
        <w:tabs>
          <w:tab w:leader="none" w:pos="518"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Surrendered Premises</w:t>
      </w:r>
      <w:r>
        <w:rPr>
          <w:rFonts w:ascii="Arial" w:cs="Arial" w:eastAsia="Arial" w:hAnsi="Arial"/>
          <w:sz w:val="16"/>
          <w:szCs w:val="16"/>
          <w:color w:val="auto"/>
        </w:rPr>
        <w:t>. In the event Tenant does not, on or before the Relocation Date, (i) surrender the Surrendered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with all of Tenant’s property (and all alterations, additions and improvements) removed therefrom and broom clean, in as good condition as received, and as otherwise provided pursuant to the terms of the Lease, including without limitation Section 20 of the Initial Lease, and (ii) return any and all keys, including, without limitation, mailbox keys, for the Surrendered Premises to Landlord, then Tenant shall be deemed to be holding over with respect to the Surrendered Premises and the terms of Section 20 of the Initial Lease, and any and all other applicable provisions of the Lease, shall apply to Tenant’s holdover of the Surrendered Premises. Accordingly, in response to such a holdover by Tenant, Landlord shall be entitled to exercise or pursue (a) any and all of its rights under Section 20 of the Initial Lease, or any other applicable section of the Lease, or (b) any other legal or equitable remedies otherwise available to Landlord. In addition, if any repairs are required to be performed in, to or at the Surrendered Premises, Tenant shall cause such repairs to be performed, to Landlord’s reasonable satisfaction, prior to the Relocation Date. If Tenant fails to timely comply with the preceding sentence, then Landlord shall have the right to cause the repairs to be performed, at Tenant’s expense. Landlord shall be permitted to inspect the Surrendered Premises in order to verify compliance with this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and the Lease as of Relocation Date. The obligations imposed under the first sentence of this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shall survive the termination or expiration of the Lease. Notwithstanding the foregoing, provided that Tenant is not in default pursuant to the terms of the Lease, Tenant may occupy the Surrendered Premises commencing on January 1, 2012 through January 15, 2012, pursuant to the terms and conditions of the Lease as it applies to the “Premises”; provided that Tenant shall not be required to pay Base Rent for the Surrendered Premises during the period January 1, 2012 through January 15, 2012. In such event, Tenant shall be required to surrender the Surrendered Premises on January 15, 2012, and otherwise pursuant to the terms and conditions of the Lease, including, without limitation, pursuant to this </w:t>
      </w:r>
      <w:r>
        <w:rPr>
          <w:rFonts w:ascii="Arial" w:cs="Arial" w:eastAsia="Arial" w:hAnsi="Arial"/>
          <w:sz w:val="16"/>
          <w:szCs w:val="16"/>
          <w:b w:val="1"/>
          <w:bCs w:val="1"/>
          <w:color w:val="auto"/>
        </w:rPr>
        <w:t>Section 4</w:t>
      </w:r>
      <w:r>
        <w:rPr>
          <w:rFonts w:ascii="Arial" w:cs="Arial" w:eastAsia="Arial" w:hAnsi="Arial"/>
          <w:sz w:val="16"/>
          <w:szCs w:val="16"/>
          <w:color w:val="auto"/>
        </w:rPr>
        <w:t>. Tenant shall in all events be required to pay Base Rent, Additional Rent, and all other amounts due under the Lease for the Relocation Premises for the period January 1, 2012 through the expiration date of the Lease.</w:t>
      </w:r>
    </w:p>
    <w:p>
      <w:pPr>
        <w:spacing w:after="0" w:line="229" w:lineRule="exact"/>
        <w:rPr>
          <w:rFonts w:ascii="Arial" w:cs="Arial" w:eastAsia="Arial" w:hAnsi="Arial"/>
          <w:sz w:val="16"/>
          <w:szCs w:val="16"/>
          <w:b w:val="1"/>
          <w:bCs w:val="1"/>
          <w:color w:val="auto"/>
        </w:rPr>
      </w:pPr>
    </w:p>
    <w:p>
      <w:pPr>
        <w:jc w:val="both"/>
        <w:ind w:left="-8" w:firstLine="8"/>
        <w:spacing w:after="0" w:line="289" w:lineRule="auto"/>
        <w:tabs>
          <w:tab w:leader="none" w:pos="397"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Rent</w:t>
      </w:r>
      <w:r>
        <w:rPr>
          <w:rFonts w:ascii="Arial" w:cs="Arial" w:eastAsia="Arial" w:hAnsi="Arial"/>
          <w:sz w:val="16"/>
          <w:szCs w:val="16"/>
          <w:color w:val="auto"/>
        </w:rPr>
        <w:t>. In addition to the Base Rent as set in the Lease, Tenant shall continue to pay Additional Rent in accordance with the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If the Relocation Date occurs on a day other than the first day of a calendar month, the monthly Base Rent and all Additional Rent and other amounts payable under the Lease that are due for the first calendar month following the Premises Relocation shall be prorated on a per diem basis (based on a 360 day,</w:t>
      </w:r>
    </w:p>
    <w:p>
      <w:pPr>
        <w:spacing w:after="0" w:line="1" w:lineRule="exact"/>
        <w:rPr>
          <w:rFonts w:ascii="Arial" w:cs="Arial" w:eastAsia="Arial" w:hAnsi="Arial"/>
          <w:sz w:val="16"/>
          <w:szCs w:val="16"/>
          <w:b w:val="1"/>
          <w:bCs w:val="1"/>
          <w:color w:val="auto"/>
        </w:rPr>
      </w:pPr>
    </w:p>
    <w:p>
      <w:pPr>
        <w:jc w:val="both"/>
        <w:ind w:left="-8" w:firstLine="8"/>
        <w:spacing w:after="0" w:line="253" w:lineRule="auto"/>
        <w:tabs>
          <w:tab w:leader="none" w:pos="2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month year) and paid to Landlord on the Relocation Date (it being understood that Tenant shall pay all such amounts with respect to the Surrendered Premises on the first day of the calendar month in which the Relocation Date occurs). Notwithstanding anything contained herein to the contrary, the terms and provisions of this Amendment shall in no way impact, alter, mitigate or eliminate any of Tenant’s obligations that accrue or become due under the Lease prior and included the Relocation Date and, from and after the Relocation Date, Tenant’s obligations under the Lease shall only be affected in the manner and to the extent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419735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86" w:right="239" w:bottom="1440" w:gutter="0" w:footer="0" w:header="0"/>
        </w:sectPr>
      </w:pPr>
    </w:p>
    <w:bookmarkStart w:id="88" w:name="page89"/>
    <w:bookmarkEnd w:id="88"/>
    <w:p>
      <w:pPr>
        <w:jc w:val="both"/>
        <w:ind w:left="-8" w:firstLine="8"/>
        <w:spacing w:after="0" w:line="258" w:lineRule="auto"/>
        <w:tabs>
          <w:tab w:leader="none" w:pos="58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Conditional Lease</w:t>
      </w:r>
      <w:r>
        <w:rPr>
          <w:rFonts w:ascii="Arial" w:cs="Arial" w:eastAsia="Arial" w:hAnsi="Arial"/>
          <w:sz w:val="18"/>
          <w:szCs w:val="18"/>
          <w:color w:val="auto"/>
        </w:rPr>
        <w:t>. Notwithstanding anything contained herein to the contrary, this Amendment is absolutely conditioned upon 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NewSpace, Inc. entering into a Fourth Amendment to that certain Industrial Building Lease dated August 28, 2004 (the “</w:t>
      </w:r>
      <w:r>
        <w:rPr>
          <w:rFonts w:ascii="Arial" w:cs="Arial" w:eastAsia="Arial" w:hAnsi="Arial"/>
          <w:sz w:val="18"/>
          <w:szCs w:val="18"/>
          <w:b w:val="1"/>
          <w:bCs w:val="1"/>
          <w:color w:val="auto"/>
        </w:rPr>
        <w:t>NewSpace Amendment</w:t>
      </w:r>
      <w:r>
        <w:rPr>
          <w:rFonts w:ascii="Arial" w:cs="Arial" w:eastAsia="Arial" w:hAnsi="Arial"/>
          <w:sz w:val="18"/>
          <w:szCs w:val="18"/>
          <w:color w:val="auto"/>
        </w:rPr>
        <w:t>”), as approved by Landlord, in its sole discretion. In the event that Landlord and NewSpace, Inc. do not proceed to enter into the NewSpace Amendment for any reason or no reason, this Amendment shall be of no force and effect, and neither party shall have any liability to the other hereunder. In no event shall Landlord have any obligation to enter into the NewSpace Amendment.</w:t>
      </w:r>
    </w:p>
    <w:p>
      <w:pPr>
        <w:spacing w:after="0" w:line="237" w:lineRule="exact"/>
        <w:rPr>
          <w:rFonts w:ascii="Arial" w:cs="Arial" w:eastAsia="Arial" w:hAnsi="Arial"/>
          <w:sz w:val="18"/>
          <w:szCs w:val="18"/>
          <w:b w:val="1"/>
          <w:bCs w:val="1"/>
          <w:color w:val="auto"/>
        </w:rPr>
      </w:pPr>
    </w:p>
    <w:p>
      <w:pPr>
        <w:jc w:val="both"/>
        <w:ind w:left="-8" w:firstLine="8"/>
        <w:spacing w:after="0" w:line="274" w:lineRule="auto"/>
        <w:tabs>
          <w:tab w:leader="none" w:pos="491"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Holdover</w:t>
      </w:r>
      <w:r>
        <w:rPr>
          <w:rFonts w:ascii="Arial" w:cs="Arial" w:eastAsia="Arial" w:hAnsi="Arial"/>
          <w:sz w:val="17"/>
          <w:szCs w:val="17"/>
          <w:color w:val="auto"/>
        </w:rPr>
        <w:t>. Notwithstanding anything to the contrary in the Lease, in the event Tenant holds over with respect to the Surrendered Premises past the</w:t>
      </w:r>
      <w:r>
        <w:rPr>
          <w:rFonts w:ascii="Arial" w:cs="Arial" w:eastAsia="Arial" w:hAnsi="Arial"/>
          <w:sz w:val="17"/>
          <w:szCs w:val="17"/>
          <w:b w:val="1"/>
          <w:bCs w:val="1"/>
          <w:color w:val="auto"/>
        </w:rPr>
        <w:t xml:space="preserve"> </w:t>
      </w:r>
      <w:r>
        <w:rPr>
          <w:rFonts w:ascii="Arial" w:cs="Arial" w:eastAsia="Arial" w:hAnsi="Arial"/>
          <w:sz w:val="17"/>
          <w:szCs w:val="17"/>
          <w:color w:val="auto"/>
        </w:rPr>
        <w:t>Relocation Date: (i) Tenant shall be responsible for all of the Surrendered Premises Obligations through (and including) the date Tenant vacates the Surrendered Premises in accordance with the terms of this Amendment; (ii) the definition of “Premises” shall not change as described in this Amendment until the date immediately following such date that Tenant vacates the Surrendered Premises; and (iii) Tenant shall be deemed to be holding over with respect to the Surrendered Premises, the terms of Section 20 of the Original Lease shall apply to such holding over and Landlord shall be entitled to exercise or pursue any or all of its rights under the Lease, at law or in equity with respect to such holding over.</w:t>
      </w:r>
    </w:p>
    <w:p>
      <w:pPr>
        <w:spacing w:after="0" w:line="227" w:lineRule="exact"/>
        <w:rPr>
          <w:rFonts w:ascii="Arial" w:cs="Arial" w:eastAsia="Arial" w:hAnsi="Arial"/>
          <w:sz w:val="17"/>
          <w:szCs w:val="17"/>
          <w:b w:val="1"/>
          <w:bCs w:val="1"/>
          <w:color w:val="auto"/>
        </w:rPr>
      </w:pPr>
    </w:p>
    <w:p>
      <w:pPr>
        <w:jc w:val="both"/>
        <w:ind w:left="-8" w:firstLine="8"/>
        <w:spacing w:after="0" w:line="258" w:lineRule="auto"/>
        <w:tabs>
          <w:tab w:leader="none" w:pos="42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color w:val="auto"/>
        </w:rPr>
        <w:t>. If two or more individuals, corporations, partnerships, or other business associations (or any combination of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shall sign this Amendment as Tenant, the liability of each such individual, corporation, partnership or other business association to pay rent and perform all other obligations hereunder shall be deemed to be joint and several. If Tenant named in this Amendment shall be a partnership or other business association, the members of which are, by virtue of statute or general law, subject to personal liability, the liability of each such member shall be joint and several.</w:t>
      </w:r>
    </w:p>
    <w:p>
      <w:pPr>
        <w:spacing w:after="0" w:line="237" w:lineRule="exact"/>
        <w:rPr>
          <w:rFonts w:ascii="Arial" w:cs="Arial" w:eastAsia="Arial" w:hAnsi="Arial"/>
          <w:sz w:val="18"/>
          <w:szCs w:val="18"/>
          <w:b w:val="1"/>
          <w:bCs w:val="1"/>
          <w:color w:val="auto"/>
        </w:rPr>
      </w:pPr>
    </w:p>
    <w:p>
      <w:pPr>
        <w:ind w:left="-8" w:firstLine="8"/>
        <w:spacing w:after="0" w:line="282" w:lineRule="auto"/>
        <w:tabs>
          <w:tab w:leader="none" w:pos="505"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Absence of Option</w:t>
      </w:r>
      <w:r>
        <w:rPr>
          <w:rFonts w:ascii="Arial" w:cs="Arial" w:eastAsia="Arial" w:hAnsi="Arial"/>
          <w:sz w:val="18"/>
          <w:szCs w:val="18"/>
          <w:color w:val="auto"/>
        </w:rPr>
        <w:t>. The submission of this Amendment for examination does not constitute a reservation of or option for the Premises,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become effective only upon execution and delivery thereof by Landlord.</w:t>
      </w:r>
    </w:p>
    <w:p>
      <w:pPr>
        <w:spacing w:after="0" w:line="215" w:lineRule="exact"/>
        <w:rPr>
          <w:rFonts w:ascii="Arial" w:cs="Arial" w:eastAsia="Arial" w:hAnsi="Arial"/>
          <w:sz w:val="18"/>
          <w:szCs w:val="18"/>
          <w:b w:val="1"/>
          <w:bCs w:val="1"/>
          <w:color w:val="auto"/>
        </w:rPr>
      </w:pPr>
    </w:p>
    <w:p>
      <w:pPr>
        <w:jc w:val="both"/>
        <w:ind w:left="-8" w:firstLine="8"/>
        <w:spacing w:after="0" w:line="314" w:lineRule="auto"/>
        <w:tabs>
          <w:tab w:leader="none" w:pos="424"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Brokerage Commission</w:t>
      </w:r>
      <w:r>
        <w:rPr>
          <w:rFonts w:ascii="Arial" w:cs="Arial" w:eastAsia="Arial" w:hAnsi="Arial"/>
          <w:sz w:val="16"/>
          <w:szCs w:val="16"/>
          <w:color w:val="auto"/>
        </w:rPr>
        <w:t>. Both Landlord and Tenant warrant that there are no claims for broker’s commissions or finder’s fees in connection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this Amendment, and Tenant agrees to indemnify and save Landlord, its affiliates, successors, and assigns harmless from any liability that may arise from any such claim, including reasonable attorneys’ fees. The foregoing indemnification shall survive the termination or expiration of the Lease."</w:t>
      </w:r>
    </w:p>
    <w:p>
      <w:pPr>
        <w:spacing w:after="0" w:line="196" w:lineRule="exact"/>
        <w:rPr>
          <w:rFonts w:ascii="Arial" w:cs="Arial" w:eastAsia="Arial" w:hAnsi="Arial"/>
          <w:sz w:val="16"/>
          <w:szCs w:val="16"/>
          <w:b w:val="1"/>
          <w:bCs w:val="1"/>
          <w:color w:val="auto"/>
        </w:rPr>
      </w:pPr>
    </w:p>
    <w:p>
      <w:pPr>
        <w:jc w:val="both"/>
        <w:ind w:left="-8" w:firstLine="8"/>
        <w:spacing w:after="0" w:line="289" w:lineRule="auto"/>
        <w:tabs>
          <w:tab w:leader="none" w:pos="387"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Ratification</w:t>
      </w:r>
      <w:r>
        <w:rPr>
          <w:rFonts w:ascii="Arial" w:cs="Arial" w:eastAsia="Arial" w:hAnsi="Arial"/>
          <w:sz w:val="17"/>
          <w:szCs w:val="17"/>
          <w:color w:val="auto"/>
        </w:rPr>
        <w:t>. Except as modified by this Amendment, the Lease shall remain otherwise unmodified and in full force and effect and the parties ratify and</w:t>
      </w:r>
      <w:r>
        <w:rPr>
          <w:rFonts w:ascii="Arial" w:cs="Arial" w:eastAsia="Arial" w:hAnsi="Arial"/>
          <w:sz w:val="17"/>
          <w:szCs w:val="17"/>
          <w:b w:val="1"/>
          <w:bCs w:val="1"/>
          <w:color w:val="auto"/>
        </w:rPr>
        <w:t xml:space="preserve"> </w:t>
      </w:r>
      <w:r>
        <w:rPr>
          <w:rFonts w:ascii="Arial" w:cs="Arial" w:eastAsia="Arial" w:hAnsi="Arial"/>
          <w:sz w:val="17"/>
          <w:szCs w:val="17"/>
          <w:color w:val="auto"/>
        </w:rPr>
        <w:t>confirm the terms of the Lease as modified by this Amendment. The Lease (as amended hereby) contains the entire agreement between Landlord and Tenant as to the Premises, and there are no other agreements, oral or written, between Landlord and Tenant relating to the Premises.</w:t>
      </w:r>
    </w:p>
    <w:p>
      <w:pPr>
        <w:spacing w:after="0" w:line="212" w:lineRule="exact"/>
        <w:rPr>
          <w:rFonts w:ascii="Arial" w:cs="Arial" w:eastAsia="Arial" w:hAnsi="Arial"/>
          <w:sz w:val="17"/>
          <w:szCs w:val="17"/>
          <w:b w:val="1"/>
          <w:bCs w:val="1"/>
          <w:color w:val="auto"/>
        </w:rPr>
      </w:pPr>
    </w:p>
    <w:p>
      <w:pPr>
        <w:ind w:left="-8" w:right="20" w:firstLine="8"/>
        <w:spacing w:after="0" w:line="282" w:lineRule="auto"/>
        <w:tabs>
          <w:tab w:leader="none" w:pos="397"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w:t>
      </w:r>
      <w:r>
        <w:rPr>
          <w:rFonts w:ascii="Arial" w:cs="Arial" w:eastAsia="Arial" w:hAnsi="Arial"/>
          <w:sz w:val="18"/>
          <w:szCs w:val="18"/>
          <w:color w:val="auto"/>
        </w:rPr>
        <w:t>. Except as amended hereby, the Lease shall be and remain in full force and effect. In the event of any conflict between the terms of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of this Amendment, the terms of this Amendment shall control.</w:t>
      </w:r>
    </w:p>
    <w:p>
      <w:pPr>
        <w:spacing w:after="0" w:line="215" w:lineRule="exact"/>
        <w:rPr>
          <w:rFonts w:ascii="Arial" w:cs="Arial" w:eastAsia="Arial" w:hAnsi="Arial"/>
          <w:sz w:val="18"/>
          <w:szCs w:val="18"/>
          <w:b w:val="1"/>
          <w:bCs w:val="1"/>
          <w:color w:val="auto"/>
        </w:rPr>
      </w:pPr>
    </w:p>
    <w:p>
      <w:pPr>
        <w:ind w:left="-8" w:firstLine="8"/>
        <w:spacing w:after="0" w:line="282" w:lineRule="auto"/>
        <w:tabs>
          <w:tab w:leader="none" w:pos="41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Amendment and all of the covenants, terms and conditions hereof shall inure to the benefit of, and be binding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executors, administrators, successors and assigns of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403860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86" w:right="239" w:bottom="1440" w:gutter="0" w:footer="0" w:header="0"/>
        </w:sectPr>
      </w:pPr>
    </w:p>
    <w:bookmarkStart w:id="89" w:name="page90"/>
    <w:bookmarkEnd w:id="89"/>
    <w:p>
      <w:pPr>
        <w:jc w:val="both"/>
        <w:ind w:firstLine="8"/>
        <w:spacing w:after="0" w:line="261" w:lineRule="auto"/>
        <w:tabs>
          <w:tab w:leader="none" w:pos="459"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Authority of Tenant</w:t>
      </w:r>
      <w:r>
        <w:rPr>
          <w:rFonts w:ascii="Arial" w:cs="Arial" w:eastAsia="Arial" w:hAnsi="Arial"/>
          <w:sz w:val="18"/>
          <w:szCs w:val="18"/>
          <w:color w:val="auto"/>
        </w:rPr>
        <w:t>. Tenant and the person(s) executing this Amendment on behalf of Tenant hereby represent, warrant, and covenant with and to</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as follows: the individual(s) acting as signatory on behalf of Tenant is (are) duly authorized to execute this Amendment; Tenant has procured (whether from its members, partners or board of directors, as the case may be), the requisite authority to enter into this Amendment; and the Lease (as amended hereby) is and shall be fully and completely binding upon Tenant.</w:t>
      </w:r>
    </w:p>
    <w:p>
      <w:pPr>
        <w:spacing w:after="0" w:line="234" w:lineRule="exact"/>
        <w:rPr>
          <w:rFonts w:ascii="Arial" w:cs="Arial" w:eastAsia="Arial" w:hAnsi="Arial"/>
          <w:sz w:val="18"/>
          <w:szCs w:val="18"/>
          <w:b w:val="1"/>
          <w:bCs w:val="1"/>
          <w:color w:val="auto"/>
        </w:rPr>
      </w:pPr>
    </w:p>
    <w:p>
      <w:pPr>
        <w:ind w:left="420" w:hanging="412"/>
        <w:spacing w:after="0"/>
        <w:tabs>
          <w:tab w:leader="none" w:pos="4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Amendment shall be governed by and construed in accordance with the laws of Missouri.</w:t>
      </w:r>
    </w:p>
    <w:p>
      <w:pPr>
        <w:spacing w:after="0" w:line="279" w:lineRule="exact"/>
        <w:rPr>
          <w:rFonts w:ascii="Arial" w:cs="Arial" w:eastAsia="Arial" w:hAnsi="Arial"/>
          <w:sz w:val="18"/>
          <w:szCs w:val="18"/>
          <w:b w:val="1"/>
          <w:bCs w:val="1"/>
          <w:color w:val="auto"/>
        </w:rPr>
      </w:pPr>
    </w:p>
    <w:p>
      <w:pPr>
        <w:ind w:right="20" w:firstLine="8"/>
        <w:spacing w:after="0" w:line="282" w:lineRule="auto"/>
        <w:tabs>
          <w:tab w:leader="none" w:pos="55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The provisions of this Amendment shall be deemed independent and severable, and the invalidity or partial invalidity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one provision shall not affect the validity of enforceability of any other provision hereof.</w:t>
      </w:r>
    </w:p>
    <w:p>
      <w:pPr>
        <w:spacing w:after="0" w:line="215" w:lineRule="exact"/>
        <w:rPr>
          <w:rFonts w:ascii="Arial" w:cs="Arial" w:eastAsia="Arial" w:hAnsi="Arial"/>
          <w:sz w:val="18"/>
          <w:szCs w:val="18"/>
          <w:b w:val="1"/>
          <w:bCs w:val="1"/>
          <w:color w:val="auto"/>
        </w:rPr>
      </w:pPr>
    </w:p>
    <w:p>
      <w:pPr>
        <w:ind w:firstLine="8"/>
        <w:spacing w:after="0" w:line="282" w:lineRule="auto"/>
        <w:tabs>
          <w:tab w:leader="none" w:pos="51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Facsimile</w:t>
      </w:r>
      <w:r>
        <w:rPr>
          <w:rFonts w:ascii="Arial" w:cs="Arial" w:eastAsia="Arial" w:hAnsi="Arial"/>
          <w:sz w:val="18"/>
          <w:szCs w:val="18"/>
          <w:color w:val="auto"/>
        </w:rPr>
        <w:t>. This Amendment may be executed in any number of identical counterparts, all of which, when taken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same instrument.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IN WITNESS WHEREOF, Landlord and Tenant have entered into this Amendment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358140</wp:posOffset>
            </wp:positionV>
            <wp:extent cx="7246620" cy="382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8246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FR National Life, LLC, a Delaware limited liability company</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First Industrial, L.P., a Delaware limited partnership, its sole manager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First Industrial Realty Trust, Inc., a Maryland corporation, its general partner</w:t>
      </w:r>
    </w:p>
    <w:p>
      <w:pPr>
        <w:spacing w:after="0" w:line="231" w:lineRule="exact"/>
        <w:rPr>
          <w:sz w:val="20"/>
          <w:szCs w:val="20"/>
          <w:color w:val="auto"/>
        </w:rPr>
      </w:pPr>
    </w:p>
    <w:tbl>
      <w:tblPr>
        <w:tblLayout w:type="fixed"/>
        <w:tblInd w:w="4180" w:type="dxa"/>
        <w:tblCellMar>
          <w:top w:w="0" w:type="dxa"/>
          <w:left w:w="0" w:type="dxa"/>
          <w:bottom w:w="0" w:type="dxa"/>
          <w:right w:w="0" w:type="dxa"/>
        </w:tblCellMar>
      </w:tblPr>
      <w:tr>
        <w:trPr>
          <w:trHeight w:val="207"/>
        </w:trPr>
        <w:tc>
          <w:tcPr>
            <w:tcW w:w="480" w:type="dxa"/>
            <w:vAlign w:val="bottom"/>
            <w:gridSpan w:val="3"/>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/S/John Wright</w:t>
            </w:r>
          </w:p>
        </w:tc>
        <w:tc>
          <w:tcPr>
            <w:tcW w:w="80" w:type="dxa"/>
            <w:vAlign w:val="bottom"/>
          </w:tcPr>
          <w:p>
            <w:pPr>
              <w:spacing w:after="0"/>
              <w:rPr>
                <w:sz w:val="17"/>
                <w:szCs w:val="17"/>
                <w:color w:val="auto"/>
              </w:rPr>
            </w:pPr>
          </w:p>
        </w:tc>
      </w:tr>
      <w:tr>
        <w:trPr>
          <w:trHeight w:val="412"/>
        </w:trPr>
        <w:tc>
          <w:tcPr>
            <w:tcW w:w="460" w:type="dxa"/>
            <w:vAlign w:val="bottom"/>
            <w:gridSpan w:val="2"/>
          </w:tcPr>
          <w:p>
            <w:pPr>
              <w:spacing w:after="0"/>
              <w:rPr>
                <w:sz w:val="20"/>
                <w:szCs w:val="20"/>
                <w:color w:val="auto"/>
              </w:rPr>
            </w:pPr>
            <w:r>
              <w:rPr>
                <w:rFonts w:ascii="Arial" w:cs="Arial" w:eastAsia="Arial" w:hAnsi="Arial"/>
                <w:sz w:val="18"/>
                <w:szCs w:val="18"/>
                <w:color w:val="auto"/>
              </w:rPr>
              <w:t>Its:</w:t>
            </w:r>
          </w:p>
        </w:tc>
        <w:tc>
          <w:tcPr>
            <w:tcW w:w="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Regional Manager</w:t>
            </w:r>
          </w:p>
        </w:tc>
        <w:tc>
          <w:tcPr>
            <w:tcW w:w="80" w:type="dxa"/>
            <w:vAlign w:val="bottom"/>
          </w:tcPr>
          <w:p>
            <w:pPr>
              <w:spacing w:after="0"/>
              <w:rPr>
                <w:sz w:val="24"/>
                <w:szCs w:val="24"/>
                <w:color w:val="auto"/>
              </w:rPr>
            </w:pPr>
          </w:p>
        </w:tc>
      </w:tr>
      <w:tr>
        <w:trPr>
          <w:trHeight w:val="412"/>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40" w:type="dxa"/>
            <w:vAlign w:val="bottom"/>
            <w:tcBorders>
              <w:bottom w:val="single" w:sz="8" w:color="auto"/>
            </w:tcBorders>
            <w:gridSpan w:val="2"/>
          </w:tcPr>
          <w:p>
            <w:pPr>
              <w:spacing w:after="0"/>
              <w:rPr>
                <w:sz w:val="24"/>
                <w:szCs w:val="24"/>
                <w:color w:val="auto"/>
              </w:rPr>
            </w:pPr>
          </w:p>
        </w:tc>
        <w:tc>
          <w:tcPr>
            <w:tcW w:w="4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12/29/2011</w:t>
            </w:r>
          </w:p>
        </w:tc>
        <w:tc>
          <w:tcPr>
            <w:tcW w:w="80" w:type="dxa"/>
            <w:vAlign w:val="bottom"/>
            <w:tcBorders>
              <w:bottom w:val="single" w:sz="8" w:color="auto"/>
            </w:tcBorders>
          </w:tcPr>
          <w:p>
            <w:pPr>
              <w:spacing w:after="0"/>
              <w:rPr>
                <w:sz w:val="24"/>
                <w:szCs w:val="24"/>
                <w:color w:val="auto"/>
              </w:rPr>
            </w:pPr>
          </w:p>
        </w:tc>
      </w:tr>
    </w:tbl>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TENANT:</w:t>
      </w:r>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Build-A-Bear Retail Management, Inc.</w:t>
      </w:r>
      <w:r>
        <w:rPr>
          <w:rFonts w:ascii="Arial" w:cs="Arial" w:eastAsia="Arial" w:hAnsi="Arial"/>
          <w:sz w:val="18"/>
          <w:szCs w:val="18"/>
          <w:color w:val="auto"/>
        </w:rPr>
        <w:t>, a Delaware corporation</w:t>
      </w:r>
    </w:p>
    <w:p>
      <w:pPr>
        <w:spacing w:after="0" w:line="200" w:lineRule="exact"/>
        <w:rPr>
          <w:sz w:val="20"/>
          <w:szCs w:val="20"/>
          <w:color w:val="auto"/>
        </w:rPr>
      </w:pPr>
    </w:p>
    <w:p>
      <w:pPr>
        <w:spacing w:after="0" w:line="228" w:lineRule="exact"/>
        <w:rPr>
          <w:sz w:val="20"/>
          <w:szCs w:val="20"/>
          <w:color w:val="auto"/>
        </w:rPr>
      </w:pPr>
    </w:p>
    <w:tbl>
      <w:tblPr>
        <w:tblLayout w:type="fixed"/>
        <w:tblInd w:w="4180" w:type="dxa"/>
        <w:tblCellMar>
          <w:top w:w="0" w:type="dxa"/>
          <w:left w:w="0" w:type="dxa"/>
          <w:bottom w:w="0" w:type="dxa"/>
          <w:right w:w="0" w:type="dxa"/>
        </w:tblCellMar>
      </w:tblPr>
      <w:tr>
        <w:trPr>
          <w:trHeight w:val="207"/>
        </w:trPr>
        <w:tc>
          <w:tcPr>
            <w:tcW w:w="580" w:type="dxa"/>
            <w:vAlign w:val="bottom"/>
            <w:gridSpan w:val="3"/>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gridSpan w:val="3"/>
          </w:tcPr>
          <w:p>
            <w:pPr>
              <w:jc w:val="center"/>
              <w:ind w:right="2580"/>
              <w:spacing w:after="0"/>
              <w:rPr>
                <w:sz w:val="20"/>
                <w:szCs w:val="20"/>
                <w:color w:val="auto"/>
              </w:rPr>
            </w:pPr>
            <w:r>
              <w:rPr>
                <w:rFonts w:ascii="Arial" w:cs="Arial" w:eastAsia="Arial" w:hAnsi="Arial"/>
                <w:sz w:val="18"/>
                <w:szCs w:val="18"/>
                <w:color w:val="auto"/>
                <w:w w:val="93"/>
              </w:rPr>
              <w:t>/S/Tina Klocke</w:t>
            </w:r>
          </w:p>
        </w:tc>
      </w:tr>
      <w:tr>
        <w:trPr>
          <w:trHeight w:val="628"/>
        </w:trPr>
        <w:tc>
          <w:tcPr>
            <w:tcW w:w="540" w:type="dxa"/>
            <w:vAlign w:val="bottom"/>
            <w:gridSpan w:val="2"/>
          </w:tcPr>
          <w:p>
            <w:pPr>
              <w:spacing w:after="0"/>
              <w:rPr>
                <w:sz w:val="20"/>
                <w:szCs w:val="20"/>
                <w:color w:val="auto"/>
              </w:rPr>
            </w:pPr>
            <w:r>
              <w:rPr>
                <w:rFonts w:ascii="Arial" w:cs="Arial" w:eastAsia="Arial" w:hAnsi="Arial"/>
                <w:sz w:val="18"/>
                <w:szCs w:val="18"/>
                <w:color w:val="auto"/>
              </w:rPr>
              <w:t>Its:</w:t>
            </w:r>
          </w:p>
        </w:tc>
        <w:tc>
          <w:tcPr>
            <w:tcW w:w="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Chief Operations &amp; Financial Bear</w:t>
            </w:r>
          </w:p>
        </w:tc>
        <w:tc>
          <w:tcPr>
            <w:tcW w:w="160" w:type="dxa"/>
            <w:vAlign w:val="bottom"/>
            <w:gridSpan w:val="2"/>
          </w:tcPr>
          <w:p>
            <w:pPr>
              <w:spacing w:after="0"/>
              <w:rPr>
                <w:sz w:val="24"/>
                <w:szCs w:val="24"/>
                <w:color w:val="auto"/>
              </w:rPr>
            </w:pPr>
          </w:p>
        </w:tc>
      </w:tr>
      <w:tr>
        <w:trPr>
          <w:trHeight w:val="628"/>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60" w:type="dxa"/>
            <w:vAlign w:val="bottom"/>
            <w:tcBorders>
              <w:bottom w:val="single" w:sz="8" w:color="auto"/>
            </w:tcBorders>
            <w:gridSpan w:val="2"/>
          </w:tcPr>
          <w:p>
            <w:pPr>
              <w:spacing w:after="0"/>
              <w:rPr>
                <w:sz w:val="24"/>
                <w:szCs w:val="24"/>
                <w:color w:val="auto"/>
              </w:rPr>
            </w:pPr>
          </w:p>
        </w:tc>
        <w:tc>
          <w:tcPr>
            <w:tcW w:w="3860" w:type="dxa"/>
            <w:vAlign w:val="bottom"/>
            <w:tcBorders>
              <w:bottom w:val="single" w:sz="8" w:color="auto"/>
            </w:tcBorders>
          </w:tcPr>
          <w:p>
            <w:pPr>
              <w:jc w:val="right"/>
              <w:ind w:right="2650"/>
              <w:spacing w:after="0"/>
              <w:rPr>
                <w:sz w:val="20"/>
                <w:szCs w:val="20"/>
                <w:color w:val="auto"/>
              </w:rPr>
            </w:pPr>
            <w:r>
              <w:rPr>
                <w:rFonts w:ascii="Arial" w:cs="Arial" w:eastAsia="Arial" w:hAnsi="Arial"/>
                <w:sz w:val="18"/>
                <w:szCs w:val="18"/>
                <w:color w:val="auto"/>
              </w:rPr>
              <w:t>12/29/2011</w:t>
            </w: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080"/>
          </w:cols>
          <w:pgMar w:left="940" w:top="490" w:right="8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00" w:lineRule="exact"/>
        <w:rPr>
          <w:sz w:val="20"/>
          <w:szCs w:val="20"/>
          <w:color w:val="auto"/>
        </w:rPr>
      </w:pPr>
    </w:p>
    <w:p>
      <w:pPr>
        <w:spacing w:after="0" w:line="3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(Forms S-8 No. 333-120012 and No. 333-159313) pertaining to various stock incentive plans of Build-A-Bear Workshop, Inc. and Subsidiaries of our reports dated March 15, 2012, with respect to the consolidated financial statements and schedule of Build-A-Bear Workshop, Inc. and Subsidiaries, and the effectiveness of internal control over financial reporting of Build-A-Bear Workshop, Inc. and Subsidiaries, included in this Annual Report (Form 10-K) for the year-ended December 31,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statements (Nos. 333-120012 and 333-159313) on Form S-8 of Build-A-Bear Workshop, Inc. and subsidiaries of our report dated March 17, 2011, with respect to the consolidated balance sheet of Build-A-Bear Workshop, Inc. and subsidiaries as of January 1, 2011, and the related consolidated statements of operations, stockholders’ equity, and cash flows, for each of the fiscal years in the two-year period ended January 1, 2011, which report appears in the December 31, 2011annual report on Form 10-K of Build-A-Bear Workshop, Inc. and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2012</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Maxine Clark, certify that:</w:t>
      </w:r>
    </w:p>
    <w:p>
      <w:pPr>
        <w:spacing w:after="0" w:line="279" w:lineRule="exact"/>
        <w:rPr>
          <w:sz w:val="20"/>
          <w:szCs w:val="20"/>
          <w:color w:val="auto"/>
        </w:rPr>
      </w:pPr>
    </w:p>
    <w:p>
      <w:pPr>
        <w:ind w:left="920" w:hanging="480"/>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460" w:right="140" w:firstLine="7"/>
        <w:spacing w:after="0" w:line="264" w:lineRule="auto"/>
        <w:tabs>
          <w:tab w:leader="none" w:pos="170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460" w:right="20" w:firstLine="7"/>
        <w:spacing w:after="0" w:line="264" w:lineRule="auto"/>
        <w:tabs>
          <w:tab w:leader="none" w:pos="171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1460" w:firstLine="7"/>
        <w:spacing w:after="0" w:line="342" w:lineRule="auto"/>
        <w:tabs>
          <w:tab w:leader="none" w:pos="1705"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60" w:right="360" w:firstLine="7"/>
        <w:spacing w:after="0" w:line="264" w:lineRule="auto"/>
        <w:tabs>
          <w:tab w:leader="none" w:pos="171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60" w:right="220" w:firstLine="7"/>
        <w:spacing w:after="0" w:line="308" w:lineRule="auto"/>
        <w:tabs>
          <w:tab w:leader="none" w:pos="1705"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1460" w:right="500" w:firstLine="7"/>
        <w:spacing w:after="0" w:line="277" w:lineRule="auto"/>
        <w:tabs>
          <w:tab w:leader="none" w:pos="171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March 15, 2012</w:t>
      </w:r>
      <w:r>
        <w:rPr>
          <w:sz w:val="20"/>
          <w:szCs w:val="20"/>
          <w:color w:val="auto"/>
        </w:rPr>
        <w:tab/>
      </w:r>
      <w:r>
        <w:rPr>
          <w:rFonts w:ascii="Arial" w:cs="Arial" w:eastAsia="Arial" w:hAnsi="Arial"/>
          <w:sz w:val="16"/>
          <w:szCs w:val="16"/>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79" w:lineRule="exact"/>
        <w:rPr>
          <w:sz w:val="20"/>
          <w:szCs w:val="20"/>
          <w:color w:val="auto"/>
        </w:rPr>
      </w:pPr>
    </w:p>
    <w:p>
      <w:pPr>
        <w:ind w:left="920" w:hanging="480"/>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79"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1460" w:right="140" w:firstLine="7"/>
        <w:spacing w:after="0" w:line="264" w:lineRule="auto"/>
        <w:tabs>
          <w:tab w:leader="none" w:pos="170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1460" w:right="20" w:firstLine="7"/>
        <w:spacing w:after="0" w:line="264" w:lineRule="auto"/>
        <w:tabs>
          <w:tab w:leader="none" w:pos="171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1460" w:firstLine="7"/>
        <w:spacing w:after="0" w:line="342" w:lineRule="auto"/>
        <w:tabs>
          <w:tab w:leader="none" w:pos="1705"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1460" w:right="360" w:firstLine="7"/>
        <w:spacing w:after="0" w:line="264" w:lineRule="auto"/>
        <w:tabs>
          <w:tab w:leader="none" w:pos="1715"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920" w:right="180" w:hanging="480"/>
        <w:spacing w:after="0" w:line="342" w:lineRule="auto"/>
        <w:tabs>
          <w:tab w:leader="none" w:pos="9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Arial" w:cs="Arial" w:eastAsia="Arial" w:hAnsi="Arial"/>
          <w:sz w:val="16"/>
          <w:szCs w:val="16"/>
          <w:color w:val="auto"/>
        </w:rPr>
      </w:pPr>
    </w:p>
    <w:p>
      <w:pPr>
        <w:ind w:left="1460" w:right="220" w:firstLine="7"/>
        <w:spacing w:after="0" w:line="308" w:lineRule="auto"/>
        <w:tabs>
          <w:tab w:leader="none" w:pos="1705"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1460" w:right="500" w:firstLine="7"/>
        <w:spacing w:after="0" w:line="277" w:lineRule="auto"/>
        <w:tabs>
          <w:tab w:leader="none" w:pos="171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March 15, 2012</w:t>
      </w:r>
      <w:r>
        <w:rPr>
          <w:sz w:val="20"/>
          <w:szCs w:val="20"/>
          <w:color w:val="auto"/>
        </w:rPr>
        <w:tab/>
      </w:r>
      <w:r>
        <w:rPr>
          <w:rFonts w:ascii="Arial" w:cs="Arial" w:eastAsia="Arial" w:hAnsi="Arial"/>
          <w:sz w:val="16"/>
          <w:szCs w:val="16"/>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Operations and Financial Bear, Treasurer and Secretary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December 31, 2011as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Maxine Clark</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Bear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December 31, 2011as filed with the Securities and Exchange Commission on the date hereof (the “Report”), I, Tina Klocke, Chief Operations and Financial Bear, Secretary and Treasurer of the Company, certify, to the best of my knowledge, pursuant to Rule 13a-14(b) and Section 1350 of Chapter 63 of Title 18 of the United States Code, as adopted pursuant to Section 906 of the Sarbanes-Oxley Act of 2002, that:</w:t>
      </w:r>
    </w:p>
    <w:p>
      <w:pPr>
        <w:spacing w:after="0" w:line="241" w:lineRule="exact"/>
        <w:rPr>
          <w:sz w:val="20"/>
          <w:szCs w:val="20"/>
          <w:color w:val="auto"/>
        </w:rPr>
      </w:pPr>
    </w:p>
    <w:p>
      <w:pPr>
        <w:ind w:left="740" w:hanging="246"/>
        <w:spacing w:after="0"/>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740" w:hanging="246"/>
        <w:spacing w:after="0"/>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Tina Klocke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Operations and Financial Bear, Treasurer and Secretary</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RIDEMAKERZ, LLC</w:t>
      </w:r>
    </w:p>
    <w:p>
      <w:pPr>
        <w:spacing w:after="0" w:line="29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Financial Statements</w:t>
      </w:r>
    </w:p>
    <w:p>
      <w:pPr>
        <w:spacing w:after="0" w:line="287"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December 31, 2011 (Unaudited)</w:t>
      </w:r>
    </w:p>
    <w:p>
      <w:pPr>
        <w:spacing w:after="0" w:line="28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January 1, 2011(Unaudited) and January 2, 2010 (With Independent Auditors’ Report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614045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RIDEMAKERZ, LLC</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1460" w:type="dxa"/>
            <w:vAlign w:val="bottom"/>
            <w:gridSpan w:val="2"/>
          </w:tcPr>
          <w:p>
            <w:pPr>
              <w:ind w:left="760"/>
              <w:spacing w:after="0"/>
              <w:rPr>
                <w:sz w:val="20"/>
                <w:szCs w:val="20"/>
                <w:color w:val="auto"/>
              </w:rPr>
            </w:pPr>
            <w:r>
              <w:rPr>
                <w:rFonts w:ascii="Arial" w:cs="Arial" w:eastAsia="Arial" w:hAnsi="Arial"/>
                <w:sz w:val="22"/>
                <w:szCs w:val="22"/>
                <w:b w:val="1"/>
                <w:bCs w:val="1"/>
                <w:color w:val="auto"/>
                <w:w w:val="85"/>
              </w:rPr>
              <w:t>Page(s)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960" w:type="dxa"/>
            <w:vAlign w:val="bottom"/>
            <w:shd w:val="clear" w:color="auto" w:fill="C0FFFF"/>
          </w:tcPr>
          <w:p>
            <w:pPr>
              <w:spacing w:after="0"/>
              <w:rPr>
                <w:sz w:val="20"/>
                <w:szCs w:val="20"/>
                <w:color w:val="auto"/>
              </w:rPr>
            </w:pPr>
            <w:r>
              <w:rPr>
                <w:rFonts w:ascii="Arial" w:cs="Arial" w:eastAsia="Arial" w:hAnsi="Arial"/>
                <w:sz w:val="18"/>
                <w:szCs w:val="18"/>
                <w:color w:val="auto"/>
              </w:rPr>
              <w:t>Independent Auditors’ Report</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shd w:val="clear" w:color="auto" w:fill="C0FFFF"/>
          </w:tcPr>
          <w:p>
            <w:pPr>
              <w:spacing w:after="0"/>
              <w:rPr>
                <w:sz w:val="20"/>
                <w:szCs w:val="20"/>
                <w:color w:val="auto"/>
              </w:rPr>
            </w:pPr>
            <w:r>
              <w:rPr>
                <w:rFonts w:ascii="Arial" w:cs="Arial" w:eastAsia="Arial" w:hAnsi="Arial"/>
                <w:sz w:val="18"/>
                <w:szCs w:val="18"/>
                <w:color w:val="auto"/>
              </w:rPr>
              <w:t>Balance Sheets as of December 31, 2011 (unaudited), January 1, 2011(unaudited) and January 2, 2010</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shd w:val="clear" w:color="auto" w:fill="C0FFFF"/>
          </w:tcPr>
          <w:p>
            <w:pPr>
              <w:spacing w:after="0"/>
              <w:rPr>
                <w:sz w:val="20"/>
                <w:szCs w:val="20"/>
                <w:color w:val="auto"/>
              </w:rPr>
            </w:pPr>
            <w:r>
              <w:rPr>
                <w:rFonts w:ascii="Arial" w:cs="Arial" w:eastAsia="Arial" w:hAnsi="Arial"/>
                <w:sz w:val="18"/>
                <w:szCs w:val="18"/>
                <w:color w:val="auto"/>
                <w:w w:val="96"/>
              </w:rPr>
              <w:t>Statements of Operations for the years ended December 31, 2011 (unaudited), January 1, 2011 (unaudited) and January 2, 2010</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9"/>
              </w:rPr>
              <w:t>Statements of Members’ Equity (Deficit) for the years ended December 31, 2011 (unaudited), January 1, 2011(unaudited) and</w:t>
            </w:r>
          </w:p>
        </w:tc>
        <w:tc>
          <w:tcPr>
            <w:tcW w:w="1440" w:type="dxa"/>
            <w:vAlign w:val="bottom"/>
            <w:shd w:val="clear" w:color="auto" w:fill="C0FFFF"/>
          </w:tcPr>
          <w:p>
            <w:pPr>
              <w:jc w:val="right"/>
              <w:spacing w:after="0" w:line="201"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60" w:type="dxa"/>
            <w:vAlign w:val="bottom"/>
            <w:shd w:val="clear" w:color="auto" w:fill="C0FFFF"/>
          </w:tcPr>
          <w:p>
            <w:pPr>
              <w:spacing w:after="0"/>
              <w:rPr>
                <w:sz w:val="20"/>
                <w:szCs w:val="20"/>
                <w:color w:val="auto"/>
              </w:rPr>
            </w:pPr>
            <w:r>
              <w:rPr>
                <w:rFonts w:ascii="Arial" w:cs="Arial" w:eastAsia="Arial" w:hAnsi="Arial"/>
                <w:sz w:val="18"/>
                <w:szCs w:val="18"/>
                <w:color w:val="auto"/>
              </w:rPr>
              <w:t>January 2, 2010</w:t>
            </w:r>
          </w:p>
        </w:tc>
        <w:tc>
          <w:tcPr>
            <w:tcW w:w="14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shd w:val="clear" w:color="auto" w:fill="C0FFFF"/>
          </w:tcPr>
          <w:p>
            <w:pPr>
              <w:spacing w:after="0"/>
              <w:rPr>
                <w:sz w:val="20"/>
                <w:szCs w:val="20"/>
                <w:color w:val="auto"/>
              </w:rPr>
            </w:pPr>
            <w:r>
              <w:rPr>
                <w:rFonts w:ascii="Arial" w:cs="Arial" w:eastAsia="Arial" w:hAnsi="Arial"/>
                <w:sz w:val="18"/>
                <w:szCs w:val="18"/>
                <w:color w:val="auto"/>
                <w:w w:val="96"/>
              </w:rPr>
              <w:t>Statements of Cash Flows for the years ended December 31, 2011 (unaudited), January 1, 2011 (unaudited) and January 2, 2010</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Notes to Financial Statements</w:t>
            </w:r>
          </w:p>
        </w:tc>
        <w:tc>
          <w:tcPr>
            <w:tcW w:w="1440" w:type="dxa"/>
            <w:vAlign w:val="bottom"/>
            <w:shd w:val="clear" w:color="auto" w:fill="C0FFFF"/>
          </w:tcPr>
          <w:p>
            <w:pPr>
              <w:jc w:val="right"/>
              <w:spacing w:after="0" w:line="201" w:lineRule="exact"/>
              <w:rPr>
                <w:sz w:val="20"/>
                <w:szCs w:val="20"/>
                <w:color w:val="auto"/>
              </w:rPr>
            </w:pPr>
            <w:r>
              <w:rPr>
                <w:rFonts w:ascii="Arial" w:cs="Arial" w:eastAsia="Arial" w:hAnsi="Arial"/>
                <w:sz w:val="18"/>
                <w:szCs w:val="18"/>
                <w:color w:val="auto"/>
              </w:rPr>
              <w:t>6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60" w:type="dxa"/>
            <w:vAlign w:val="bottom"/>
            <w:shd w:val="clear" w:color="auto" w:fill="C0FFFF"/>
          </w:tcPr>
          <w:p>
            <w:pPr>
              <w:spacing w:after="0"/>
              <w:rPr>
                <w:sz w:val="20"/>
                <w:szCs w:val="20"/>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6"/>
        </w:trPr>
        <w:tc>
          <w:tcPr>
            <w:tcW w:w="20" w:type="dxa"/>
            <w:vAlign w:val="bottom"/>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Independent Auditors’ Report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Ridemakerz, LLC:</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We have audited the accompanying statements of operations, members’ equity (deficit) and cash flows of Ridemakerz, LLC (the Company) for the fiscal year ended January 2, 2010. These financial statements are the responsibility of the Company’s management. Our responsibility is to express an opinion on these financial statements based on our audit.</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210"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Company’s results of operations and cash flows for the fiscal year ended January 2, 2010, in conformity with U.S. generally accepted accounting principles.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The accompanying financial statements have been prepared assuming that the Company will continue as a going concern. As discussed in note 2 to the financial statements included as an exhibit to the January 2, 2010 annual report on Form 10-K/A of Build-A-Bear Workshop, Inc. and subsidiaries, the Company has incurred recurring net losses and has a working capital deficiency and a deficit in members’ equity at January 2, 2010. These matters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(signed) KPMG LLP</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St. Louis, Missouri</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April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RIDEMAKERZ,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2011 (unaudited), and January 1, 2011 (unaudited)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Assets</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 2011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January 1, 2011</w:t>
            </w: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3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2,704,511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1,451,791</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1,602,465</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2,087,619</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(26,829)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1,770,162</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Other receivable</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113,819</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26,604</w:t>
            </w: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4,632,092</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5,913,132</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3,177,116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5,761,365</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Other intangible assets, net of accumulated amortization of $770,565 and $10,224, respectively</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760,341</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299,465</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15,282</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0FFFF"/>
          </w:tcPr>
          <w:p>
            <w:pPr>
              <w:ind w:left="7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8,579,773</w:t>
            </w:r>
          </w:p>
        </w:tc>
        <w:tc>
          <w:tcPr>
            <w:tcW w:w="140" w:type="dxa"/>
            <w:vAlign w:val="bottom"/>
            <w:shd w:val="clear" w:color="auto" w:fill="C0FFFF"/>
          </w:tcPr>
          <w:p>
            <w:pPr>
              <w:spacing w:after="0"/>
              <w:rPr>
                <w:sz w:val="22"/>
                <w:szCs w:val="22"/>
                <w:color w:val="auto"/>
              </w:rPr>
            </w:pP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11,989,244</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0FFFF"/>
            </w:tcBorders>
          </w:tcPr>
          <w:p>
            <w:pPr>
              <w:ind w:left="2740"/>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393,818</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2,068,573</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Due to related parties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1,555,350</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1,626,531</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1,525,072</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569,044</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458,881</w:t>
            </w:r>
          </w:p>
        </w:tc>
      </w:tr>
      <w:tr>
        <w:trPr>
          <w:trHeight w:val="223"/>
        </w:trPr>
        <w:tc>
          <w:tcPr>
            <w:tcW w:w="20" w:type="dxa"/>
            <w:vAlign w:val="bottom"/>
          </w:tcPr>
          <w:p>
            <w:pPr>
              <w:spacing w:after="0"/>
              <w:rPr>
                <w:sz w:val="19"/>
                <w:szCs w:val="19"/>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Short-term note payable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5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4,765,230</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15,424,057</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469,112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791,977</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Mezzanine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Class A preferred units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14,056,568</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14,056,568</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Class B preferred units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13,270,139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13,270,139</w:t>
            </w: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Class C preferred units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12,982,610</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Members’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Common units</w:t>
            </w:r>
          </w:p>
        </w:tc>
        <w:tc>
          <w:tcPr>
            <w:tcW w:w="20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222,758</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87,490</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deficit</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(37,186,644)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(31,640,987)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ind w:left="700"/>
              <w:spacing w:after="0"/>
              <w:rPr>
                <w:sz w:val="20"/>
                <w:szCs w:val="20"/>
                <w:color w:val="auto"/>
              </w:rPr>
            </w:pPr>
            <w:r>
              <w:rPr>
                <w:rFonts w:ascii="Arial" w:cs="Arial" w:eastAsia="Arial" w:hAnsi="Arial"/>
                <w:sz w:val="18"/>
                <w:szCs w:val="18"/>
                <w:color w:val="auto"/>
              </w:rPr>
              <w:t>Total members’ equity</w:t>
            </w:r>
          </w:p>
        </w:tc>
        <w:tc>
          <w:tcPr>
            <w:tcW w:w="20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(36,963,886)</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(31,553,497)</w:t>
            </w:r>
          </w:p>
        </w:tc>
      </w:tr>
      <w:tr>
        <w:trPr>
          <w:trHeight w:val="27"/>
        </w:trPr>
        <w:tc>
          <w:tcPr>
            <w:tcW w:w="20" w:type="dxa"/>
            <w:vAlign w:val="bottom"/>
          </w:tcPr>
          <w:p>
            <w:pPr>
              <w:spacing w:after="0"/>
              <w:rPr>
                <w:sz w:val="2"/>
                <w:szCs w:val="2"/>
                <w:color w:val="auto"/>
              </w:rPr>
            </w:pPr>
          </w:p>
        </w:tc>
        <w:tc>
          <w:tcPr>
            <w:tcW w:w="810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Total liabilities and members’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8,579,773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11,989,244</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RIDEMAKERZ,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2011 (unaudited), January 1, 2011 (unaudited), and January 2, 2010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7"/>
              </w:rPr>
              <w:t>Years Ended</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66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January 1, 2011</w:t>
            </w:r>
          </w:p>
        </w:tc>
        <w:tc>
          <w:tcPr>
            <w:tcW w:w="14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January 2, 2010</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Net retail sales</w:t>
            </w: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14,512,710</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10,587,372</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7,145,899</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Wholesale revenue</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5,409,246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1,698,170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Slotting revenue</w:t>
            </w: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78,942</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200,687</w:t>
            </w: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19,921,956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12,364,484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7,346,586</w:t>
            </w: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shd w:val="clear" w:color="auto" w:fill="C0FFFF"/>
          </w:tcPr>
          <w:p>
            <w:pPr>
              <w:spacing w:after="0"/>
              <w:rPr>
                <w:sz w:val="18"/>
                <w:szCs w:val="18"/>
                <w:color w:val="auto"/>
              </w:rPr>
            </w:pPr>
          </w:p>
        </w:tc>
        <w:tc>
          <w:tcPr>
            <w:tcW w:w="130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36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12,104,106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8,048,446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6,568,514</w:t>
            </w: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12,437,039</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8,878,854</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8,853,139</w:t>
            </w: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Store preopening</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462,546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62,820</w:t>
            </w: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Store closing</w:t>
            </w: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630,175</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176,570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3,021,183</w:t>
            </w: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296,293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1,150,238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213,466</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700"/>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25,467,613</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18,716,654</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18,719,122</w:t>
            </w: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(5,545,657)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(6,352,170)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(11,372,536)</w:t>
            </w: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RIDEMAKERZ,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Members’ Equity (Deficit)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2011 (unaudited), January 1, 2011 (unaudited), and January 2, 2010</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Retained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deficit</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0FFFF"/>
          </w:tcPr>
          <w:p>
            <w:pPr>
              <w:spacing w:after="0"/>
              <w:rPr>
                <w:sz w:val="20"/>
                <w:szCs w:val="20"/>
                <w:color w:val="auto"/>
              </w:rPr>
            </w:pPr>
            <w:r>
              <w:rPr>
                <w:rFonts w:ascii="Arial" w:cs="Arial" w:eastAsia="Arial" w:hAnsi="Arial"/>
                <w:sz w:val="18"/>
                <w:szCs w:val="18"/>
                <w:color w:val="auto"/>
              </w:rPr>
              <w:t>Balance, January 3, 2009</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85,850</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(13,916,281)</w:t>
            </w:r>
          </w:p>
        </w:tc>
        <w:tc>
          <w:tcPr>
            <w:tcW w:w="32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(13,830,431)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Capital contributions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(11,372,536)</w:t>
            </w:r>
          </w:p>
        </w:tc>
        <w:tc>
          <w:tcPr>
            <w:tcW w:w="32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(11,372,536)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C0FF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Balance, January 2, 2010</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87,490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(25,288,817)</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(25,201,327)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0FFFF"/>
          </w:tcPr>
          <w:p>
            <w:pPr>
              <w:spacing w:after="0"/>
              <w:rPr>
                <w:sz w:val="20"/>
                <w:szCs w:val="20"/>
                <w:color w:val="auto"/>
              </w:rPr>
            </w:pPr>
            <w:r>
              <w:rPr>
                <w:rFonts w:ascii="Arial" w:cs="Arial" w:eastAsia="Arial" w:hAnsi="Arial"/>
                <w:sz w:val="18"/>
                <w:szCs w:val="18"/>
                <w:color w:val="auto"/>
              </w:rPr>
              <w:t>Net loss (unaudited)</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(6,352,170)</w:t>
            </w:r>
          </w:p>
        </w:tc>
        <w:tc>
          <w:tcPr>
            <w:tcW w:w="32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(6,352,170)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C0FF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Balance, January 1, 2011 (unaudited)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87,490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(31,640,987)</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(31,553,497)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0FFFF"/>
          </w:tcPr>
          <w:p>
            <w:pPr>
              <w:spacing w:after="0"/>
              <w:rPr>
                <w:sz w:val="20"/>
                <w:szCs w:val="20"/>
                <w:color w:val="auto"/>
              </w:rPr>
            </w:pPr>
            <w:r>
              <w:rPr>
                <w:rFonts w:ascii="Arial" w:cs="Arial" w:eastAsia="Arial" w:hAnsi="Arial"/>
                <w:sz w:val="18"/>
                <w:szCs w:val="18"/>
                <w:color w:val="auto"/>
              </w:rPr>
              <w:t>Capital contributions (unaudited)</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135,268</w:t>
            </w:r>
          </w:p>
        </w:tc>
        <w:tc>
          <w:tcPr>
            <w:tcW w:w="1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54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135,268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 (unaudited)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(5,545,657)</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(5,545,657)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shd w:val="clear" w:color="auto" w:fill="C0FFFF"/>
          </w:tcPr>
          <w:p>
            <w:pPr>
              <w:spacing w:after="0"/>
              <w:rPr>
                <w:sz w:val="20"/>
                <w:szCs w:val="20"/>
                <w:color w:val="auto"/>
              </w:rPr>
            </w:pPr>
            <w:r>
              <w:rPr>
                <w:rFonts w:ascii="Arial" w:cs="Arial" w:eastAsia="Arial" w:hAnsi="Arial"/>
                <w:sz w:val="18"/>
                <w:szCs w:val="18"/>
                <w:color w:val="auto"/>
              </w:rPr>
              <w:t>Balance, December 31, 2011 (unaudited)</w:t>
            </w:r>
          </w:p>
        </w:tc>
        <w:tc>
          <w:tcPr>
            <w:tcW w:w="15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222,758</w:t>
            </w:r>
          </w:p>
        </w:tc>
        <w:tc>
          <w:tcPr>
            <w:tcW w:w="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(37,186,644)</w:t>
            </w:r>
          </w:p>
        </w:tc>
        <w:tc>
          <w:tcPr>
            <w:tcW w:w="320" w:type="dxa"/>
            <w:vAlign w:val="bottom"/>
            <w:shd w:val="clear" w:color="auto" w:fill="C0FF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(36,963,886)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RIDEMAKERZ,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Years ended December 31, 2011 (unaudited), January 1, 2011 (unaudited), and January 2, 2010</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Years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5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 2011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1, 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January 2, 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36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tcBorders>
              <w:top w:val="single" w:sz="8" w:color="auto"/>
            </w:tcBorders>
            <w:shd w:val="clear" w:color="auto" w:fill="C0FFFF"/>
          </w:tcPr>
          <w:p>
            <w:pPr>
              <w:spacing w:after="0"/>
              <w:rPr>
                <w:sz w:val="18"/>
                <w:szCs w:val="18"/>
                <w:color w:val="auto"/>
              </w:rPr>
            </w:pPr>
          </w:p>
        </w:tc>
        <w:tc>
          <w:tcPr>
            <w:tcW w:w="13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(5,545,657)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(6,352,170)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(11,372,536)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(568,491)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2,502,917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2,601,423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40"/>
              <w:spacing w:after="0"/>
              <w:rPr>
                <w:sz w:val="20"/>
                <w:szCs w:val="20"/>
                <w:color w:val="auto"/>
              </w:rPr>
            </w:pPr>
            <w:r>
              <w:rPr>
                <w:rFonts w:ascii="Arial" w:cs="Arial" w:eastAsia="Arial" w:hAnsi="Arial"/>
                <w:sz w:val="18"/>
                <w:szCs w:val="18"/>
                <w:color w:val="auto"/>
              </w:rPr>
              <w:t>Impairment of store assets</w:t>
            </w:r>
          </w:p>
        </w:tc>
        <w:tc>
          <w:tcPr>
            <w:tcW w:w="18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415,658</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2,971,231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301,596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162,329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34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485,154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(56,044)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1,211,875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52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1,709,777</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(1,766,477)</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338,830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(410,857)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830,598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5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(3,967,712)</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1,196,152</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(682,687)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(324,331)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143,289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1,411,308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0FFFF"/>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0FFFF"/>
          </w:tcPr>
          <w:p>
            <w:pPr>
              <w:spacing w:after="0"/>
              <w:rPr>
                <w:sz w:val="19"/>
                <w:szCs w:val="19"/>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(7,155,176)</w:t>
            </w:r>
          </w:p>
        </w:tc>
        <w:tc>
          <w:tcPr>
            <w:tcW w:w="10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(4,580,861)</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4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(2,585,917)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2,446,790</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(2,742,651)</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(1,876,861)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(467,122)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(298,757)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(77,615)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0FF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0FFFF"/>
          </w:tcPr>
          <w:p>
            <w:pPr>
              <w:spacing w:after="0"/>
              <w:rPr>
                <w:sz w:val="19"/>
                <w:szCs w:val="19"/>
                <w:color w:val="auto"/>
              </w:rPr>
            </w:pP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1,979,668</w:t>
            </w:r>
          </w:p>
        </w:tc>
        <w:tc>
          <w:tcPr>
            <w:tcW w:w="10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5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(3,041,408)</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4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(1,954,476)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Proceeds from short-term borrowings</w:t>
            </w:r>
          </w:p>
        </w:tc>
        <w:tc>
          <w:tcPr>
            <w:tcW w:w="18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3,150,000</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8,468,822</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Repayments of short-term borrowings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(9,839,650)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(1,108,822)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Proceeds from capital investments by members</w:t>
            </w:r>
          </w:p>
        </w:tc>
        <w:tc>
          <w:tcPr>
            <w:tcW w:w="18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13,117,878</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1,074,650</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1,051,245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6,428,228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8,434,650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3,436,245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1,252,720</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812,381</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(1,104,148)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1,451,791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639,410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1,743,558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2,704,511</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1,451,791</w:t>
            </w: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639,410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 expenditures included in accounts payable</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592,146</w:t>
            </w:r>
          </w:p>
        </w:tc>
        <w:tc>
          <w:tcPr>
            <w:tcW w:w="1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183,555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157,779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4" w:name="page105"/>
    <w:bookmarkEnd w:id="104"/>
    <w:p>
      <w:pPr>
        <w:ind w:left="700" w:hanging="692"/>
        <w:spacing w:after="0"/>
        <w:tabs>
          <w:tab w:leader="none" w:pos="70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Business and Basis of Preparation</w:t>
      </w:r>
    </w:p>
    <w:p>
      <w:pPr>
        <w:spacing w:after="0" w:line="280" w:lineRule="exact"/>
        <w:rPr>
          <w:sz w:val="20"/>
          <w:szCs w:val="20"/>
          <w:color w:val="auto"/>
        </w:rPr>
      </w:pPr>
    </w:p>
    <w:p>
      <w:pPr>
        <w:jc w:val="both"/>
        <w:ind w:left="540"/>
        <w:spacing w:after="0" w:line="275" w:lineRule="auto"/>
        <w:rPr>
          <w:sz w:val="20"/>
          <w:szCs w:val="20"/>
          <w:color w:val="auto"/>
        </w:rPr>
      </w:pPr>
      <w:r>
        <w:rPr>
          <w:rFonts w:ascii="Arial" w:cs="Arial" w:eastAsia="Arial" w:hAnsi="Arial"/>
          <w:sz w:val="21"/>
          <w:szCs w:val="21"/>
          <w:color w:val="auto"/>
        </w:rPr>
        <w:t>Ridemakerz, LLC (the Company), a Delaware limited liability company, manufactures and distributes customizable toy vehicles directly through Company-owned specialty retail stores and indirectly, as a wholesaler, through The Disney Stores. The Company was formed in February 2006 as Retail Entertainment Concepts, LLC (REC). REC acquired the assets of Construct-A-Car in February 2006, changing its name to Ridemakerz, LLC in 2007. The Company opened its first store in May 2007. As of December 31, 2011, the Company operated four retail stores located in the United States as well as a Web store, and sold indirectly to customers through wholesale operations.</w:t>
      </w:r>
    </w:p>
    <w:p>
      <w:pPr>
        <w:spacing w:after="0" w:line="231"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color w:val="auto"/>
        </w:rPr>
        <w:t>The Company operates on a 52- or 53-week fiscal year ending on the Saturday closest to December 31. The periods presented in these financial statements are the fiscal years ended December 31, 2011 (fiscal 2011), January 1, 2011 (fiscal 2010) and January 2, 2010 (fiscal 2009), which each included 52 weeks. References to years in these financial statements relate to fiscal years or year ends rather than calendar years.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All amounts related to fiscal year ended December 31, 2011 and January 1, 2011 are unaudited.</w:t>
      </w:r>
    </w:p>
    <w:p>
      <w:pPr>
        <w:spacing w:after="0" w:line="268" w:lineRule="exact"/>
        <w:rPr>
          <w:sz w:val="20"/>
          <w:szCs w:val="20"/>
          <w:color w:val="auto"/>
        </w:rPr>
      </w:pPr>
    </w:p>
    <w:p>
      <w:pPr>
        <w:ind w:left="700" w:hanging="692"/>
        <w:spacing w:after="0"/>
        <w:tabs>
          <w:tab w:leader="none" w:pos="70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Liquidity</w:t>
      </w:r>
    </w:p>
    <w:p>
      <w:pPr>
        <w:spacing w:after="0" w:line="280" w:lineRule="exact"/>
        <w:rPr>
          <w:sz w:val="20"/>
          <w:szCs w:val="20"/>
          <w:color w:val="auto"/>
        </w:rPr>
      </w:pPr>
    </w:p>
    <w:p>
      <w:pPr>
        <w:jc w:val="both"/>
        <w:ind w:left="540"/>
        <w:spacing w:after="0" w:line="273" w:lineRule="auto"/>
        <w:rPr>
          <w:sz w:val="20"/>
          <w:szCs w:val="20"/>
          <w:color w:val="auto"/>
        </w:rPr>
      </w:pPr>
      <w:r>
        <w:rPr>
          <w:rFonts w:ascii="Arial" w:cs="Arial" w:eastAsia="Arial" w:hAnsi="Arial"/>
          <w:sz w:val="21"/>
          <w:szCs w:val="21"/>
          <w:color w:val="auto"/>
        </w:rPr>
        <w:t>The Company incurred a net loss in fiscal 2010 and fiscal 2009 of approximately $6.4 million and $11.4 million, respectively, and additionally a net loss of approximately $5.5 million for fiscal 2011. Cash flows used in operating activities in 2010 and 2009 totaled approximately $4.6 million and $2.6 million, respectively, and approximately $7.9 million for fiscal 2011. As of December 31, 2011, the Company had approximately $2.7 million in cash and cash equivalents. To fund the operations and invest in strategic growth initiatives in fiscal 2012 and beyond, the Company will be required to obtain alternative financing, raise additional capital through additional equity offerings, or some combination thereof, which the Company has historically been able to do through existing investor relationships.</w:t>
      </w:r>
    </w:p>
    <w:p>
      <w:pPr>
        <w:spacing w:after="0" w:line="238" w:lineRule="exact"/>
        <w:rPr>
          <w:sz w:val="20"/>
          <w:szCs w:val="20"/>
          <w:color w:val="auto"/>
        </w:rPr>
      </w:pPr>
    </w:p>
    <w:p>
      <w:pPr>
        <w:jc w:val="both"/>
        <w:ind w:left="540"/>
        <w:spacing w:after="0" w:line="309" w:lineRule="auto"/>
        <w:rPr>
          <w:sz w:val="20"/>
          <w:szCs w:val="20"/>
          <w:color w:val="auto"/>
        </w:rPr>
      </w:pPr>
      <w:r>
        <w:rPr>
          <w:rFonts w:ascii="Arial" w:cs="Arial" w:eastAsia="Arial" w:hAnsi="Arial"/>
          <w:sz w:val="19"/>
          <w:szCs w:val="19"/>
          <w:color w:val="auto"/>
        </w:rPr>
        <w:t>The Company has undertaken certain initiatives to decrease the losses incurred and implement a new strategic direction in an effort to transform the Company into a profitable business enterprise. These initiatives include managing the overall cost structure of the Company, continuing to pursue and further expand upon wholesale opportunities through partnering with large, global entertainment organizations, and expanding and growing the Company’s retail base. Management’s goal with respect to the new strategic direction is to exploit this concept to a larger consumer base and distribution platform while maintaining the “experience” aspect of the build your own car concept.</w:t>
      </w:r>
    </w:p>
    <w:p>
      <w:pPr>
        <w:spacing w:after="0" w:line="183" w:lineRule="exact"/>
        <w:rPr>
          <w:sz w:val="20"/>
          <w:szCs w:val="20"/>
          <w:color w:val="auto"/>
        </w:rPr>
      </w:pPr>
    </w:p>
    <w:p>
      <w:pPr>
        <w:ind w:left="700" w:hanging="692"/>
        <w:spacing w:after="0"/>
        <w:tabs>
          <w:tab w:leader="none" w:pos="70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w:t>
      </w:r>
    </w:p>
    <w:p>
      <w:pPr>
        <w:spacing w:after="0" w:line="280" w:lineRule="exact"/>
        <w:rPr>
          <w:sz w:val="20"/>
          <w:szCs w:val="20"/>
          <w:color w:val="auto"/>
        </w:rPr>
      </w:pPr>
    </w:p>
    <w:p>
      <w:pPr>
        <w:ind w:left="540"/>
        <w:spacing w:after="0" w:line="276" w:lineRule="auto"/>
        <w:rPr>
          <w:sz w:val="20"/>
          <w:szCs w:val="20"/>
          <w:color w:val="auto"/>
        </w:rPr>
      </w:pPr>
      <w:r>
        <w:rPr>
          <w:rFonts w:ascii="Arial" w:cs="Arial" w:eastAsia="Arial" w:hAnsi="Arial"/>
          <w:sz w:val="22"/>
          <w:szCs w:val="22"/>
          <w:color w:val="auto"/>
        </w:rPr>
        <w:t>A summary of the Company’s significant accounting policies applied in the preparation of the accompanying financial statements follows:</w:t>
      </w:r>
    </w:p>
    <w:p>
      <w:pPr>
        <w:spacing w:after="0" w:line="215" w:lineRule="exact"/>
        <w:rPr>
          <w:sz w:val="20"/>
          <w:szCs w:val="20"/>
          <w:color w:val="auto"/>
        </w:rPr>
      </w:pPr>
    </w:p>
    <w:p>
      <w:pPr>
        <w:ind w:left="1240" w:hanging="692"/>
        <w:spacing w:after="0"/>
        <w:tabs>
          <w:tab w:leader="none" w:pos="1240" w:val="left"/>
        </w:tabs>
        <w:numPr>
          <w:ilvl w:val="0"/>
          <w:numId w:val="9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Cash and Cash Equivalents</w:t>
      </w:r>
    </w:p>
    <w:p>
      <w:pPr>
        <w:spacing w:after="0" w:line="274" w:lineRule="exact"/>
        <w:rPr>
          <w:sz w:val="20"/>
          <w:szCs w:val="20"/>
          <w:color w:val="auto"/>
        </w:rPr>
      </w:pPr>
    </w:p>
    <w:p>
      <w:pPr>
        <w:jc w:val="both"/>
        <w:ind w:left="1080" w:right="20"/>
        <w:spacing w:after="0" w:line="276" w:lineRule="auto"/>
        <w:rPr>
          <w:sz w:val="20"/>
          <w:szCs w:val="20"/>
          <w:color w:val="auto"/>
        </w:rPr>
      </w:pPr>
      <w:r>
        <w:rPr>
          <w:rFonts w:ascii="Arial" w:cs="Arial" w:eastAsia="Arial" w:hAnsi="Arial"/>
          <w:sz w:val="22"/>
          <w:szCs w:val="22"/>
          <w:color w:val="auto"/>
        </w:rPr>
        <w:t>Cash and cash equivalents include cash and short-term highly liquid investments with an original maturity of three months or less held in domestic financial institutions.</w:t>
      </w:r>
    </w:p>
    <w:p>
      <w:pPr>
        <w:spacing w:after="0" w:line="228" w:lineRule="exact"/>
        <w:rPr>
          <w:sz w:val="20"/>
          <w:szCs w:val="20"/>
          <w:color w:val="auto"/>
        </w:rPr>
      </w:pPr>
    </w:p>
    <w:p>
      <w:pPr>
        <w:jc w:val="both"/>
        <w:ind w:left="1080"/>
        <w:spacing w:after="0" w:line="266" w:lineRule="auto"/>
        <w:rPr>
          <w:sz w:val="20"/>
          <w:szCs w:val="20"/>
          <w:color w:val="auto"/>
        </w:rPr>
      </w:pPr>
      <w:r>
        <w:rPr>
          <w:rFonts w:ascii="Arial" w:cs="Arial" w:eastAsia="Arial" w:hAnsi="Arial"/>
          <w:sz w:val="22"/>
          <w:szCs w:val="22"/>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05" w:name="page106"/>
    <w:bookmarkEnd w:id="105"/>
    <w:p>
      <w:pPr>
        <w:ind w:left="700" w:hanging="692"/>
        <w:spacing w:after="0"/>
        <w:tabs>
          <w:tab w:leader="none" w:pos="700" w:val="left"/>
        </w:tabs>
        <w:numPr>
          <w:ilvl w:val="0"/>
          <w:numId w:val="9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Inventories</w:t>
      </w:r>
    </w:p>
    <w:p>
      <w:pPr>
        <w:spacing w:after="0" w:line="287" w:lineRule="exact"/>
        <w:rPr>
          <w:sz w:val="20"/>
          <w:szCs w:val="20"/>
          <w:color w:val="auto"/>
        </w:rPr>
      </w:pPr>
    </w:p>
    <w:p>
      <w:pPr>
        <w:jc w:val="both"/>
        <w:ind w:left="540"/>
        <w:spacing w:after="0" w:line="266" w:lineRule="auto"/>
        <w:rPr>
          <w:sz w:val="20"/>
          <w:szCs w:val="20"/>
          <w:color w:val="auto"/>
        </w:rPr>
      </w:pPr>
      <w:r>
        <w:rPr>
          <w:rFonts w:ascii="Arial" w:cs="Arial" w:eastAsia="Arial" w:hAnsi="Arial"/>
          <w:sz w:val="22"/>
          <w:szCs w:val="22"/>
          <w:color w:val="auto"/>
        </w:rPr>
        <w:t>Inventories are stated at the lower of cost or market, with cost determined on an average-cost basis. Inventory included supplies of $209,122 as of January 1, 2011, respectively, and $165,995 as of December 31, 2011. All other inventories are finished goods.</w:t>
      </w:r>
    </w:p>
    <w:p>
      <w:pPr>
        <w:spacing w:after="0" w:line="239" w:lineRule="exact"/>
        <w:rPr>
          <w:sz w:val="20"/>
          <w:szCs w:val="20"/>
          <w:color w:val="auto"/>
        </w:rPr>
      </w:pPr>
    </w:p>
    <w:p>
      <w:pPr>
        <w:ind w:left="680" w:hanging="672"/>
        <w:spacing w:after="0"/>
        <w:tabs>
          <w:tab w:leader="none" w:pos="680" w:val="left"/>
        </w:tabs>
        <w:numPr>
          <w:ilvl w:val="0"/>
          <w:numId w:val="9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Receivables</w:t>
      </w:r>
    </w:p>
    <w:p>
      <w:pPr>
        <w:spacing w:after="0" w:line="287" w:lineRule="exact"/>
        <w:rPr>
          <w:sz w:val="20"/>
          <w:szCs w:val="20"/>
          <w:color w:val="auto"/>
        </w:rPr>
      </w:pPr>
    </w:p>
    <w:p>
      <w:pPr>
        <w:jc w:val="both"/>
        <w:ind w:left="540" w:right="20"/>
        <w:spacing w:after="0" w:line="317" w:lineRule="auto"/>
        <w:rPr>
          <w:sz w:val="20"/>
          <w:szCs w:val="20"/>
          <w:color w:val="auto"/>
        </w:rPr>
      </w:pPr>
      <w:r>
        <w:rPr>
          <w:rFonts w:ascii="Arial" w:cs="Arial" w:eastAsia="Arial" w:hAnsi="Arial"/>
          <w:sz w:val="19"/>
          <w:szCs w:val="19"/>
          <w:color w:val="auto"/>
        </w:rPr>
        <w:t>Receivables consist primarily of amounts due to the Company in relation to wholesale sales orders. The Company assesses the collectability of all receivables on an ongoing basis by considering its historical credit loss experience, current economic conditions, and other relevant factors. Based on this analysis, the Company has determined that no allowance for doubtful accounts was necessary at December 31, 2011, January 1, 2011.</w:t>
      </w:r>
    </w:p>
    <w:p>
      <w:pPr>
        <w:spacing w:after="0" w:line="196" w:lineRule="exact"/>
        <w:rPr>
          <w:sz w:val="20"/>
          <w:szCs w:val="20"/>
          <w:color w:val="auto"/>
        </w:rPr>
      </w:pPr>
    </w:p>
    <w:p>
      <w:pPr>
        <w:ind w:left="700" w:hanging="692"/>
        <w:spacing w:after="0"/>
        <w:tabs>
          <w:tab w:leader="none" w:pos="700" w:val="left"/>
        </w:tabs>
        <w:numPr>
          <w:ilvl w:val="0"/>
          <w:numId w:val="9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Property and Equipment</w:t>
      </w:r>
    </w:p>
    <w:p>
      <w:pPr>
        <w:spacing w:after="0" w:line="287" w:lineRule="exact"/>
        <w:rPr>
          <w:sz w:val="20"/>
          <w:szCs w:val="20"/>
          <w:color w:val="auto"/>
        </w:rPr>
      </w:pPr>
    </w:p>
    <w:p>
      <w:pPr>
        <w:jc w:val="both"/>
        <w:ind w:left="540"/>
        <w:spacing w:after="0" w:line="272" w:lineRule="auto"/>
        <w:rPr>
          <w:sz w:val="20"/>
          <w:szCs w:val="20"/>
          <w:color w:val="auto"/>
        </w:rPr>
      </w:pPr>
      <w:r>
        <w:rPr>
          <w:rFonts w:ascii="Arial" w:cs="Arial" w:eastAsia="Arial" w:hAnsi="Arial"/>
          <w:sz w:val="21"/>
          <w:szCs w:val="21"/>
          <w:color w:val="auto"/>
        </w:rPr>
        <w:t>Property and equipment consist of leasehold improvements, furniture and fixtures, and computer equipment and software and are stated at cost. Leasehold improvements are depreciated using the straight-line method over the shorter of the useful life of the assets or the life of the lease. Furniture and fixtures and computer equipment are depreciated using the straight-line method over the estimated service lives ranging from three to seven years. Computer software is amortized using the straight-line method over a period of three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224" w:lineRule="exact"/>
        <w:rPr>
          <w:sz w:val="20"/>
          <w:szCs w:val="20"/>
          <w:color w:val="auto"/>
        </w:rPr>
      </w:pPr>
    </w:p>
    <w:p>
      <w:pPr>
        <w:ind w:left="680" w:hanging="672"/>
        <w:spacing w:after="0"/>
        <w:tabs>
          <w:tab w:leader="none" w:pos="680" w:val="left"/>
        </w:tabs>
        <w:numPr>
          <w:ilvl w:val="0"/>
          <w:numId w:val="9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Other Intangible Assets</w:t>
      </w:r>
    </w:p>
    <w:p>
      <w:pPr>
        <w:spacing w:after="0" w:line="274" w:lineRule="exact"/>
        <w:rPr>
          <w:sz w:val="20"/>
          <w:szCs w:val="20"/>
          <w:color w:val="auto"/>
        </w:rPr>
      </w:pPr>
    </w:p>
    <w:p>
      <w:pPr>
        <w:jc w:val="both"/>
        <w:ind w:left="540"/>
        <w:spacing w:after="0" w:line="284" w:lineRule="auto"/>
        <w:rPr>
          <w:sz w:val="20"/>
          <w:szCs w:val="20"/>
          <w:color w:val="auto"/>
        </w:rPr>
      </w:pPr>
      <w:r>
        <w:rPr>
          <w:rFonts w:ascii="Arial" w:cs="Arial" w:eastAsia="Arial" w:hAnsi="Arial"/>
          <w:sz w:val="21"/>
          <w:szCs w:val="21"/>
          <w:color w:val="auto"/>
        </w:rPr>
        <w:t>Other intangible assets consist primarily of initial costs related to trademarks, patents, and other intellectual property. Trademarks, patents, and other intellectual property represent third-party costs that are capitalized and amortized over their estimated lives ranging from one to three years using the straight-line method.</w:t>
      </w:r>
    </w:p>
    <w:p>
      <w:pPr>
        <w:spacing w:after="0" w:line="210" w:lineRule="exact"/>
        <w:rPr>
          <w:sz w:val="20"/>
          <w:szCs w:val="20"/>
          <w:color w:val="auto"/>
        </w:rPr>
      </w:pPr>
    </w:p>
    <w:p>
      <w:pPr>
        <w:ind w:left="720" w:hanging="712"/>
        <w:spacing w:after="0"/>
        <w:tabs>
          <w:tab w:leader="none" w:pos="720" w:val="left"/>
        </w:tabs>
        <w:numPr>
          <w:ilvl w:val="0"/>
          <w:numId w:val="10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Mold Assets</w:t>
      </w:r>
    </w:p>
    <w:p>
      <w:pPr>
        <w:spacing w:after="0" w:line="274"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color w:val="auto"/>
        </w:rPr>
        <w:t>Mold assets are costs to design and create molds used in the manufacture of bodies, chassis, and accessories. Mold assets are amortized over one to five years. Certain molds are created in conjunction with an agreement with an auto manufacturer or entertainment licensor. Amortization expense related to molds was $386,036 fiscal 2010, and $357,730 for fiscal 2011.</w:t>
      </w:r>
    </w:p>
    <w:p>
      <w:pPr>
        <w:spacing w:after="0" w:line="228" w:lineRule="exact"/>
        <w:rPr>
          <w:sz w:val="20"/>
          <w:szCs w:val="20"/>
          <w:color w:val="auto"/>
        </w:rPr>
      </w:pPr>
    </w:p>
    <w:p>
      <w:pPr>
        <w:ind w:left="700" w:hanging="692"/>
        <w:spacing w:after="0"/>
        <w:tabs>
          <w:tab w:leader="none" w:pos="700" w:val="left"/>
        </w:tabs>
        <w:numPr>
          <w:ilvl w:val="0"/>
          <w:numId w:val="10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Other Assets</w:t>
      </w:r>
    </w:p>
    <w:p>
      <w:pPr>
        <w:spacing w:after="0" w:line="274" w:lineRule="exact"/>
        <w:rPr>
          <w:sz w:val="20"/>
          <w:szCs w:val="20"/>
          <w:color w:val="auto"/>
        </w:rPr>
      </w:pPr>
    </w:p>
    <w:p>
      <w:pPr>
        <w:jc w:val="both"/>
        <w:ind w:left="540"/>
        <w:spacing w:after="0" w:line="317" w:lineRule="auto"/>
        <w:rPr>
          <w:sz w:val="20"/>
          <w:szCs w:val="20"/>
          <w:color w:val="auto"/>
        </w:rPr>
      </w:pPr>
      <w:r>
        <w:rPr>
          <w:rFonts w:ascii="Arial" w:cs="Arial" w:eastAsia="Arial" w:hAnsi="Arial"/>
          <w:sz w:val="19"/>
          <w:szCs w:val="19"/>
          <w:color w:val="auto"/>
        </w:rPr>
        <w:t>Other assets consist of deferred leasing and capital spend not yet in service. Deferred leasing fees are initial, direct costs related to the Company’s operating leases and are amortized over the term of the related. Capital spend not yet in service are costs related to the Company’s development of new mold assets. Amortization expense related to other assets, not including capital not yet in service, was $11,035 for fiscal 2010 and $2,135 for fiscal 2011.</w:t>
      </w:r>
    </w:p>
    <w:p>
      <w:pPr>
        <w:spacing w:after="0" w:line="183" w:lineRule="exact"/>
        <w:rPr>
          <w:sz w:val="20"/>
          <w:szCs w:val="20"/>
          <w:color w:val="auto"/>
        </w:rPr>
      </w:pPr>
    </w:p>
    <w:p>
      <w:pPr>
        <w:ind w:left="700" w:hanging="692"/>
        <w:spacing w:after="0"/>
        <w:tabs>
          <w:tab w:leader="none" w:pos="700" w:val="left"/>
        </w:tabs>
        <w:numPr>
          <w:ilvl w:val="0"/>
          <w:numId w:val="10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Long-Lived Assets</w:t>
      </w:r>
    </w:p>
    <w:p>
      <w:pPr>
        <w:spacing w:after="0" w:line="274" w:lineRule="exact"/>
        <w:rPr>
          <w:sz w:val="20"/>
          <w:szCs w:val="20"/>
          <w:color w:val="auto"/>
        </w:rPr>
      </w:pPr>
    </w:p>
    <w:p>
      <w:pPr>
        <w:jc w:val="both"/>
        <w:ind w:left="540"/>
        <w:spacing w:after="0" w:line="261" w:lineRule="auto"/>
        <w:rPr>
          <w:sz w:val="20"/>
          <w:szCs w:val="20"/>
          <w:color w:val="auto"/>
        </w:rPr>
      </w:pPr>
      <w:r>
        <w:rPr>
          <w:rFonts w:ascii="Arial" w:cs="Arial" w:eastAsia="Arial" w:hAnsi="Arial"/>
          <w:sz w:val="22"/>
          <w:szCs w:val="22"/>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(see Note 4 for further discussion regarding the impairment of long-lived assets).</w:t>
      </w:r>
    </w:p>
    <w:p>
      <w:pPr>
        <w:spacing w:after="0" w:line="38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50" w:right="239" w:bottom="1440" w:gutter="0" w:footer="0" w:header="0"/>
        </w:sectPr>
      </w:pPr>
    </w:p>
    <w:bookmarkStart w:id="106" w:name="page107"/>
    <w:bookmarkEnd w:id="106"/>
    <w:p>
      <w:pPr>
        <w:jc w:val="both"/>
        <w:ind w:left="540"/>
        <w:spacing w:after="0" w:line="263" w:lineRule="auto"/>
        <w:rPr>
          <w:sz w:val="20"/>
          <w:szCs w:val="20"/>
          <w:color w:val="auto"/>
        </w:rPr>
      </w:pPr>
      <w:r>
        <w:rPr>
          <w:rFonts w:ascii="Arial" w:cs="Arial" w:eastAsia="Arial" w:hAnsi="Arial"/>
          <w:sz w:val="22"/>
          <w:szCs w:val="22"/>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228" w:lineRule="exact"/>
        <w:rPr>
          <w:sz w:val="20"/>
          <w:szCs w:val="20"/>
          <w:color w:val="auto"/>
        </w:rPr>
      </w:pPr>
    </w:p>
    <w:p>
      <w:pPr>
        <w:ind w:left="700" w:hanging="692"/>
        <w:spacing w:after="0"/>
        <w:tabs>
          <w:tab w:leader="none" w:pos="700" w:val="left"/>
        </w:tabs>
        <w:numPr>
          <w:ilvl w:val="0"/>
          <w:numId w:val="10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Deferred Rent</w:t>
      </w:r>
    </w:p>
    <w:p>
      <w:pPr>
        <w:spacing w:after="0" w:line="274" w:lineRule="exact"/>
        <w:rPr>
          <w:sz w:val="20"/>
          <w:szCs w:val="20"/>
          <w:color w:val="auto"/>
        </w:rPr>
      </w:pPr>
    </w:p>
    <w:p>
      <w:pPr>
        <w:jc w:val="both"/>
        <w:ind w:left="540"/>
        <w:spacing w:after="0" w:line="305" w:lineRule="auto"/>
        <w:rPr>
          <w:sz w:val="20"/>
          <w:szCs w:val="20"/>
          <w:color w:val="auto"/>
        </w:rPr>
      </w:pPr>
      <w:r>
        <w:rPr>
          <w:rFonts w:ascii="Arial" w:cs="Arial" w:eastAsia="Arial" w:hAnsi="Arial"/>
          <w:sz w:val="19"/>
          <w:szCs w:val="19"/>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96" w:lineRule="exact"/>
        <w:rPr>
          <w:sz w:val="20"/>
          <w:szCs w:val="20"/>
          <w:color w:val="auto"/>
        </w:rPr>
      </w:pPr>
    </w:p>
    <w:p>
      <w:pPr>
        <w:ind w:left="700" w:hanging="692"/>
        <w:spacing w:after="0"/>
        <w:tabs>
          <w:tab w:leader="none" w:pos="700" w:val="left"/>
        </w:tabs>
        <w:numPr>
          <w:ilvl w:val="0"/>
          <w:numId w:val="10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Revenue Recognition</w:t>
      </w:r>
    </w:p>
    <w:p>
      <w:pPr>
        <w:spacing w:after="0" w:line="274" w:lineRule="exact"/>
        <w:rPr>
          <w:sz w:val="20"/>
          <w:szCs w:val="20"/>
          <w:color w:val="auto"/>
        </w:rPr>
      </w:pPr>
    </w:p>
    <w:p>
      <w:pPr>
        <w:jc w:val="both"/>
        <w:ind w:left="540"/>
        <w:spacing w:after="0" w:line="276" w:lineRule="auto"/>
        <w:rPr>
          <w:sz w:val="20"/>
          <w:szCs w:val="20"/>
          <w:color w:val="auto"/>
        </w:rPr>
      </w:pPr>
      <w:r>
        <w:rPr>
          <w:rFonts w:ascii="Arial" w:cs="Arial" w:eastAsia="Arial" w:hAnsi="Arial"/>
          <w:sz w:val="22"/>
          <w:szCs w:val="22"/>
          <w:color w:val="auto"/>
        </w:rPr>
        <w:t>Net retail sales are net of discounts and returns, exclude sales tax, and are recognized at the time of sale. Shipping and handling costs billed to customers are included in net retail sales.</w:t>
      </w:r>
    </w:p>
    <w:p>
      <w:pPr>
        <w:spacing w:after="0" w:line="228" w:lineRule="exact"/>
        <w:rPr>
          <w:sz w:val="20"/>
          <w:szCs w:val="20"/>
          <w:color w:val="auto"/>
        </w:rPr>
      </w:pPr>
    </w:p>
    <w:p>
      <w:pPr>
        <w:jc w:val="both"/>
        <w:ind w:left="540"/>
        <w:spacing w:after="0" w:line="301" w:lineRule="auto"/>
        <w:rPr>
          <w:sz w:val="20"/>
          <w:szCs w:val="20"/>
          <w:color w:val="auto"/>
        </w:rPr>
      </w:pPr>
      <w:r>
        <w:rPr>
          <w:rFonts w:ascii="Arial" w:cs="Arial" w:eastAsia="Arial" w:hAnsi="Arial"/>
          <w:sz w:val="21"/>
          <w:szCs w:val="21"/>
          <w:color w:val="auto"/>
        </w:rPr>
        <w:t>Net wholesale sales are net of discounts and allowances, exclude sales tax, and are recognized at the time of shipment to wholesale customer as title and risk of loss of loss transfer to the wholesale customer at this time.</w:t>
      </w:r>
    </w:p>
    <w:p>
      <w:pPr>
        <w:spacing w:after="0" w:line="205" w:lineRule="exact"/>
        <w:rPr>
          <w:sz w:val="20"/>
          <w:szCs w:val="20"/>
          <w:color w:val="auto"/>
        </w:rPr>
      </w:pPr>
    </w:p>
    <w:p>
      <w:pPr>
        <w:jc w:val="both"/>
        <w:ind w:left="540"/>
        <w:spacing w:after="0" w:line="261" w:lineRule="auto"/>
        <w:rPr>
          <w:sz w:val="20"/>
          <w:szCs w:val="20"/>
          <w:color w:val="auto"/>
        </w:rPr>
      </w:pPr>
      <w:r>
        <w:rPr>
          <w:rFonts w:ascii="Arial" w:cs="Arial" w:eastAsia="Arial" w:hAnsi="Arial"/>
          <w:sz w:val="22"/>
          <w:szCs w:val="22"/>
          <w:color w:val="auto"/>
        </w:rPr>
        <w:t>Revenues from the sale of gift cards are recognized at the time of redemption. Unredeemed gift cards are included in gift cards and customer deposits on the balance sheets. The Company escheats a portion of unredeemed gift cards according to Delaware escheatment regulations that require remittance of the cost of merchandise portion of unredeemed gift cards over five years old. The difference between the value of gift cards and the amount escheated is recorded as income in the statements of operations.</w:t>
      </w:r>
    </w:p>
    <w:p>
      <w:pPr>
        <w:spacing w:after="0" w:line="245" w:lineRule="exact"/>
        <w:rPr>
          <w:sz w:val="20"/>
          <w:szCs w:val="20"/>
          <w:color w:val="auto"/>
        </w:rPr>
      </w:pPr>
    </w:p>
    <w:p>
      <w:pPr>
        <w:jc w:val="both"/>
        <w:ind w:left="540"/>
        <w:spacing w:after="0" w:line="266" w:lineRule="auto"/>
        <w:rPr>
          <w:sz w:val="20"/>
          <w:szCs w:val="20"/>
          <w:color w:val="auto"/>
        </w:rPr>
      </w:pPr>
      <w:r>
        <w:rPr>
          <w:rFonts w:ascii="Arial" w:cs="Arial" w:eastAsia="Arial" w:hAnsi="Arial"/>
          <w:sz w:val="22"/>
          <w:szCs w:val="22"/>
          <w:color w:val="auto"/>
        </w:rPr>
        <w:t>Other revenue consists primarily of fees paid to the Company by certain vendors in exchange for dedicated facings in the Company’s retail stores. Revenues are recognized over the life of the related contract, based on the actual number of facings in stores.</w:t>
      </w:r>
    </w:p>
    <w:p>
      <w:pPr>
        <w:spacing w:after="0" w:line="226" w:lineRule="exact"/>
        <w:rPr>
          <w:sz w:val="20"/>
          <w:szCs w:val="20"/>
          <w:color w:val="auto"/>
        </w:rPr>
      </w:pPr>
    </w:p>
    <w:p>
      <w:pPr>
        <w:ind w:left="700" w:hanging="692"/>
        <w:spacing w:after="0"/>
        <w:tabs>
          <w:tab w:leader="none" w:pos="700" w:val="left"/>
        </w:tabs>
        <w:numPr>
          <w:ilvl w:val="0"/>
          <w:numId w:val="10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Cost of Merchandise Sold</w:t>
      </w:r>
    </w:p>
    <w:p>
      <w:pPr>
        <w:spacing w:after="0" w:line="274" w:lineRule="exact"/>
        <w:rPr>
          <w:sz w:val="20"/>
          <w:szCs w:val="20"/>
          <w:color w:val="auto"/>
        </w:rPr>
      </w:pPr>
    </w:p>
    <w:p>
      <w:pPr>
        <w:jc w:val="both"/>
        <w:ind w:left="540"/>
        <w:spacing w:after="0" w:line="317" w:lineRule="auto"/>
        <w:rPr>
          <w:sz w:val="20"/>
          <w:szCs w:val="20"/>
          <w:color w:val="auto"/>
        </w:rPr>
      </w:pPr>
      <w:r>
        <w:rPr>
          <w:rFonts w:ascii="Arial" w:cs="Arial" w:eastAsia="Arial" w:hAnsi="Arial"/>
          <w:sz w:val="19"/>
          <w:szCs w:val="19"/>
          <w:color w:val="auto"/>
        </w:rPr>
        <w:t>Cost of merchandise sold includes the cost of the merchandise, including royalties paid to licensors of third party branded merchandise; store occupancy cost, including store depreciation and store asset impairment charges; mold amortization; cost of warehousing and distribution; freight costs from the manufacturer to the store; packaging, damages, and shortages; product safety testing; and shipping and handling costs incurred in shipment to customers.</w:t>
      </w:r>
    </w:p>
    <w:p>
      <w:pPr>
        <w:spacing w:after="0" w:line="183" w:lineRule="exact"/>
        <w:rPr>
          <w:sz w:val="20"/>
          <w:szCs w:val="20"/>
          <w:color w:val="auto"/>
        </w:rPr>
      </w:pPr>
    </w:p>
    <w:p>
      <w:pPr>
        <w:ind w:left="700" w:hanging="692"/>
        <w:spacing w:after="0"/>
        <w:tabs>
          <w:tab w:leader="none" w:pos="700" w:val="left"/>
        </w:tabs>
        <w:numPr>
          <w:ilvl w:val="0"/>
          <w:numId w:val="10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Selling, General, and Administrative Expenses</w:t>
      </w:r>
    </w:p>
    <w:p>
      <w:pPr>
        <w:spacing w:after="0" w:line="274" w:lineRule="exact"/>
        <w:rPr>
          <w:sz w:val="20"/>
          <w:szCs w:val="20"/>
          <w:color w:val="auto"/>
        </w:rPr>
      </w:pPr>
    </w:p>
    <w:p>
      <w:pPr>
        <w:jc w:val="both"/>
        <w:ind w:left="540"/>
        <w:spacing w:after="0" w:line="261" w:lineRule="auto"/>
        <w:rPr>
          <w:sz w:val="20"/>
          <w:szCs w:val="20"/>
          <w:color w:val="auto"/>
        </w:rPr>
      </w:pPr>
      <w:r>
        <w:rPr>
          <w:rFonts w:ascii="Arial" w:cs="Arial" w:eastAsia="Arial" w:hAnsi="Arial"/>
          <w:sz w:val="22"/>
          <w:szCs w:val="22"/>
          <w:color w:val="auto"/>
        </w:rPr>
        <w:t>Selling, general, and administrative expenses include store payroll and related benefits, advertising, credit card fees, and store supplies, as well as central office management payroll and related benefits, travel, information systems, accounting, insurance, professional services, and public relations. It also includes depreciation and amortization of central office leasehold improvements, furniture, fixtures, and equipment, as well as amortization of trademarks and intellectual property.</w:t>
      </w:r>
    </w:p>
    <w:p>
      <w:pPr>
        <w:spacing w:after="0" w:line="38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50" w:right="239" w:bottom="1440" w:gutter="0" w:footer="0" w:header="0"/>
        </w:sectPr>
      </w:pPr>
    </w:p>
    <w:bookmarkStart w:id="107" w:name="page108"/>
    <w:bookmarkEnd w:id="107"/>
    <w:p>
      <w:pPr>
        <w:ind w:left="700" w:hanging="692"/>
        <w:spacing w:after="0"/>
        <w:tabs>
          <w:tab w:leader="none" w:pos="700" w:val="left"/>
        </w:tabs>
        <w:numPr>
          <w:ilvl w:val="0"/>
          <w:numId w:val="10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Store Preopening Expenses</w:t>
      </w:r>
    </w:p>
    <w:p>
      <w:pPr>
        <w:spacing w:after="0" w:line="274" w:lineRule="exact"/>
        <w:rPr>
          <w:sz w:val="20"/>
          <w:szCs w:val="20"/>
          <w:color w:val="auto"/>
        </w:rPr>
      </w:pPr>
    </w:p>
    <w:p>
      <w:pPr>
        <w:ind w:left="540"/>
        <w:spacing w:after="0" w:line="276" w:lineRule="auto"/>
        <w:rPr>
          <w:sz w:val="20"/>
          <w:szCs w:val="20"/>
          <w:color w:val="auto"/>
        </w:rPr>
      </w:pPr>
      <w:r>
        <w:rPr>
          <w:rFonts w:ascii="Arial" w:cs="Arial" w:eastAsia="Arial" w:hAnsi="Arial"/>
          <w:sz w:val="22"/>
          <w:szCs w:val="22"/>
          <w:color w:val="auto"/>
        </w:rPr>
        <w:t>Store preopening expenses, including store setup, certain labor and hiring costs, and rental charges incurred prior to store openings are expensed as incurred.</w:t>
      </w:r>
    </w:p>
    <w:p>
      <w:pPr>
        <w:spacing w:after="0" w:line="215" w:lineRule="exact"/>
        <w:rPr>
          <w:sz w:val="20"/>
          <w:szCs w:val="20"/>
          <w:color w:val="auto"/>
        </w:rPr>
      </w:pPr>
    </w:p>
    <w:p>
      <w:pPr>
        <w:ind w:left="700" w:hanging="692"/>
        <w:spacing w:after="0"/>
        <w:tabs>
          <w:tab w:leader="none" w:pos="700" w:val="left"/>
        </w:tabs>
        <w:numPr>
          <w:ilvl w:val="0"/>
          <w:numId w:val="10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Advertising</w:t>
      </w:r>
    </w:p>
    <w:p>
      <w:pPr>
        <w:spacing w:after="0" w:line="274" w:lineRule="exact"/>
        <w:rPr>
          <w:sz w:val="20"/>
          <w:szCs w:val="20"/>
          <w:color w:val="auto"/>
        </w:rPr>
      </w:pPr>
    </w:p>
    <w:p>
      <w:pPr>
        <w:ind w:left="540"/>
        <w:spacing w:after="0" w:line="358" w:lineRule="auto"/>
        <w:rPr>
          <w:sz w:val="20"/>
          <w:szCs w:val="20"/>
          <w:color w:val="auto"/>
        </w:rPr>
      </w:pPr>
      <w:r>
        <w:rPr>
          <w:rFonts w:ascii="Arial" w:cs="Arial" w:eastAsia="Arial" w:hAnsi="Arial"/>
          <w:sz w:val="19"/>
          <w:szCs w:val="19"/>
          <w:color w:val="auto"/>
        </w:rPr>
        <w:t>The costs of advertising, promotion, and marketing programs are charged to operations in the period the program takes place. Advertising expense was $340,331 and $749,225 for 2010 and 2009, respectively, and $1,513,176 for 2011.</w:t>
      </w:r>
    </w:p>
    <w:p>
      <w:pPr>
        <w:spacing w:after="0" w:line="145" w:lineRule="exact"/>
        <w:rPr>
          <w:sz w:val="20"/>
          <w:szCs w:val="20"/>
          <w:color w:val="auto"/>
        </w:rPr>
      </w:pPr>
    </w:p>
    <w:p>
      <w:pPr>
        <w:ind w:left="700" w:hanging="692"/>
        <w:spacing w:after="0"/>
        <w:tabs>
          <w:tab w:leader="none" w:pos="700" w:val="left"/>
        </w:tabs>
        <w:numPr>
          <w:ilvl w:val="0"/>
          <w:numId w:val="10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Income Taxes</w:t>
      </w:r>
    </w:p>
    <w:p>
      <w:pPr>
        <w:spacing w:after="0" w:line="274" w:lineRule="exact"/>
        <w:rPr>
          <w:sz w:val="20"/>
          <w:szCs w:val="20"/>
          <w:color w:val="auto"/>
        </w:rPr>
      </w:pPr>
    </w:p>
    <w:p>
      <w:pPr>
        <w:jc w:val="both"/>
        <w:ind w:left="540"/>
        <w:spacing w:after="0" w:line="261" w:lineRule="auto"/>
        <w:rPr>
          <w:sz w:val="20"/>
          <w:szCs w:val="20"/>
          <w:color w:val="auto"/>
        </w:rPr>
      </w:pPr>
      <w:r>
        <w:rPr>
          <w:rFonts w:ascii="Arial" w:cs="Arial" w:eastAsia="Arial" w:hAnsi="Arial"/>
          <w:sz w:val="22"/>
          <w:szCs w:val="22"/>
          <w:color w:val="auto"/>
        </w:rPr>
        <w:t>The Company is treated as a partnership for income tax purposes; accordingly, income taxes have not been provided for in the accompanying financial statements. All of the Company’s income or losses are passed through to its members. The Company does not believe it has any uncertain tax positions for any year presented. The Company’s income tax returns remain open for examination by applicable authorities for each jurisdiction’s respective statutory periods.</w:t>
      </w:r>
    </w:p>
    <w:p>
      <w:pPr>
        <w:spacing w:after="0" w:line="232" w:lineRule="exact"/>
        <w:rPr>
          <w:sz w:val="20"/>
          <w:szCs w:val="20"/>
          <w:color w:val="auto"/>
        </w:rPr>
      </w:pPr>
    </w:p>
    <w:p>
      <w:pPr>
        <w:ind w:left="700" w:hanging="692"/>
        <w:spacing w:after="0"/>
        <w:tabs>
          <w:tab w:leader="none" w:pos="700" w:val="left"/>
        </w:tabs>
        <w:numPr>
          <w:ilvl w:val="0"/>
          <w:numId w:val="11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Fair Value of Financial Instruments</w:t>
      </w:r>
    </w:p>
    <w:p>
      <w:pPr>
        <w:spacing w:after="0" w:line="274" w:lineRule="exact"/>
        <w:rPr>
          <w:sz w:val="20"/>
          <w:szCs w:val="20"/>
          <w:color w:val="auto"/>
        </w:rPr>
      </w:pPr>
    </w:p>
    <w:p>
      <w:pPr>
        <w:jc w:val="both"/>
        <w:ind w:left="540"/>
        <w:spacing w:after="0" w:line="266" w:lineRule="auto"/>
        <w:rPr>
          <w:sz w:val="20"/>
          <w:szCs w:val="20"/>
          <w:color w:val="auto"/>
        </w:rPr>
      </w:pPr>
      <w:r>
        <w:rPr>
          <w:rFonts w:ascii="Arial" w:cs="Arial" w:eastAsia="Arial" w:hAnsi="Arial"/>
          <w:sz w:val="22"/>
          <w:szCs w:val="22"/>
          <w:color w:val="auto"/>
        </w:rPr>
        <w:t>For purposes of financial reporting, management has determined that the fair value of financial instruments, including cash and cash equivalents, receivables, accounts payable, accrued expenses and note payable, approximates carrying value at December 31, 2011 and January 1, 2011.</w:t>
      </w:r>
    </w:p>
    <w:p>
      <w:pPr>
        <w:spacing w:after="0" w:line="226" w:lineRule="exact"/>
        <w:rPr>
          <w:sz w:val="20"/>
          <w:szCs w:val="20"/>
          <w:color w:val="auto"/>
        </w:rPr>
      </w:pPr>
    </w:p>
    <w:p>
      <w:pPr>
        <w:ind w:left="700" w:hanging="692"/>
        <w:spacing w:after="0"/>
        <w:tabs>
          <w:tab w:leader="none" w:pos="700" w:val="left"/>
        </w:tabs>
        <w:numPr>
          <w:ilvl w:val="0"/>
          <w:numId w:val="11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Use of Estimates</w:t>
      </w:r>
    </w:p>
    <w:p>
      <w:pPr>
        <w:spacing w:after="0" w:line="274" w:lineRule="exact"/>
        <w:rPr>
          <w:sz w:val="20"/>
          <w:szCs w:val="20"/>
          <w:color w:val="auto"/>
        </w:rPr>
      </w:pPr>
    </w:p>
    <w:p>
      <w:pPr>
        <w:jc w:val="both"/>
        <w:ind w:left="540"/>
        <w:spacing w:after="0" w:line="306" w:lineRule="auto"/>
        <w:rPr>
          <w:sz w:val="20"/>
          <w:szCs w:val="20"/>
          <w:color w:val="auto"/>
        </w:rPr>
      </w:pPr>
      <w:r>
        <w:rPr>
          <w:rFonts w:ascii="Arial" w:cs="Arial" w:eastAsia="Arial" w:hAnsi="Arial"/>
          <w:sz w:val="19"/>
          <w:szCs w:val="19"/>
          <w:color w:val="auto"/>
        </w:rPr>
        <w:t>The preparation of the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differ significantly. Significant items subject to such estimates and assumptions include the carrying amount of property and equipment, mold assets, intangibles, and inventories.</w:t>
      </w:r>
    </w:p>
    <w:p>
      <w:pPr>
        <w:spacing w:after="0" w:line="197" w:lineRule="exact"/>
        <w:rPr>
          <w:sz w:val="20"/>
          <w:szCs w:val="20"/>
          <w:color w:val="auto"/>
        </w:rPr>
      </w:pPr>
    </w:p>
    <w:p>
      <w:pPr>
        <w:ind w:left="720" w:hanging="712"/>
        <w:spacing w:after="0"/>
        <w:tabs>
          <w:tab w:leader="none" w:pos="720" w:val="left"/>
        </w:tabs>
        <w:numPr>
          <w:ilvl w:val="0"/>
          <w:numId w:val="11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Sales Tax Policy</w:t>
      </w:r>
    </w:p>
    <w:p>
      <w:pPr>
        <w:spacing w:after="0" w:line="27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Company’s revenues in the statements of operations are net of sales taxes.</w:t>
      </w:r>
    </w:p>
    <w:p>
      <w:pPr>
        <w:spacing w:after="0" w:line="274" w:lineRule="exact"/>
        <w:rPr>
          <w:sz w:val="20"/>
          <w:szCs w:val="20"/>
          <w:color w:val="auto"/>
        </w:rPr>
      </w:pPr>
    </w:p>
    <w:p>
      <w:pPr>
        <w:ind w:left="720" w:hanging="712"/>
        <w:spacing w:after="0"/>
        <w:tabs>
          <w:tab w:leader="none" w:pos="720" w:val="left"/>
        </w:tabs>
        <w:numPr>
          <w:ilvl w:val="0"/>
          <w:numId w:val="11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Comprehensive Loss</w:t>
      </w:r>
    </w:p>
    <w:p>
      <w:pPr>
        <w:spacing w:after="0" w:line="274" w:lineRule="exact"/>
        <w:rPr>
          <w:sz w:val="20"/>
          <w:szCs w:val="20"/>
          <w:color w:val="auto"/>
        </w:rPr>
      </w:pPr>
    </w:p>
    <w:p>
      <w:pPr>
        <w:ind w:left="540"/>
        <w:spacing w:after="0"/>
        <w:rPr>
          <w:sz w:val="20"/>
          <w:szCs w:val="20"/>
          <w:color w:val="auto"/>
        </w:rPr>
      </w:pPr>
      <w:r>
        <w:rPr>
          <w:rFonts w:ascii="Arial" w:cs="Arial" w:eastAsia="Arial" w:hAnsi="Arial"/>
          <w:sz w:val="19"/>
          <w:szCs w:val="19"/>
          <w:color w:val="auto"/>
        </w:rPr>
        <w:t>The Company’s comprehensive losses for fiscal 2011, fiscal 2010, and fiscal 2009 are the same as the net loss.</w:t>
      </w:r>
    </w:p>
    <w:p>
      <w:pPr>
        <w:spacing w:after="0" w:line="200" w:lineRule="exact"/>
        <w:rPr>
          <w:sz w:val="20"/>
          <w:szCs w:val="20"/>
          <w:color w:val="auto"/>
        </w:rPr>
      </w:pPr>
    </w:p>
    <w:p>
      <w:pPr>
        <w:spacing w:after="0" w:line="26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3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81"/>
        </w:trPr>
        <w:tc>
          <w:tcPr>
            <w:tcW w:w="500" w:type="dxa"/>
            <w:vAlign w:val="bottom"/>
            <w:gridSpan w:val="2"/>
          </w:tcPr>
          <w:p>
            <w:pPr>
              <w:spacing w:after="0"/>
              <w:rPr>
                <w:sz w:val="20"/>
                <w:szCs w:val="20"/>
                <w:color w:val="auto"/>
              </w:rPr>
            </w:pPr>
            <w:r>
              <w:rPr>
                <w:rFonts w:ascii="Arial" w:cs="Arial" w:eastAsia="Arial" w:hAnsi="Arial"/>
                <w:sz w:val="22"/>
                <w:szCs w:val="22"/>
                <w:b w:val="1"/>
                <w:bCs w:val="1"/>
                <w:color w:val="auto"/>
              </w:rPr>
              <w:t>(4)</w:t>
            </w:r>
          </w:p>
        </w:tc>
        <w:tc>
          <w:tcPr>
            <w:tcW w:w="5380" w:type="dxa"/>
            <w:vAlign w:val="bottom"/>
          </w:tcPr>
          <w:p>
            <w:pPr>
              <w:ind w:left="200"/>
              <w:spacing w:after="0"/>
              <w:rPr>
                <w:sz w:val="20"/>
                <w:szCs w:val="20"/>
                <w:color w:val="auto"/>
              </w:rPr>
            </w:pPr>
            <w:r>
              <w:rPr>
                <w:rFonts w:ascii="Arial" w:cs="Arial" w:eastAsia="Arial" w:hAnsi="Arial"/>
                <w:sz w:val="22"/>
                <w:szCs w:val="22"/>
                <w:b w:val="1"/>
                <w:bCs w:val="1"/>
                <w:color w:val="auto"/>
              </w:rPr>
              <w:t>Property and Equipment</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Property and equipment consist of the following:</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2,021,992</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2,476,612</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1,260,705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1,397,146</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Computer hardware</w:t>
            </w:r>
          </w:p>
        </w:tc>
        <w:tc>
          <w:tcPr>
            <w:tcW w:w="1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618,405</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444,466</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836,229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3,253,510</w:t>
            </w:r>
          </w:p>
        </w:tc>
      </w:tr>
      <w:tr>
        <w:trPr>
          <w:trHeight w:val="216"/>
        </w:trPr>
        <w:tc>
          <w:tcPr>
            <w:tcW w:w="20" w:type="dxa"/>
            <w:vAlign w:val="bottom"/>
          </w:tcPr>
          <w:p>
            <w:pPr>
              <w:spacing w:after="0"/>
              <w:rPr>
                <w:sz w:val="18"/>
                <w:szCs w:val="18"/>
                <w:color w:val="auto"/>
              </w:rPr>
            </w:pPr>
          </w:p>
        </w:tc>
        <w:tc>
          <w:tcPr>
            <w:tcW w:w="480" w:type="dxa"/>
            <w:vAlign w:val="bottom"/>
            <w:shd w:val="clear" w:color="auto" w:fill="C0FFFF"/>
          </w:tcPr>
          <w:p>
            <w:pPr>
              <w:spacing w:after="0"/>
              <w:rPr>
                <w:sz w:val="20"/>
                <w:szCs w:val="20"/>
                <w:color w:val="auto"/>
              </w:rPr>
            </w:pPr>
            <w:r>
              <w:rPr>
                <w:rFonts w:ascii="Arial" w:cs="Arial" w:eastAsia="Arial" w:hAnsi="Arial"/>
                <w:sz w:val="18"/>
                <w:szCs w:val="18"/>
                <w:color w:val="auto"/>
                <w:w w:val="95"/>
              </w:rPr>
              <w:t>Molds</w:t>
            </w:r>
          </w:p>
        </w:tc>
        <w:tc>
          <w:tcPr>
            <w:tcW w:w="538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2,757,053</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2,373,024</w:t>
            </w: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156,709</w:t>
            </w: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538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7,651,093</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10,919,157</w:t>
            </w: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4,293,111</w:t>
            </w: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5,157,792</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80" w:type="dxa"/>
            <w:vAlign w:val="bottom"/>
            <w:shd w:val="clear" w:color="auto" w:fill="C0FFFF"/>
          </w:tcPr>
          <w:p>
            <w:pPr>
              <w:spacing w:after="0"/>
              <w:rPr>
                <w:sz w:val="20"/>
                <w:szCs w:val="20"/>
                <w:color w:val="auto"/>
              </w:rPr>
            </w:pPr>
          </w:p>
        </w:tc>
        <w:tc>
          <w:tcPr>
            <w:tcW w:w="5380" w:type="dxa"/>
            <w:vAlign w:val="bottom"/>
            <w:shd w:val="clear" w:color="auto" w:fill="C0FFFF"/>
          </w:tcPr>
          <w:p>
            <w:pPr>
              <w:spacing w:after="0"/>
              <w:rPr>
                <w:sz w:val="20"/>
                <w:szCs w:val="20"/>
                <w:color w:val="auto"/>
              </w:rPr>
            </w:pP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3,357,982</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5,761,365</w:t>
            </w: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0FFFF"/>
            </w:tcBorders>
            <w:shd w:val="clear" w:color="auto" w:fill="C0FFFF"/>
          </w:tcPr>
          <w:p>
            <w:pPr>
              <w:spacing w:after="0" w:line="20" w:lineRule="exact"/>
              <w:rPr>
                <w:sz w:val="1"/>
                <w:szCs w:val="1"/>
                <w:color w:val="auto"/>
              </w:rPr>
            </w:pPr>
          </w:p>
        </w:tc>
        <w:tc>
          <w:tcPr>
            <w:tcW w:w="5380" w:type="dxa"/>
            <w:vAlign w:val="bottom"/>
            <w:tcBorders>
              <w:top w:val="single" w:sz="8" w:color="C0FFFF"/>
            </w:tcBorders>
            <w:shd w:val="clear" w:color="auto" w:fill="C0FFFF"/>
          </w:tcPr>
          <w:p>
            <w:pPr>
              <w:spacing w:after="0" w:line="20" w:lineRule="exact"/>
              <w:rPr>
                <w:sz w:val="1"/>
                <w:szCs w:val="1"/>
                <w:color w:val="auto"/>
              </w:rPr>
            </w:pPr>
          </w:p>
        </w:tc>
        <w:tc>
          <w:tcPr>
            <w:tcW w:w="112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62" w:lineRule="exact"/>
        <w:rPr>
          <w:sz w:val="20"/>
          <w:szCs w:val="20"/>
          <w:color w:val="auto"/>
        </w:rPr>
      </w:pPr>
    </w:p>
    <w:p>
      <w:pPr>
        <w:jc w:val="both"/>
        <w:ind w:left="540"/>
        <w:spacing w:after="0" w:line="276" w:lineRule="auto"/>
        <w:rPr>
          <w:sz w:val="20"/>
          <w:szCs w:val="20"/>
          <w:color w:val="auto"/>
        </w:rPr>
      </w:pPr>
      <w:r>
        <w:rPr>
          <w:rFonts w:ascii="Arial" w:cs="Arial" w:eastAsia="Arial" w:hAnsi="Arial"/>
          <w:sz w:val="22"/>
          <w:szCs w:val="22"/>
          <w:color w:val="auto"/>
        </w:rPr>
        <w:t>For fiscal 2010 and fiscal 2009 depreciation expense was $2,236,727 and $2,239,998, respectively, and for fiscal 2011 depreciation expense was $2,079,497.</w:t>
      </w:r>
    </w:p>
    <w:p>
      <w:pPr>
        <w:spacing w:after="0" w:line="228" w:lineRule="exact"/>
        <w:rPr>
          <w:sz w:val="20"/>
          <w:szCs w:val="20"/>
          <w:color w:val="auto"/>
        </w:rPr>
      </w:pPr>
    </w:p>
    <w:p>
      <w:pPr>
        <w:jc w:val="both"/>
        <w:ind w:left="540"/>
        <w:spacing w:after="0" w:line="275" w:lineRule="auto"/>
        <w:rPr>
          <w:sz w:val="20"/>
          <w:szCs w:val="20"/>
          <w:color w:val="auto"/>
        </w:rPr>
      </w:pPr>
      <w:r>
        <w:rPr>
          <w:rFonts w:ascii="Arial" w:cs="Arial" w:eastAsia="Arial" w:hAnsi="Arial"/>
          <w:sz w:val="21"/>
          <w:szCs w:val="21"/>
          <w:color w:val="auto"/>
        </w:rPr>
        <w:t>During the fiscal 2009 fourth quarter, the Company reviewed the operating performance and forecasts of future performance for its remaining stores. As a result of that review, the Company determined that one store would not be able to recover the carrying value of certain store leasehold improvements through expected undiscounted cash flows over the remaining life of the related assets. Accordingly, the Company reduced the carrying value of the assets to fair value, calculated as the present value of estimated future cash flows for each asset group, and recorded asset impairment charges of $289,979 in fiscal 2009, which is included in cost of merchandise sold.</w:t>
      </w:r>
    </w:p>
    <w:p>
      <w:pPr>
        <w:spacing w:after="0" w:line="231" w:lineRule="exact"/>
        <w:rPr>
          <w:sz w:val="20"/>
          <w:szCs w:val="20"/>
          <w:color w:val="auto"/>
        </w:rPr>
      </w:pPr>
    </w:p>
    <w:p>
      <w:pPr>
        <w:jc w:val="both"/>
        <w:ind w:left="540"/>
        <w:spacing w:after="0" w:line="309" w:lineRule="auto"/>
        <w:rPr>
          <w:sz w:val="20"/>
          <w:szCs w:val="20"/>
          <w:color w:val="auto"/>
        </w:rPr>
      </w:pPr>
      <w:r>
        <w:rPr>
          <w:rFonts w:ascii="Arial" w:cs="Arial" w:eastAsia="Arial" w:hAnsi="Arial"/>
          <w:sz w:val="19"/>
          <w:szCs w:val="19"/>
          <w:color w:val="auto"/>
        </w:rPr>
        <w:t>During the fiscal 2011 fourth quarter, the Company reviewed the operating performance and forecasts of future performance for its remaining stores. As a result of that review, the Company determined the future performance of one store was not sufficient to continue operations beyond fiscal 2011 and therefore scheduled the closure of the store in January of fiscal 2012. Accordingly, the Company reduced the carrying value of the store assets to $0, as estimated future cash flows for each asset group was immaterial, and recorded asset impairment charges of $415,658 in fiscal 2011, which is included in closing expenses as “extraordinary and unusual” within the consolidated statement of operations.</w:t>
      </w:r>
    </w:p>
    <w:p>
      <w:pPr>
        <w:spacing w:after="0" w:line="203"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color w:val="auto"/>
        </w:rPr>
        <w:t xml:space="preserve">The inputs used to determine fair value of the assets are Level 3 inputs as defined by Accounting Standards Codification (ASC) Section 820-10,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In the event that the Company decides to close any or all of these stores in the future, the Company may be required to record additional impairment, lease termination charges, severance charges, and other charges.</w:t>
      </w:r>
    </w:p>
    <w:p>
      <w:pPr>
        <w:spacing w:after="0" w:line="222" w:lineRule="exact"/>
        <w:rPr>
          <w:sz w:val="20"/>
          <w:szCs w:val="20"/>
          <w:color w:val="auto"/>
        </w:rPr>
      </w:pPr>
    </w:p>
    <w:p>
      <w:pPr>
        <w:ind w:left="700" w:hanging="692"/>
        <w:spacing w:after="0"/>
        <w:tabs>
          <w:tab w:leader="none" w:pos="7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Other Intangible Assets</w:t>
      </w:r>
    </w:p>
    <w:p>
      <w:pPr>
        <w:spacing w:after="0" w:line="280"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color w:val="auto"/>
        </w:rPr>
        <w:t>Trademarks, patents and intellectual property are amortized over three years. Amortization expense related to trademarks, patents and intellectual property was $255,155 and $338,484 in fiscal 2010 and fiscal 2009, respectively, and amortization expense for fiscal 2011 was $141,325. Estimated amortization expense related to other intangible assets in subsequent years is $114,000 and $36,000 for fiscal 2012 and 2013,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81"/>
        </w:trPr>
        <w:tc>
          <w:tcPr>
            <w:tcW w:w="480" w:type="dxa"/>
            <w:vAlign w:val="bottom"/>
            <w:gridSpan w:val="2"/>
          </w:tcPr>
          <w:p>
            <w:pPr>
              <w:spacing w:after="0"/>
              <w:rPr>
                <w:sz w:val="20"/>
                <w:szCs w:val="20"/>
                <w:color w:val="auto"/>
              </w:rPr>
            </w:pPr>
            <w:r>
              <w:rPr>
                <w:rFonts w:ascii="Arial" w:cs="Arial" w:eastAsia="Arial" w:hAnsi="Arial"/>
                <w:sz w:val="22"/>
                <w:szCs w:val="22"/>
                <w:b w:val="1"/>
                <w:bCs w:val="1"/>
                <w:color w:val="auto"/>
              </w:rPr>
              <w:t>(6)</w:t>
            </w:r>
          </w:p>
        </w:tc>
        <w:tc>
          <w:tcPr>
            <w:tcW w:w="6520" w:type="dxa"/>
            <w:vAlign w:val="bottom"/>
          </w:tcPr>
          <w:p>
            <w:pPr>
              <w:ind w:left="220"/>
              <w:spacing w:after="0"/>
              <w:rPr>
                <w:sz w:val="20"/>
                <w:szCs w:val="20"/>
                <w:color w:val="auto"/>
              </w:rPr>
            </w:pPr>
            <w:r>
              <w:rPr>
                <w:rFonts w:ascii="Arial" w:cs="Arial" w:eastAsia="Arial" w:hAnsi="Arial"/>
                <w:sz w:val="22"/>
                <w:szCs w:val="22"/>
                <w:b w:val="1"/>
                <w:bCs w:val="1"/>
                <w:color w:val="auto"/>
              </w:rPr>
              <w:t>Accrued Expenses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20" w:type="dxa"/>
            <w:vAlign w:val="bottom"/>
          </w:tcPr>
          <w:p>
            <w:pPr>
              <w:ind w:left="60"/>
              <w:spacing w:after="0"/>
              <w:rPr>
                <w:sz w:val="20"/>
                <w:szCs w:val="20"/>
                <w:color w:val="auto"/>
              </w:rPr>
            </w:pPr>
            <w:r>
              <w:rPr>
                <w:rFonts w:ascii="Arial" w:cs="Arial" w:eastAsia="Arial" w:hAnsi="Arial"/>
                <w:sz w:val="22"/>
                <w:szCs w:val="22"/>
                <w:color w:val="auto"/>
              </w:rPr>
              <w:t>Accrued expenses consist of the following: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Accrued wages, bonuses, and related expenses</w:t>
            </w: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229,021</w:t>
            </w:r>
          </w:p>
        </w:tc>
        <w:tc>
          <w:tcPr>
            <w:tcW w:w="18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160,536</w:t>
            </w: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Sales tax payable</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(17,718)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151,083</w:t>
            </w: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74,932</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970,651</w:t>
            </w: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Accrued rent and related expenses</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(35,429)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86,251</w:t>
            </w:r>
          </w:p>
        </w:tc>
      </w:tr>
      <w:tr>
        <w:trPr>
          <w:trHeight w:val="223"/>
        </w:trPr>
        <w:tc>
          <w:tcPr>
            <w:tcW w:w="20" w:type="dxa"/>
            <w:vAlign w:val="bottom"/>
          </w:tcPr>
          <w:p>
            <w:pPr>
              <w:spacing w:after="0"/>
              <w:rPr>
                <w:sz w:val="19"/>
                <w:szCs w:val="19"/>
                <w:color w:val="auto"/>
              </w:rPr>
            </w:pPr>
          </w:p>
        </w:tc>
        <w:tc>
          <w:tcPr>
            <w:tcW w:w="4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w w:val="97"/>
              </w:rPr>
              <w:t>Other</w:t>
            </w:r>
          </w:p>
        </w:tc>
        <w:tc>
          <w:tcPr>
            <w:tcW w:w="6520" w:type="dxa"/>
            <w:vAlign w:val="bottom"/>
            <w:tcBorders>
              <w:bottom w:val="single" w:sz="8" w:color="C0FFFF"/>
            </w:tcBorders>
            <w:shd w:val="clear" w:color="auto" w:fill="C0FFFF"/>
          </w:tcPr>
          <w:p>
            <w:pPr>
              <w:spacing w:after="0"/>
              <w:rPr>
                <w:sz w:val="19"/>
                <w:szCs w:val="19"/>
                <w:color w:val="auto"/>
              </w:rPr>
            </w:pPr>
          </w:p>
        </w:tc>
        <w:tc>
          <w:tcPr>
            <w:tcW w:w="26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496,212</w:t>
            </w:r>
          </w:p>
        </w:tc>
        <w:tc>
          <w:tcPr>
            <w:tcW w:w="180" w:type="dxa"/>
            <w:vAlign w:val="bottom"/>
            <w:tcBorders>
              <w:bottom w:val="single" w:sz="8" w:color="C0FFFF"/>
            </w:tcBorders>
            <w:shd w:val="clear" w:color="auto" w:fill="C0FFFF"/>
          </w:tcPr>
          <w:p>
            <w:pPr>
              <w:spacing w:after="0"/>
              <w:rPr>
                <w:sz w:val="19"/>
                <w:szCs w:val="19"/>
                <w:color w:val="auto"/>
              </w:rPr>
            </w:pPr>
          </w:p>
        </w:tc>
        <w:tc>
          <w:tcPr>
            <w:tcW w:w="12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156,551</w:t>
            </w:r>
          </w:p>
        </w:tc>
        <w:tc>
          <w:tcPr>
            <w:tcW w:w="10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747,018</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1,525,072</w:t>
            </w: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700" w:hanging="692"/>
        <w:spacing w:after="0"/>
        <w:tabs>
          <w:tab w:leader="none" w:pos="70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Notes Payable</w:t>
      </w:r>
    </w:p>
    <w:p>
      <w:pPr>
        <w:spacing w:after="0" w:line="280" w:lineRule="exact"/>
        <w:rPr>
          <w:sz w:val="20"/>
          <w:szCs w:val="20"/>
          <w:color w:val="auto"/>
        </w:rPr>
      </w:pPr>
    </w:p>
    <w:p>
      <w:pPr>
        <w:jc w:val="both"/>
        <w:ind w:left="540"/>
        <w:spacing w:after="0" w:line="272" w:lineRule="auto"/>
        <w:rPr>
          <w:sz w:val="20"/>
          <w:szCs w:val="20"/>
          <w:color w:val="auto"/>
        </w:rPr>
      </w:pPr>
      <w:r>
        <w:rPr>
          <w:rFonts w:ascii="Arial" w:cs="Arial" w:eastAsia="Arial" w:hAnsi="Arial"/>
          <w:sz w:val="21"/>
          <w:szCs w:val="21"/>
          <w:color w:val="auto"/>
        </w:rPr>
        <w:t>In fiscal 2009, the Company executed a promissory note to the benefit of a related party. As amended, the promissory note provided for maximum borrowings of $15,000,000 and had a maturity date of the earlier of: (i) December 31, 2010 or (ii) the completion of an additional equity financing and accrued interest at the rate of 12% per annum. As of January 1, 2011, total cash borrowings under the promissory note totaled $9,745,000. All borrowings were at the option of the note holder and were secured by substantially all assets of the Company. The note holder (and all participants in the promissory note) had the option to convert the principal and accrued interest under the promissory note into any newly raised equity, if such equity transaction occurs within 90 days of the maturity date. On January 2, 2011, all outstanding principal and accrued interest under the then outstanding promissory note totaling $10,915,651 was converted to Class C preferred units at a price of $1.75 per unit.</w:t>
      </w:r>
    </w:p>
    <w:p>
      <w:pPr>
        <w:spacing w:after="0" w:line="238" w:lineRule="exact"/>
        <w:rPr>
          <w:sz w:val="20"/>
          <w:szCs w:val="20"/>
          <w:color w:val="auto"/>
        </w:rPr>
      </w:pPr>
    </w:p>
    <w:p>
      <w:pPr>
        <w:jc w:val="both"/>
        <w:ind w:left="540"/>
        <w:spacing w:after="0" w:line="261" w:lineRule="auto"/>
        <w:rPr>
          <w:sz w:val="20"/>
          <w:szCs w:val="20"/>
          <w:color w:val="auto"/>
        </w:rPr>
      </w:pPr>
      <w:r>
        <w:rPr>
          <w:rFonts w:ascii="Arial" w:cs="Arial" w:eastAsia="Arial" w:hAnsi="Arial"/>
          <w:sz w:val="22"/>
          <w:szCs w:val="22"/>
          <w:color w:val="auto"/>
        </w:rPr>
        <w:t>In April 2011, a related party issued a revolving line of credit to the Company with a limit of $2 million, which had a balance of $0 as of December 31, 2011. In May 2011, a related party provided a loan to the Company of $1.5 million, which was outstanding as of December 31, 2011. Both loans accrue interest at 15% per annum (with interest on any outstanding balance paid monthly) and matured on December 31, 2011. Subsequent to year end, the due date of the $1.5 million loan was extended to June 30, 2012.</w:t>
      </w:r>
    </w:p>
    <w:p>
      <w:pPr>
        <w:spacing w:after="0" w:line="226" w:lineRule="exact"/>
        <w:rPr>
          <w:sz w:val="20"/>
          <w:szCs w:val="20"/>
          <w:color w:val="auto"/>
        </w:rPr>
      </w:pPr>
    </w:p>
    <w:p>
      <w:pPr>
        <w:ind w:left="700" w:hanging="692"/>
        <w:spacing w:after="0"/>
        <w:tabs>
          <w:tab w:leader="none" w:pos="70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266" w:lineRule="exact"/>
        <w:rPr>
          <w:rFonts w:ascii="Arial" w:cs="Arial" w:eastAsia="Arial" w:hAnsi="Arial"/>
          <w:sz w:val="22"/>
          <w:szCs w:val="22"/>
          <w:b w:val="1"/>
          <w:bCs w:val="1"/>
          <w:color w:val="auto"/>
        </w:rPr>
      </w:pPr>
    </w:p>
    <w:p>
      <w:pPr>
        <w:ind w:left="1240" w:hanging="692"/>
        <w:spacing w:after="0"/>
        <w:tabs>
          <w:tab w:leader="none" w:pos="1240" w:val="left"/>
        </w:tabs>
        <w:numPr>
          <w:ilvl w:val="1"/>
          <w:numId w:val="11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Operating Leases</w:t>
      </w:r>
    </w:p>
    <w:p>
      <w:pPr>
        <w:spacing w:after="0" w:line="274" w:lineRule="exact"/>
        <w:rPr>
          <w:sz w:val="20"/>
          <w:szCs w:val="20"/>
          <w:color w:val="auto"/>
        </w:rPr>
      </w:pPr>
    </w:p>
    <w:p>
      <w:pPr>
        <w:jc w:val="both"/>
        <w:ind w:left="1080" w:right="20"/>
        <w:spacing w:after="0" w:line="263" w:lineRule="auto"/>
        <w:rPr>
          <w:sz w:val="20"/>
          <w:szCs w:val="20"/>
          <w:color w:val="auto"/>
        </w:rPr>
      </w:pPr>
      <w:r>
        <w:rPr>
          <w:rFonts w:ascii="Arial" w:cs="Arial" w:eastAsia="Arial" w:hAnsi="Arial"/>
          <w:sz w:val="22"/>
          <w:szCs w:val="22"/>
          <w:color w:val="auto"/>
        </w:rPr>
        <w:t>The Company leases its retail stores and corporate offices under agreements which expire at various dates through 2018. The majority of leases contain provisions for base rent plus contingent payments based on defined sales. Total office and retail store base rent expense was $1,391,331 and $1,725,312 for fiscal 2010 and fiscal 2009, respectively, and $2,406,822for fiscal 2011.</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Future minimum lease payments at December 31, 2011,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587,915</w:t>
            </w:r>
          </w:p>
        </w:tc>
        <w:tc>
          <w:tcPr>
            <w:tcW w:w="4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589,940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544,043</w:t>
            </w:r>
          </w:p>
        </w:tc>
        <w:tc>
          <w:tcPr>
            <w:tcW w:w="4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375,546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194,576</w:t>
            </w:r>
          </w:p>
        </w:tc>
        <w:tc>
          <w:tcPr>
            <w:tcW w:w="4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Subsequent to 2016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140,161</w:t>
            </w:r>
          </w:p>
        </w:tc>
        <w:tc>
          <w:tcPr>
            <w:tcW w:w="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400" w:type="dxa"/>
            <w:vAlign w:val="bottom"/>
            <w:tcBorders>
              <w:bottom w:val="single" w:sz="8" w:color="C0FFFF"/>
            </w:tcBorders>
            <w:shd w:val="clear" w:color="auto" w:fill="C0FFFF"/>
          </w:tcPr>
          <w:p>
            <w:pPr>
              <w:spacing w:after="0"/>
              <w:rPr>
                <w:sz w:val="22"/>
                <w:szCs w:val="22"/>
                <w:color w:val="auto"/>
              </w:rPr>
            </w:pPr>
          </w:p>
        </w:tc>
        <w:tc>
          <w:tcPr>
            <w:tcW w:w="300" w:type="dxa"/>
            <w:vAlign w:val="bottom"/>
            <w:tcBorders>
              <w:bottom w:val="single" w:sz="8" w:color="auto"/>
            </w:tcBorders>
            <w:shd w:val="clear" w:color="auto" w:fill="C0FF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2,432,181</w:t>
            </w:r>
          </w:p>
        </w:tc>
        <w:tc>
          <w:tcPr>
            <w:tcW w:w="40" w:type="dxa"/>
            <w:vAlign w:val="bottom"/>
            <w:tcBorders>
              <w:bottom w:val="single" w:sz="8" w:color="C0FFFF"/>
            </w:tcBorders>
            <w:shd w:val="clear" w:color="auto" w:fill="C0FFFF"/>
          </w:tcPr>
          <w:p>
            <w:pPr>
              <w:spacing w:after="0"/>
              <w:rPr>
                <w:sz w:val="22"/>
                <w:szCs w:val="22"/>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10" w:name="page111"/>
    <w:bookmarkEnd w:id="110"/>
    <w:p>
      <w:pPr>
        <w:ind w:left="1240" w:hanging="692"/>
        <w:spacing w:after="0"/>
        <w:tabs>
          <w:tab w:leader="none" w:pos="1240" w:val="left"/>
        </w:tabs>
        <w:numPr>
          <w:ilvl w:val="0"/>
          <w:numId w:val="11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Litigation</w:t>
      </w:r>
    </w:p>
    <w:p>
      <w:pPr>
        <w:spacing w:after="0" w:line="274" w:lineRule="exact"/>
        <w:rPr>
          <w:sz w:val="20"/>
          <w:szCs w:val="20"/>
          <w:color w:val="auto"/>
        </w:rPr>
      </w:pPr>
    </w:p>
    <w:p>
      <w:pPr>
        <w:jc w:val="both"/>
        <w:ind w:left="1080"/>
        <w:spacing w:after="0" w:line="266" w:lineRule="auto"/>
        <w:rPr>
          <w:sz w:val="20"/>
          <w:szCs w:val="20"/>
          <w:color w:val="auto"/>
        </w:rPr>
      </w:pPr>
      <w:r>
        <w:rPr>
          <w:rFonts w:ascii="Arial" w:cs="Arial" w:eastAsia="Arial" w:hAnsi="Arial"/>
          <w:sz w:val="22"/>
          <w:szCs w:val="22"/>
          <w:color w:val="auto"/>
        </w:rPr>
        <w:t>In the normal course of business, the Company is subject to certain claims or lawsuits. Management is not aware of any claims or lawsuits that will have a material adverse effect on the consolidated financial position or results of operations of the Company.</w:t>
      </w:r>
    </w:p>
    <w:p>
      <w:pPr>
        <w:spacing w:after="0" w:line="220" w:lineRule="exact"/>
        <w:rPr>
          <w:sz w:val="20"/>
          <w:szCs w:val="20"/>
          <w:color w:val="auto"/>
        </w:rPr>
      </w:pPr>
    </w:p>
    <w:p>
      <w:pPr>
        <w:ind w:left="700" w:hanging="692"/>
        <w:spacing w:after="0"/>
        <w:tabs>
          <w:tab w:leader="none" w:pos="70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Stock Incentive Plans</w:t>
      </w:r>
    </w:p>
    <w:p>
      <w:pPr>
        <w:spacing w:after="0" w:line="280" w:lineRule="exact"/>
        <w:rPr>
          <w:sz w:val="20"/>
          <w:szCs w:val="20"/>
          <w:color w:val="auto"/>
        </w:rPr>
      </w:pPr>
    </w:p>
    <w:p>
      <w:pPr>
        <w:jc w:val="both"/>
        <w:ind w:left="540"/>
        <w:spacing w:after="0" w:line="272" w:lineRule="auto"/>
        <w:rPr>
          <w:sz w:val="20"/>
          <w:szCs w:val="20"/>
          <w:color w:val="auto"/>
        </w:rPr>
      </w:pPr>
      <w:r>
        <w:rPr>
          <w:rFonts w:ascii="Arial" w:cs="Arial" w:eastAsia="Arial" w:hAnsi="Arial"/>
          <w:sz w:val="21"/>
          <w:szCs w:val="21"/>
          <w:color w:val="auto"/>
        </w:rPr>
        <w:t>The Company has adopted the 2007 Incentive Plan (the Plan). Under the Plan, participants, including both employees and nonemployees of the Company, have the opportunity to acquire common units of the Company. For awards made under the Plan, participants purchase common units at the time the award is made at the current fair value. Award agreements with employees typically have graded vesting terms over four years. If a participant ceases to be employed with the Company prior to the end of the vesting period, the participant forfeits its rights to any unvested units at the date of the termination. The Company is required to purchase the unvested units from the employee at a price equal to the initial fair value at the time of the termination. As of December 31, 2011, the Company had issued 15,220,379 common units under the Plan at prices ranging from $0.011 to $0.018. As part of the Company’s restructuring in 2009, vesting of awards were accelerated for terminated employees. As of December 31, 2011, there were 4,426,250 unvested common units that had been awarded under the Plan.</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Compensation expense under the plan was immaterial for fiscal 2010 and 2009 and for fiscal 2011.</w:t>
      </w:r>
    </w:p>
    <w:p>
      <w:pPr>
        <w:spacing w:after="0" w:line="268" w:lineRule="exact"/>
        <w:rPr>
          <w:sz w:val="20"/>
          <w:szCs w:val="20"/>
          <w:color w:val="auto"/>
        </w:rPr>
      </w:pPr>
    </w:p>
    <w:p>
      <w:pPr>
        <w:ind w:left="700" w:hanging="692"/>
        <w:spacing w:after="0"/>
        <w:tabs>
          <w:tab w:leader="none" w:pos="70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Equity</w:t>
      </w:r>
    </w:p>
    <w:p>
      <w:pPr>
        <w:spacing w:after="0" w:line="280" w:lineRule="exact"/>
        <w:rPr>
          <w:sz w:val="20"/>
          <w:szCs w:val="20"/>
          <w:color w:val="auto"/>
        </w:rPr>
      </w:pPr>
    </w:p>
    <w:p>
      <w:pPr>
        <w:jc w:val="both"/>
        <w:ind w:left="540"/>
        <w:spacing w:after="0" w:line="276" w:lineRule="auto"/>
        <w:rPr>
          <w:sz w:val="20"/>
          <w:szCs w:val="20"/>
          <w:color w:val="auto"/>
        </w:rPr>
      </w:pPr>
      <w:r>
        <w:rPr>
          <w:rFonts w:ascii="Arial" w:cs="Arial" w:eastAsia="Arial" w:hAnsi="Arial"/>
          <w:sz w:val="22"/>
          <w:szCs w:val="22"/>
          <w:color w:val="auto"/>
        </w:rPr>
        <w:t>In 2010 and 2009, membership interests in the Company are represented by the following series: common units, Class A preferred units, and Class B preferred units. All units have equal voting rights.</w:t>
      </w:r>
    </w:p>
    <w:p>
      <w:pPr>
        <w:spacing w:after="0" w:line="228" w:lineRule="exact"/>
        <w:rPr>
          <w:sz w:val="20"/>
          <w:szCs w:val="20"/>
          <w:color w:val="auto"/>
        </w:rPr>
      </w:pPr>
    </w:p>
    <w:p>
      <w:pPr>
        <w:jc w:val="both"/>
        <w:ind w:left="540"/>
        <w:spacing w:after="0" w:line="327" w:lineRule="auto"/>
        <w:rPr>
          <w:sz w:val="20"/>
          <w:szCs w:val="20"/>
          <w:color w:val="auto"/>
        </w:rPr>
      </w:pPr>
      <w:r>
        <w:rPr>
          <w:rFonts w:ascii="Arial" w:cs="Arial" w:eastAsia="Arial" w:hAnsi="Arial"/>
          <w:sz w:val="19"/>
          <w:szCs w:val="19"/>
          <w:color w:val="auto"/>
        </w:rPr>
        <w:t>In 2011, the Company added Class C preferred units and the governing documents were amended such that all preferred units have the same rights and preferences. In 2011, in addition to the conversion of a note payable to Class C preferred units (Note 7), additional Class C preferred units of 1,066,144 were issued for cash proceeds of $1,865,750 at $1.75 per unit.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following table summarizes the changes in membership units, by series for 2009, 2010, and 2011:</w:t>
      </w:r>
    </w:p>
    <w:p>
      <w:pPr>
        <w:spacing w:after="0" w:line="27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Class B</w:t>
            </w:r>
          </w:p>
        </w:tc>
        <w:tc>
          <w:tcPr>
            <w:tcW w:w="1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Preferred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units, $0.011</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units, $0.016</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units, $0.018</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units, $0.973</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units, $1.50</w:t>
            </w:r>
          </w:p>
        </w:tc>
        <w:tc>
          <w:tcPr>
            <w:tcW w:w="1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units, $1.75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 value</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 value</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 value</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 value</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0FFFF"/>
          </w:tcPr>
          <w:p>
            <w:pPr>
              <w:spacing w:after="0"/>
              <w:rPr>
                <w:sz w:val="20"/>
                <w:szCs w:val="20"/>
                <w:color w:val="auto"/>
              </w:rPr>
            </w:pPr>
            <w:r>
              <w:rPr>
                <w:rFonts w:ascii="Arial" w:cs="Arial" w:eastAsia="Arial" w:hAnsi="Arial"/>
                <w:sz w:val="18"/>
                <w:szCs w:val="18"/>
                <w:color w:val="auto"/>
              </w:rPr>
              <w:t>Balance, January 3, 2009</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7,287,164</w:t>
            </w:r>
          </w:p>
        </w:tc>
        <w:tc>
          <w:tcPr>
            <w:tcW w:w="13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315,833</w:t>
            </w:r>
          </w:p>
        </w:tc>
        <w:tc>
          <w:tcPr>
            <w:tcW w:w="2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14,453,306</w:t>
            </w:r>
          </w:p>
        </w:tc>
        <w:tc>
          <w:tcPr>
            <w:tcW w:w="12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7,430,089</w:t>
            </w: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Capital contributions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102,500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700,237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0FFFF"/>
          </w:tcPr>
          <w:p>
            <w:pPr>
              <w:spacing w:after="0"/>
              <w:rPr>
                <w:sz w:val="20"/>
                <w:szCs w:val="20"/>
                <w:color w:val="auto"/>
              </w:rPr>
            </w:pPr>
            <w:r>
              <w:rPr>
                <w:rFonts w:ascii="Arial" w:cs="Arial" w:eastAsia="Arial" w:hAnsi="Arial"/>
                <w:sz w:val="18"/>
                <w:szCs w:val="18"/>
                <w:color w:val="auto"/>
              </w:rPr>
              <w:t>Balance, January 2, 2010</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7,287,164</w:t>
            </w:r>
          </w:p>
        </w:tc>
        <w:tc>
          <w:tcPr>
            <w:tcW w:w="22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418,333</w:t>
            </w:r>
          </w:p>
        </w:tc>
        <w:tc>
          <w:tcPr>
            <w:tcW w:w="2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14,453,306</w:t>
            </w:r>
          </w:p>
        </w:tc>
        <w:tc>
          <w:tcPr>
            <w:tcW w:w="180" w:type="dxa"/>
            <w:vAlign w:val="bottom"/>
            <w:shd w:val="clear" w:color="auto" w:fill="C0FFFF"/>
          </w:tcPr>
          <w:p>
            <w:pPr>
              <w:spacing w:after="0"/>
              <w:rPr>
                <w:sz w:val="18"/>
                <w:szCs w:val="18"/>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8,130,326</w:t>
            </w: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Capital contributions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716,433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40" w:type="dxa"/>
            <w:vAlign w:val="bottom"/>
            <w:shd w:val="clear" w:color="auto" w:fill="C0FFFF"/>
          </w:tcPr>
          <w:p>
            <w:pPr>
              <w:spacing w:after="0"/>
              <w:rPr>
                <w:sz w:val="20"/>
                <w:szCs w:val="20"/>
                <w:color w:val="auto"/>
              </w:rPr>
            </w:pPr>
            <w:r>
              <w:rPr>
                <w:rFonts w:ascii="Arial" w:cs="Arial" w:eastAsia="Arial" w:hAnsi="Arial"/>
                <w:sz w:val="18"/>
                <w:szCs w:val="18"/>
                <w:color w:val="auto"/>
              </w:rPr>
              <w:t>Balance, January 1, 2011</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7,287,164</w:t>
            </w:r>
          </w:p>
        </w:tc>
        <w:tc>
          <w:tcPr>
            <w:tcW w:w="220" w:type="dxa"/>
            <w:vAlign w:val="bottom"/>
            <w:shd w:val="clear" w:color="auto" w:fill="C0FFFF"/>
          </w:tcPr>
          <w:p>
            <w:pPr>
              <w:spacing w:after="0"/>
              <w:rPr>
                <w:sz w:val="19"/>
                <w:szCs w:val="19"/>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418,333</w:t>
            </w:r>
          </w:p>
        </w:tc>
        <w:tc>
          <w:tcPr>
            <w:tcW w:w="200" w:type="dxa"/>
            <w:vAlign w:val="bottom"/>
            <w:shd w:val="clear" w:color="auto" w:fill="C0FFFF"/>
          </w:tcPr>
          <w:p>
            <w:pPr>
              <w:spacing w:after="0"/>
              <w:rPr>
                <w:sz w:val="19"/>
                <w:szCs w:val="19"/>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FFFF"/>
          </w:tcPr>
          <w:p>
            <w:pPr>
              <w:spacing w:after="0"/>
              <w:rPr>
                <w:sz w:val="19"/>
                <w:szCs w:val="19"/>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14,453,306</w:t>
            </w:r>
          </w:p>
        </w:tc>
        <w:tc>
          <w:tcPr>
            <w:tcW w:w="180" w:type="dxa"/>
            <w:vAlign w:val="bottom"/>
            <w:shd w:val="clear" w:color="auto" w:fill="C0FFFF"/>
          </w:tcPr>
          <w:p>
            <w:pPr>
              <w:spacing w:after="0"/>
              <w:rPr>
                <w:sz w:val="19"/>
                <w:szCs w:val="19"/>
                <w:color w:val="auto"/>
              </w:rPr>
            </w:pP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8,846,759</w:t>
            </w:r>
          </w:p>
        </w:tc>
        <w:tc>
          <w:tcPr>
            <w:tcW w:w="180" w:type="dxa"/>
            <w:vAlign w:val="bottom"/>
            <w:shd w:val="clear" w:color="auto" w:fill="C0FFFF"/>
          </w:tcPr>
          <w:p>
            <w:pPr>
              <w:spacing w:after="0"/>
              <w:rPr>
                <w:sz w:val="19"/>
                <w:szCs w:val="19"/>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Capital contributions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0FF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0FF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7,514,882</w:t>
            </w:r>
          </w:p>
        </w:tc>
        <w:tc>
          <w:tcPr>
            <w:tcW w:w="180" w:type="dxa"/>
            <w:vAlign w:val="bottom"/>
            <w:tcBorders>
              <w:top w:val="single" w:sz="8" w:color="C0FF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0FF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0FF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7,418,634</w:t>
            </w:r>
          </w:p>
        </w:tc>
        <w:tc>
          <w:tcPr>
            <w:tcW w:w="100" w:type="dxa"/>
            <w:vAlign w:val="bottom"/>
            <w:tcBorders>
              <w:top w:val="single" w:sz="8" w:color="C0FF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w w:val="95"/>
              </w:rPr>
              <w:t>Balance, December 31, 2011</w:t>
            </w: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7,287,164</w:t>
            </w:r>
          </w:p>
        </w:tc>
        <w:tc>
          <w:tcPr>
            <w:tcW w:w="220" w:type="dxa"/>
            <w:vAlign w:val="bottom"/>
            <w:tcBorders>
              <w:bottom w:val="single" w:sz="8" w:color="C0FFFF"/>
            </w:tcBorders>
            <w:shd w:val="clear" w:color="auto" w:fill="C0FFFF"/>
          </w:tcPr>
          <w:p>
            <w:pPr>
              <w:spacing w:after="0"/>
              <w:rPr>
                <w:sz w:val="22"/>
                <w:szCs w:val="22"/>
                <w:color w:val="auto"/>
              </w:rPr>
            </w:pP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418,333</w:t>
            </w:r>
          </w:p>
        </w:tc>
        <w:tc>
          <w:tcPr>
            <w:tcW w:w="200" w:type="dxa"/>
            <w:vAlign w:val="bottom"/>
            <w:tcBorders>
              <w:bottom w:val="single" w:sz="8" w:color="C0FFFF"/>
            </w:tcBorders>
            <w:shd w:val="clear" w:color="auto" w:fill="C0FFFF"/>
          </w:tcPr>
          <w:p>
            <w:pPr>
              <w:spacing w:after="0"/>
              <w:rPr>
                <w:sz w:val="22"/>
                <w:szCs w:val="22"/>
                <w:color w:val="auto"/>
              </w:rPr>
            </w:pPr>
          </w:p>
        </w:tc>
        <w:tc>
          <w:tcPr>
            <w:tcW w:w="10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7,514,882</w:t>
            </w:r>
          </w:p>
        </w:tc>
        <w:tc>
          <w:tcPr>
            <w:tcW w:w="180" w:type="dxa"/>
            <w:vAlign w:val="bottom"/>
            <w:tcBorders>
              <w:bottom w:val="single" w:sz="8" w:color="C0FFFF"/>
            </w:tcBorders>
            <w:shd w:val="clear" w:color="auto" w:fill="C0FFFF"/>
          </w:tcPr>
          <w:p>
            <w:pPr>
              <w:spacing w:after="0"/>
              <w:rPr>
                <w:sz w:val="22"/>
                <w:szCs w:val="22"/>
                <w:color w:val="auto"/>
              </w:rPr>
            </w:pPr>
          </w:p>
        </w:tc>
        <w:tc>
          <w:tcPr>
            <w:tcW w:w="10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14,453,306</w:t>
            </w:r>
          </w:p>
        </w:tc>
        <w:tc>
          <w:tcPr>
            <w:tcW w:w="180" w:type="dxa"/>
            <w:vAlign w:val="bottom"/>
            <w:tcBorders>
              <w:bottom w:val="single" w:sz="8" w:color="C0FFFF"/>
            </w:tcBorders>
            <w:shd w:val="clear" w:color="auto" w:fill="C0FFFF"/>
          </w:tcPr>
          <w:p>
            <w:pPr>
              <w:spacing w:after="0"/>
              <w:rPr>
                <w:sz w:val="22"/>
                <w:szCs w:val="22"/>
                <w:color w:val="auto"/>
              </w:rPr>
            </w:pPr>
          </w:p>
        </w:tc>
        <w:tc>
          <w:tcPr>
            <w:tcW w:w="10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8,846,759</w:t>
            </w:r>
          </w:p>
        </w:tc>
        <w:tc>
          <w:tcPr>
            <w:tcW w:w="180" w:type="dxa"/>
            <w:vAlign w:val="bottom"/>
            <w:tcBorders>
              <w:bottom w:val="single" w:sz="8" w:color="C0FFFF"/>
            </w:tcBorders>
            <w:shd w:val="clear" w:color="auto" w:fill="C0FFFF"/>
          </w:tcPr>
          <w:p>
            <w:pPr>
              <w:spacing w:after="0"/>
              <w:rPr>
                <w:sz w:val="22"/>
                <w:szCs w:val="22"/>
                <w:color w:val="auto"/>
              </w:rPr>
            </w:pPr>
          </w:p>
        </w:tc>
        <w:tc>
          <w:tcPr>
            <w:tcW w:w="10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7,418,634</w:t>
            </w: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540"/>
        <w:spacing w:after="0" w:line="327" w:lineRule="auto"/>
        <w:rPr>
          <w:sz w:val="20"/>
          <w:szCs w:val="20"/>
          <w:color w:val="auto"/>
        </w:rPr>
      </w:pPr>
      <w:r>
        <w:rPr>
          <w:rFonts w:ascii="Arial" w:cs="Arial" w:eastAsia="Arial" w:hAnsi="Arial"/>
          <w:sz w:val="19"/>
          <w:szCs w:val="19"/>
          <w:color w:val="auto"/>
        </w:rPr>
        <w:t>Class A, B, and C units are redeemable preferred units that provide for a cumulative annual rate of 7%. As of December 31, 2011, unpaid preferred return was approximately $10,000,000. Each class of units is redeemable at the earlier of a liquidity event, as defined, or January 1, 2016 at the option of the majority of the unit holders of the class.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11" w:name="page112"/>
    <w:bookmarkEnd w:id="111"/>
    <w:p>
      <w:pPr>
        <w:jc w:val="both"/>
        <w:ind w:left="540"/>
        <w:spacing w:after="0" w:line="266" w:lineRule="auto"/>
        <w:rPr>
          <w:sz w:val="20"/>
          <w:szCs w:val="20"/>
          <w:color w:val="auto"/>
        </w:rPr>
      </w:pPr>
      <w:r>
        <w:rPr>
          <w:rFonts w:ascii="Arial" w:cs="Arial" w:eastAsia="Arial" w:hAnsi="Arial"/>
          <w:sz w:val="22"/>
          <w:szCs w:val="22"/>
          <w:color w:val="auto"/>
        </w:rPr>
        <w:t>Upon liquidation, distributions are made to the Class A, B, and C unit holders, up to and including initial capital contributions and earned and unpaid preferred return, then to common unit holders, and then among all members on a pro rata basis.</w:t>
      </w:r>
    </w:p>
    <w:p>
      <w:pPr>
        <w:spacing w:after="0" w:line="239" w:lineRule="exact"/>
        <w:rPr>
          <w:sz w:val="20"/>
          <w:szCs w:val="20"/>
          <w:color w:val="auto"/>
        </w:rPr>
      </w:pPr>
    </w:p>
    <w:p>
      <w:pPr>
        <w:jc w:val="both"/>
        <w:ind w:left="540"/>
        <w:spacing w:after="0" w:line="276" w:lineRule="auto"/>
        <w:rPr>
          <w:sz w:val="20"/>
          <w:szCs w:val="20"/>
          <w:color w:val="auto"/>
        </w:rPr>
      </w:pPr>
      <w:r>
        <w:rPr>
          <w:rFonts w:ascii="Arial" w:cs="Arial" w:eastAsia="Arial" w:hAnsi="Arial"/>
          <w:sz w:val="21"/>
          <w:szCs w:val="21"/>
          <w:color w:val="auto"/>
        </w:rPr>
        <w:t>For purposes of allocating ongoing income and losses, the equity classes are divided in two series, with one series receiving loss allocations only after all other members’ equity has been reduced to zero. In Class A, this series had 4,659,471 units outstanding as of January 1, 2011. In Class B, this series had 2,523,875 units outstanding as of January 1, 2011. To the extent this series has been allocated losses, this series also receives income allocations before other members in the same class until its capital account has returned to its original capital balance.</w:t>
      </w:r>
    </w:p>
    <w:p>
      <w:pPr>
        <w:spacing w:after="0" w:line="213" w:lineRule="exact"/>
        <w:rPr>
          <w:sz w:val="20"/>
          <w:szCs w:val="20"/>
          <w:color w:val="auto"/>
        </w:rPr>
      </w:pPr>
    </w:p>
    <w:p>
      <w:pPr>
        <w:ind w:left="680" w:hanging="672"/>
        <w:spacing w:after="0"/>
        <w:tabs>
          <w:tab w:leader="none" w:pos="68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Warrants</w:t>
      </w:r>
    </w:p>
    <w:p>
      <w:pPr>
        <w:spacing w:after="0" w:line="280" w:lineRule="exact"/>
        <w:rPr>
          <w:sz w:val="20"/>
          <w:szCs w:val="20"/>
          <w:color w:val="auto"/>
        </w:rPr>
      </w:pPr>
    </w:p>
    <w:p>
      <w:pPr>
        <w:jc w:val="both"/>
        <w:ind w:left="540"/>
        <w:spacing w:after="0" w:line="312" w:lineRule="auto"/>
        <w:rPr>
          <w:sz w:val="20"/>
          <w:szCs w:val="20"/>
          <w:color w:val="auto"/>
        </w:rPr>
      </w:pPr>
      <w:r>
        <w:rPr>
          <w:rFonts w:ascii="Arial" w:cs="Arial" w:eastAsia="Arial" w:hAnsi="Arial"/>
          <w:sz w:val="19"/>
          <w:szCs w:val="19"/>
          <w:color w:val="auto"/>
        </w:rPr>
        <w:t>In 2006, the Company issued an option for warrants to a member which entitles the member to purchase a 10% undiluted interest for approximately $800 in exchange for business development services. The option is exercisable upon the earlier of a liquidity event, as defined, or June 2016, provided that the Company has at least five retail locations open and operating at that time. No value has been assigned to the warrants. Subsequent to January 1, 2011, the warrant became immediately exercisable and the amount of common units awarded thereunder was fixed at 3,440,010 common units.</w:t>
      </w:r>
    </w:p>
    <w:p>
      <w:pPr>
        <w:spacing w:after="0" w:line="200" w:lineRule="exact"/>
        <w:rPr>
          <w:sz w:val="20"/>
          <w:szCs w:val="20"/>
          <w:color w:val="auto"/>
        </w:rPr>
      </w:pPr>
    </w:p>
    <w:p>
      <w:pPr>
        <w:jc w:val="both"/>
        <w:ind w:left="540"/>
        <w:spacing w:after="0" w:line="276" w:lineRule="auto"/>
        <w:rPr>
          <w:sz w:val="20"/>
          <w:szCs w:val="20"/>
          <w:color w:val="auto"/>
        </w:rPr>
      </w:pPr>
      <w:r>
        <w:rPr>
          <w:rFonts w:ascii="Arial" w:cs="Arial" w:eastAsia="Arial" w:hAnsi="Arial"/>
          <w:sz w:val="22"/>
          <w:szCs w:val="22"/>
          <w:color w:val="auto"/>
        </w:rPr>
        <w:t>In 2011, warrants to purchase 1,085,382 common units at $0.018 per common unit were exercised for an aggregate purchase price of $19,537.</w:t>
      </w:r>
    </w:p>
    <w:p>
      <w:pPr>
        <w:spacing w:after="0" w:line="209" w:lineRule="exact"/>
        <w:rPr>
          <w:sz w:val="20"/>
          <w:szCs w:val="20"/>
          <w:color w:val="auto"/>
        </w:rPr>
      </w:pPr>
    </w:p>
    <w:p>
      <w:pPr>
        <w:ind w:left="700" w:hanging="692"/>
        <w:spacing w:after="0"/>
        <w:tabs>
          <w:tab w:leader="none" w:pos="70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Restructuring</w:t>
      </w:r>
    </w:p>
    <w:p>
      <w:pPr>
        <w:spacing w:after="0" w:line="280" w:lineRule="exact"/>
        <w:rPr>
          <w:sz w:val="20"/>
          <w:szCs w:val="20"/>
          <w:color w:val="auto"/>
        </w:rPr>
      </w:pPr>
    </w:p>
    <w:p>
      <w:pPr>
        <w:jc w:val="both"/>
        <w:ind w:left="540"/>
        <w:spacing w:after="0" w:line="266" w:lineRule="auto"/>
        <w:rPr>
          <w:sz w:val="20"/>
          <w:szCs w:val="20"/>
          <w:color w:val="auto"/>
        </w:rPr>
      </w:pPr>
      <w:r>
        <w:rPr>
          <w:rFonts w:ascii="Arial" w:cs="Arial" w:eastAsia="Arial" w:hAnsi="Arial"/>
          <w:sz w:val="22"/>
          <w:szCs w:val="22"/>
          <w:color w:val="auto"/>
        </w:rPr>
        <w:t>In 2009, the Company undertook a major restructuring of its operations, which included store closings and a reduction in work force. Total charges related to the restructuring are included in “Store closing” expenses in the statements of operations and include the following:</w:t>
      </w:r>
    </w:p>
    <w:p>
      <w:pPr>
        <w:spacing w:after="0" w:line="24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shd w:val="clear" w:color="auto" w:fill="C0FFFF"/>
          </w:tcPr>
          <w:p>
            <w:pPr>
              <w:spacing w:after="0"/>
              <w:rPr>
                <w:sz w:val="20"/>
                <w:szCs w:val="20"/>
                <w:color w:val="auto"/>
              </w:rPr>
            </w:pPr>
            <w:r>
              <w:rPr>
                <w:rFonts w:ascii="Arial" w:cs="Arial" w:eastAsia="Arial" w:hAnsi="Arial"/>
                <w:sz w:val="18"/>
                <w:szCs w:val="18"/>
                <w:color w:val="auto"/>
              </w:rPr>
              <w:t>Asset impairment</w:t>
            </w:r>
          </w:p>
        </w:tc>
        <w:tc>
          <w:tcPr>
            <w:tcW w:w="16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2,643,016</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Lease termination</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1,192,944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0FFFF"/>
          </w:tcPr>
          <w:p>
            <w:pPr>
              <w:spacing w:after="0"/>
              <w:rPr>
                <w:sz w:val="20"/>
                <w:szCs w:val="20"/>
                <w:color w:val="auto"/>
              </w:rPr>
            </w:pPr>
            <w:r>
              <w:rPr>
                <w:rFonts w:ascii="Arial" w:cs="Arial" w:eastAsia="Arial" w:hAnsi="Arial"/>
                <w:sz w:val="18"/>
                <w:szCs w:val="18"/>
                <w:color w:val="auto"/>
              </w:rPr>
              <w:t>Accrued rent</w:t>
            </w:r>
          </w:p>
        </w:tc>
        <w:tc>
          <w:tcPr>
            <w:tcW w:w="1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(254,703)</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Tenant allowance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(769,734)</w:t>
            </w:r>
          </w:p>
        </w:tc>
      </w:tr>
      <w:tr>
        <w:trPr>
          <w:trHeight w:val="216"/>
        </w:trPr>
        <w:tc>
          <w:tcPr>
            <w:tcW w:w="20" w:type="dxa"/>
            <w:vAlign w:val="bottom"/>
          </w:tcPr>
          <w:p>
            <w:pPr>
              <w:spacing w:after="0"/>
              <w:rPr>
                <w:sz w:val="18"/>
                <w:szCs w:val="18"/>
                <w:color w:val="auto"/>
              </w:rPr>
            </w:pPr>
          </w:p>
        </w:tc>
        <w:tc>
          <w:tcPr>
            <w:tcW w:w="3080" w:type="dxa"/>
            <w:vAlign w:val="bottom"/>
            <w:shd w:val="clear" w:color="auto" w:fill="C0FFFF"/>
          </w:tcPr>
          <w:p>
            <w:pPr>
              <w:spacing w:after="0"/>
              <w:rPr>
                <w:sz w:val="20"/>
                <w:szCs w:val="20"/>
                <w:color w:val="auto"/>
              </w:rPr>
            </w:pPr>
            <w:r>
              <w:rPr>
                <w:rFonts w:ascii="Arial" w:cs="Arial" w:eastAsia="Arial" w:hAnsi="Arial"/>
                <w:sz w:val="18"/>
                <w:szCs w:val="18"/>
                <w:color w:val="auto"/>
              </w:rPr>
              <w:t>Deferred leasing charges</w:t>
            </w:r>
          </w:p>
        </w:tc>
        <w:tc>
          <w:tcPr>
            <w:tcW w:w="1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38,236</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Severance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0FFFF"/>
          </w:tcPr>
          <w:p>
            <w:pPr>
              <w:spacing w:after="0"/>
              <w:rPr>
                <w:sz w:val="20"/>
                <w:szCs w:val="20"/>
                <w:color w:val="auto"/>
              </w:rPr>
            </w:pPr>
            <w:r>
              <w:rPr>
                <w:rFonts w:ascii="Arial" w:cs="Arial" w:eastAsia="Arial" w:hAnsi="Arial"/>
                <w:sz w:val="18"/>
                <w:szCs w:val="18"/>
                <w:color w:val="auto"/>
              </w:rPr>
              <w:t>Inventory</w:t>
            </w:r>
          </w:p>
        </w:tc>
        <w:tc>
          <w:tcPr>
            <w:tcW w:w="13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37,376</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65,177</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080" w:type="dxa"/>
            <w:vAlign w:val="bottom"/>
            <w:shd w:val="clear" w:color="auto" w:fill="C0FFFF"/>
          </w:tcPr>
          <w:p>
            <w:pPr>
              <w:spacing w:after="0"/>
              <w:rPr>
                <w:sz w:val="20"/>
                <w:szCs w:val="20"/>
                <w:color w:val="auto"/>
              </w:rPr>
            </w:pPr>
          </w:p>
        </w:tc>
        <w:tc>
          <w:tcPr>
            <w:tcW w:w="16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3,021,183</w:t>
            </w:r>
          </w:p>
        </w:tc>
        <w:tc>
          <w:tcPr>
            <w:tcW w:w="80" w:type="dxa"/>
            <w:vAlign w:val="bottom"/>
            <w:shd w:val="clear" w:color="auto" w:fill="C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0FFFF"/>
            </w:tcBorders>
            <w:shd w:val="clear" w:color="auto" w:fill="C0FFFF"/>
          </w:tcPr>
          <w:p>
            <w:pPr>
              <w:spacing w:after="0" w:line="20" w:lineRule="exact"/>
              <w:rPr>
                <w:sz w:val="1"/>
                <w:szCs w:val="1"/>
                <w:color w:val="auto"/>
              </w:rPr>
            </w:pPr>
          </w:p>
        </w:tc>
        <w:tc>
          <w:tcPr>
            <w:tcW w:w="132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62" w:lineRule="exact"/>
        <w:rPr>
          <w:sz w:val="20"/>
          <w:szCs w:val="20"/>
          <w:color w:val="auto"/>
        </w:rPr>
      </w:pPr>
    </w:p>
    <w:p>
      <w:pPr>
        <w:ind w:left="540"/>
        <w:spacing w:after="0" w:line="276" w:lineRule="auto"/>
        <w:rPr>
          <w:sz w:val="20"/>
          <w:szCs w:val="20"/>
          <w:color w:val="auto"/>
        </w:rPr>
      </w:pPr>
      <w:r>
        <w:rPr>
          <w:rFonts w:ascii="Arial" w:cs="Arial" w:eastAsia="Arial" w:hAnsi="Arial"/>
          <w:sz w:val="22"/>
          <w:szCs w:val="22"/>
          <w:color w:val="auto"/>
        </w:rPr>
        <w:t>As of January 1, 2011 no amounts were accrued related to the restructuring, which was completed with the final store closing in January 2010, resulting in minimal additional charges.</w:t>
      </w:r>
    </w:p>
    <w:p>
      <w:pPr>
        <w:spacing w:after="0" w:line="209" w:lineRule="exact"/>
        <w:rPr>
          <w:sz w:val="20"/>
          <w:szCs w:val="20"/>
          <w:color w:val="auto"/>
        </w:rPr>
      </w:pPr>
    </w:p>
    <w:p>
      <w:pPr>
        <w:ind w:left="700" w:hanging="692"/>
        <w:spacing w:after="0"/>
        <w:tabs>
          <w:tab w:leader="none" w:pos="70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Related-Party Transactions</w:t>
      </w:r>
    </w:p>
    <w:p>
      <w:pPr>
        <w:spacing w:after="0" w:line="280" w:lineRule="exact"/>
        <w:rPr>
          <w:sz w:val="20"/>
          <w:szCs w:val="20"/>
          <w:color w:val="auto"/>
        </w:rPr>
      </w:pPr>
    </w:p>
    <w:p>
      <w:pPr>
        <w:jc w:val="both"/>
        <w:ind w:left="540"/>
        <w:spacing w:after="0" w:line="305" w:lineRule="auto"/>
        <w:rPr>
          <w:sz w:val="20"/>
          <w:szCs w:val="20"/>
          <w:color w:val="auto"/>
        </w:rPr>
      </w:pPr>
      <w:r>
        <w:rPr>
          <w:rFonts w:ascii="Arial" w:cs="Arial" w:eastAsia="Arial" w:hAnsi="Arial"/>
          <w:sz w:val="19"/>
          <w:szCs w:val="19"/>
          <w:color w:val="auto"/>
        </w:rPr>
        <w:t>In fiscal 2010 and fiscal 2009, a related party provided the Company with operational, accounting and legal services. The total value of services provided by this related party amounted to $749,605 and $749,605 in 2010 and 2009, respectively. The related party also leased office space to the Company. Rent expense under this lease totaled $0 and $24,225 in fiscal 2010 and fiscal 2009, respectively, and $0 in fiscal 2011. The total due to this related party, including interest, as of January 1, 2011 and January 2, 2010 was $1,555,350 and $1,143,259, respectively, and $1,667,782 as of December 31, 2011. Amounts due to this party accrue interest at an annual rate of 12%. Effective December 31, 2010, this rate of interest was reduced to 7%. Effective January 1, 2011, the entire balance is payable on January 1, 2013, with principal and interest repayments to be made during fiscal 2012 totaling $140,000, as set forth in the Amended BABW Support Services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12" w:name="page113"/>
    <w:bookmarkEnd w:id="112"/>
    <w:p>
      <w:pPr>
        <w:jc w:val="both"/>
        <w:ind w:left="540"/>
        <w:spacing w:after="0" w:line="261" w:lineRule="auto"/>
        <w:rPr>
          <w:sz w:val="20"/>
          <w:szCs w:val="20"/>
          <w:color w:val="auto"/>
        </w:rPr>
      </w:pPr>
      <w:r>
        <w:rPr>
          <w:rFonts w:ascii="Arial" w:cs="Arial" w:eastAsia="Arial" w:hAnsi="Arial"/>
          <w:sz w:val="22"/>
          <w:szCs w:val="22"/>
          <w:color w:val="auto"/>
        </w:rPr>
        <w:t>A related party provided the Company with legal and office support services in exchange for preferred units. The total value of services provided by this related party amounted to $325,000 and $250,000 in 2010 and 2009, respectively, and $400,000 in fiscal 2011. The related party also leased retail and office space to the Company in fiscal 2009. Rent expense under these leases totaled $157,024 in 2009, including a termination fee of $67,700. The total due to this related party as of December 31, 2011 and January 1, 2011 was immaterial.</w:t>
      </w:r>
    </w:p>
    <w:p>
      <w:pPr>
        <w:spacing w:after="0" w:line="245"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color w:val="auto"/>
        </w:rPr>
        <w:t>A related party provided the Company with consulting services. The payments to this related party were $58,000 and $20,459 in 2010 and 2009, respectively. The total due to this related party as of January 1, 2011 was $0. In 2011, a related party provided the Company with consulting services amounting to $15,750, in exchange for Class C Common units. The total due to this related party as of December 31, 2011 was $0.</w:t>
      </w:r>
    </w:p>
    <w:p>
      <w:pPr>
        <w:spacing w:after="0" w:line="242" w:lineRule="exact"/>
        <w:rPr>
          <w:sz w:val="20"/>
          <w:szCs w:val="20"/>
          <w:color w:val="auto"/>
        </w:rPr>
      </w:pPr>
    </w:p>
    <w:p>
      <w:pPr>
        <w:jc w:val="both"/>
        <w:ind w:left="540"/>
        <w:spacing w:after="0" w:line="266" w:lineRule="auto"/>
        <w:rPr>
          <w:sz w:val="20"/>
          <w:szCs w:val="20"/>
          <w:color w:val="auto"/>
        </w:rPr>
      </w:pPr>
      <w:r>
        <w:rPr>
          <w:rFonts w:ascii="Arial" w:cs="Arial" w:eastAsia="Arial" w:hAnsi="Arial"/>
          <w:sz w:val="22"/>
          <w:szCs w:val="22"/>
          <w:color w:val="auto"/>
        </w:rPr>
        <w:t>Several related parties provided a variety of services for the Company. In 2010, five members received payments totaling $2,039,520. The total due to these related parties as of December 31, 2011 and January 1, 2011 was $0, and $71,181, respectively. In 2009, eight related parties received payments totaling $2,093,402.</w:t>
      </w:r>
    </w:p>
    <w:p>
      <w:pPr>
        <w:spacing w:after="0" w:line="220" w:lineRule="exact"/>
        <w:rPr>
          <w:sz w:val="20"/>
          <w:szCs w:val="20"/>
          <w:color w:val="auto"/>
        </w:rPr>
      </w:pPr>
    </w:p>
    <w:p>
      <w:pPr>
        <w:ind w:left="700" w:hanging="692"/>
        <w:spacing w:after="0"/>
        <w:tabs>
          <w:tab w:leader="none" w:pos="70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Major Vendors</w:t>
      </w:r>
    </w:p>
    <w:p>
      <w:pPr>
        <w:spacing w:after="0" w:line="280" w:lineRule="exact"/>
        <w:rPr>
          <w:sz w:val="20"/>
          <w:szCs w:val="20"/>
          <w:color w:val="auto"/>
        </w:rPr>
      </w:pPr>
    </w:p>
    <w:p>
      <w:pPr>
        <w:ind w:left="540"/>
        <w:spacing w:after="0" w:line="276" w:lineRule="auto"/>
        <w:rPr>
          <w:sz w:val="20"/>
          <w:szCs w:val="20"/>
          <w:color w:val="auto"/>
        </w:rPr>
      </w:pPr>
      <w:r>
        <w:rPr>
          <w:rFonts w:ascii="Arial" w:cs="Arial" w:eastAsia="Arial" w:hAnsi="Arial"/>
          <w:sz w:val="22"/>
          <w:szCs w:val="22"/>
          <w:color w:val="auto"/>
        </w:rPr>
        <w:t>One vendor accounted for all inventory purchases in fiscal 2010 and fiscal 2009. The Company added one additional vendor in fiscal 2011 fourth quarter.</w:t>
      </w:r>
    </w:p>
    <w:p>
      <w:pPr>
        <w:spacing w:after="0" w:line="209" w:lineRule="exact"/>
        <w:rPr>
          <w:sz w:val="20"/>
          <w:szCs w:val="20"/>
          <w:color w:val="auto"/>
        </w:rPr>
      </w:pPr>
    </w:p>
    <w:p>
      <w:pPr>
        <w:ind w:left="700" w:hanging="692"/>
        <w:spacing w:after="0"/>
        <w:tabs>
          <w:tab w:leader="none" w:pos="70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280" w:lineRule="exact"/>
        <w:rPr>
          <w:sz w:val="20"/>
          <w:szCs w:val="20"/>
          <w:color w:val="auto"/>
        </w:rPr>
      </w:pPr>
    </w:p>
    <w:p>
      <w:pPr>
        <w:jc w:val="both"/>
        <w:ind w:left="540"/>
        <w:spacing w:after="0" w:line="266" w:lineRule="auto"/>
        <w:rPr>
          <w:sz w:val="20"/>
          <w:szCs w:val="20"/>
          <w:color w:val="auto"/>
        </w:rPr>
      </w:pPr>
      <w:r>
        <w:rPr>
          <w:rFonts w:ascii="Arial" w:cs="Arial" w:eastAsia="Arial" w:hAnsi="Arial"/>
          <w:sz w:val="22"/>
          <w:szCs w:val="22"/>
          <w:color w:val="auto"/>
        </w:rPr>
        <w:t xml:space="preserve">The Company has evaluated events and transactions subsequent to December 31, 2011 through March 15, 2012. Other than described below, no events require recognition in the consolidated financial statements or disclosures of the Company per the definitions and requirements of ASC Section 855-10, </w:t>
      </w:r>
      <w:r>
        <w:rPr>
          <w:rFonts w:ascii="Arial" w:cs="Arial" w:eastAsia="Arial" w:hAnsi="Arial"/>
          <w:sz w:val="22"/>
          <w:szCs w:val="22"/>
          <w:i w:val="1"/>
          <w:iCs w:val="1"/>
          <w:color w:val="auto"/>
        </w:rPr>
        <w:t>Subsequent Events.</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On January 22, 2012, the Company closed one store location which resulted in minimal additional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sectPr>
      <w:pgSz w:w="11900" w:h="16838" w:orient="portrait"/>
      <w:cols w:equalWidth="0" w:num="1">
        <w:col w:w="11420"/>
      </w:cols>
      <w:pgMar w:left="240" w:top="5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x"/>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lvl w:ilvl="1">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lvl w:ilvl="1">
      <w:lvlJc w:val="left"/>
      <w:lvlText w:val="•"/>
      <w:numFmt w:val="bullet"/>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1)"/>
      <w:numFmt w:val="decimal"/>
      <w:start w:val="1"/>
    </w:lvl>
  </w:abstractNum>
  <w:abstractNum w:abstractNumId="15">
    <w:nsid w:val="5F5E7FD0"/>
    <w:multiLevelType w:val="hybridMultilevel"/>
    <w:lvl w:ilvl="0">
      <w:lvlJc w:val="left"/>
      <w:lvlText w:val="(%1)"/>
      <w:numFmt w:val="decimal"/>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1)"/>
      <w:numFmt w:val="decimal"/>
      <w:start w:val="1"/>
    </w:lvl>
  </w:abstractNum>
  <w:abstractNum w:abstractNumId="19">
    <w:nsid w:val="42C296BD"/>
    <w:multiLevelType w:val="hybridMultilevel"/>
    <w:lvl w:ilvl="0">
      <w:lvlJc w:val="left"/>
      <w:lvlText w:val="(%1)"/>
      <w:numFmt w:val="decimal"/>
      <w:start w:val="1"/>
    </w:lvl>
  </w:abstractNum>
  <w:abstractNum w:abstractNumId="20">
    <w:nsid w:val="168E121F"/>
    <w:multiLevelType w:val="hybridMultilevel"/>
    <w:lvl w:ilvl="0">
      <w:lvlJc w:val="left"/>
      <w:lvlText w:val="(%1)"/>
      <w:numFmt w:val="decimal"/>
      <w:start w:val="1"/>
    </w:lvl>
  </w:abstractNum>
  <w:abstractNum w:abstractNumId="21">
    <w:nsid w:val="1EBA5D23"/>
    <w:multiLevelType w:val="hybridMultilevel"/>
    <w:lvl w:ilvl="0">
      <w:lvlJc w:val="left"/>
      <w:lvlText w:val="(%1)"/>
      <w:numFmt w:val="lowerRoman"/>
      <w:start w:val="1"/>
    </w:lvl>
  </w:abstractNum>
  <w:abstractNum w:abstractNumId="22">
    <w:nsid w:val="661E3F1E"/>
    <w:multiLevelType w:val="hybridMultilevel"/>
    <w:lvl w:ilvl="0">
      <w:lvlJc w:val="left"/>
      <w:lvlText w:val="(%1)"/>
      <w:numFmt w:val="decimal"/>
      <w:start w:val="1"/>
    </w:lvl>
  </w:abstractNum>
  <w:abstractNum w:abstractNumId="23">
    <w:nsid w:val="5DC79EA8"/>
    <w:multiLevelType w:val="hybridMultilevel"/>
    <w:lvl w:ilvl="0">
      <w:lvlJc w:val="left"/>
      <w:lvlText w:val="(%1)"/>
      <w:numFmt w:val="decimal"/>
      <w:start w:val="2"/>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lowerLetter"/>
      <w:start w:val="2"/>
    </w:lvl>
  </w:abstractNum>
  <w:abstractNum w:abstractNumId="26">
    <w:nsid w:val="51D9C564"/>
    <w:multiLevelType w:val="hybridMultilevel"/>
    <w:lvl w:ilvl="0">
      <w:lvlJc w:val="left"/>
      <w:lvlText w:val="(%1)"/>
      <w:numFmt w:val="lowerLetter"/>
      <w:start w:val="3"/>
    </w:lvl>
  </w:abstractNum>
  <w:abstractNum w:abstractNumId="27">
    <w:nsid w:val="613EFDC5"/>
    <w:multiLevelType w:val="hybridMultilevel"/>
    <w:lvl w:ilvl="0">
      <w:lvlJc w:val="left"/>
      <w:lvlText w:val="(%1)"/>
      <w:numFmt w:val="lowerLetter"/>
      <w:start w:val="4"/>
    </w:lvl>
  </w:abstractNum>
  <w:abstractNum w:abstractNumId="28">
    <w:nsid w:val="BF72B14"/>
    <w:multiLevelType w:val="hybridMultilevel"/>
    <w:lvl w:ilvl="0">
      <w:lvlJc w:val="left"/>
      <w:lvlText w:val="(%1)"/>
      <w:numFmt w:val="lowerLetter"/>
      <w:start w:val="5"/>
    </w:lvl>
  </w:abstractNum>
  <w:abstractNum w:abstractNumId="29">
    <w:nsid w:val="11447B73"/>
    <w:multiLevelType w:val="hybridMultilevel"/>
    <w:lvl w:ilvl="0">
      <w:lvlJc w:val="left"/>
      <w:lvlText w:val="(%1)"/>
      <w:numFmt w:val="lowerLetter"/>
      <w:start w:val="6"/>
    </w:lvl>
  </w:abstractNum>
  <w:abstractNum w:abstractNumId="30">
    <w:nsid w:val="42963E5A"/>
    <w:multiLevelType w:val="hybridMultilevel"/>
    <w:lvl w:ilvl="0">
      <w:lvlJc w:val="left"/>
      <w:lvlText w:val="(%1)"/>
      <w:numFmt w:val="lowerLetter"/>
      <w:start w:val="7"/>
    </w:lvl>
  </w:abstractNum>
  <w:abstractNum w:abstractNumId="31">
    <w:nsid w:val="A0382C5"/>
    <w:multiLevelType w:val="hybridMultilevel"/>
    <w:lvl w:ilvl="0">
      <w:lvlJc w:val="left"/>
      <w:lvlText w:val="(%1)"/>
      <w:numFmt w:val="lowerLetter"/>
      <w:start w:val="8"/>
    </w:lvl>
  </w:abstractNum>
  <w:abstractNum w:abstractNumId="32">
    <w:nsid w:val="8F2B15E"/>
    <w:multiLevelType w:val="hybridMultilevel"/>
    <w:lvl w:ilvl="0">
      <w:lvlJc w:val="left"/>
      <w:lvlText w:val="(%1)"/>
      <w:numFmt w:val="lowerRoman"/>
      <w:start w:val="1"/>
    </w:lvl>
  </w:abstractNum>
  <w:abstractNum w:abstractNumId="33">
    <w:nsid w:val="1A32234B"/>
    <w:multiLevelType w:val="hybridMultilevel"/>
    <w:lvl w:ilvl="0">
      <w:lvlJc w:val="left"/>
      <w:lvlText w:val="(%1)"/>
      <w:numFmt w:val="lowerLetter"/>
      <w:start w:val="10"/>
    </w:lvl>
  </w:abstractNum>
  <w:abstractNum w:abstractNumId="34">
    <w:nsid w:val="3B0FD379"/>
    <w:multiLevelType w:val="hybridMultilevel"/>
    <w:lvl w:ilvl="0">
      <w:lvlJc w:val="left"/>
      <w:lvlText w:val="(%1)"/>
      <w:numFmt w:val="lowerLetter"/>
      <w:start w:val="11"/>
    </w:lvl>
  </w:abstractNum>
  <w:abstractNum w:abstractNumId="35">
    <w:nsid w:val="68EB2F63"/>
    <w:multiLevelType w:val="hybridMultilevel"/>
    <w:lvl w:ilvl="0">
      <w:lvlJc w:val="left"/>
      <w:lvlText w:val="(%1)"/>
      <w:numFmt w:val="lowerLetter"/>
      <w:start w:val="12"/>
    </w:lvl>
  </w:abstractNum>
  <w:abstractNum w:abstractNumId="36">
    <w:nsid w:val="4962813B"/>
    <w:multiLevelType w:val="hybridMultilevel"/>
    <w:lvl w:ilvl="0">
      <w:lvlJc w:val="left"/>
      <w:lvlText w:val="(%1)"/>
      <w:numFmt w:val="lowerLetter"/>
      <w:start w:val="13"/>
    </w:lvl>
  </w:abstractNum>
  <w:abstractNum w:abstractNumId="37">
    <w:nsid w:val="60B6DF70"/>
    <w:multiLevelType w:val="hybridMultilevel"/>
    <w:lvl w:ilvl="0">
      <w:lvlJc w:val="left"/>
      <w:lvlText w:val="(%1)"/>
      <w:numFmt w:val="lowerLetter"/>
      <w:start w:val="14"/>
    </w:lvl>
  </w:abstractNum>
  <w:abstractNum w:abstractNumId="38">
    <w:nsid w:val="6A5EE64"/>
    <w:multiLevelType w:val="hybridMultilevel"/>
    <w:lvl w:ilvl="0">
      <w:lvlJc w:val="left"/>
      <w:lvlText w:val="(%1)"/>
      <w:numFmt w:val="lowerLetter"/>
      <w:start w:val="15"/>
    </w:lvl>
  </w:abstractNum>
  <w:abstractNum w:abstractNumId="39">
    <w:nsid w:val="14330624"/>
    <w:multiLevelType w:val="hybridMultilevel"/>
    <w:lvl w:ilvl="0">
      <w:lvlJc w:val="left"/>
      <w:lvlText w:val="(%1)"/>
      <w:numFmt w:val="lowerLetter"/>
      <w:start w:val="16"/>
    </w:lvl>
  </w:abstractNum>
  <w:abstractNum w:abstractNumId="40">
    <w:nsid w:val="7FFFCA11"/>
    <w:multiLevelType w:val="hybridMultilevel"/>
    <w:lvl w:ilvl="0">
      <w:lvlJc w:val="left"/>
      <w:lvlText w:val="(%1)"/>
      <w:numFmt w:val="lowerLetter"/>
      <w:start w:val="17"/>
    </w:lvl>
  </w:abstractNum>
  <w:abstractNum w:abstractNumId="41">
    <w:nsid w:val="1A27709E"/>
    <w:multiLevelType w:val="hybridMultilevel"/>
    <w:lvl w:ilvl="0">
      <w:lvlJc w:val="left"/>
      <w:lvlText w:val="(%1)"/>
      <w:numFmt w:val="lowerLetter"/>
      <w:start w:val="18"/>
    </w:lvl>
  </w:abstractNum>
  <w:abstractNum w:abstractNumId="42">
    <w:nsid w:val="71EA1109"/>
    <w:multiLevelType w:val="hybridMultilevel"/>
    <w:lvl w:ilvl="0">
      <w:lvlJc w:val="left"/>
      <w:lvlText w:val="(%1)"/>
      <w:numFmt w:val="lowerLetter"/>
      <w:start w:val="19"/>
    </w:lvl>
  </w:abstractNum>
  <w:abstractNum w:abstractNumId="43">
    <w:nsid w:val="100F59DC"/>
    <w:multiLevelType w:val="hybridMultilevel"/>
    <w:lvl w:ilvl="0">
      <w:lvlJc w:val="left"/>
      <w:lvlText w:val="(%1)"/>
      <w:numFmt w:val="lowerLetter"/>
      <w:start w:val="20"/>
    </w:lvl>
  </w:abstractNum>
  <w:abstractNum w:abstractNumId="44">
    <w:nsid w:val="7FB7E0AA"/>
    <w:multiLevelType w:val="hybridMultilevel"/>
    <w:lvl w:ilvl="0">
      <w:lvlJc w:val="left"/>
      <w:lvlText w:val="(%1)"/>
      <w:numFmt w:val="lowerLetter"/>
      <w:start w:val="21"/>
    </w:lvl>
  </w:abstractNum>
  <w:abstractNum w:abstractNumId="45">
    <w:nsid w:val="6EB5BD4"/>
    <w:multiLevelType w:val="hybridMultilevel"/>
    <w:lvl w:ilvl="0">
      <w:lvlJc w:val="left"/>
      <w:lvlText w:val="(%1)"/>
      <w:numFmt w:val="lowerRoman"/>
      <w:start w:val="5"/>
    </w:lvl>
  </w:abstractNum>
  <w:abstractNum w:abstractNumId="46">
    <w:nsid w:val="6F6DD9AC"/>
    <w:multiLevelType w:val="hybridMultilevel"/>
    <w:lvl w:ilvl="0">
      <w:lvlJc w:val="left"/>
      <w:lvlText w:val="(%1)"/>
      <w:numFmt w:val="lowerLetter"/>
      <w:start w:val="23"/>
    </w:lvl>
  </w:abstractNum>
  <w:abstractNum w:abstractNumId="47">
    <w:nsid w:val="94211F2"/>
    <w:multiLevelType w:val="hybridMultilevel"/>
    <w:lvl w:ilvl="0">
      <w:lvlJc w:val="left"/>
      <w:lvlText w:val="(%1)"/>
      <w:numFmt w:val="lowerRoman"/>
      <w:start w:val="10"/>
    </w:lvl>
  </w:abstractNum>
  <w:abstractNum w:abstractNumId="48">
    <w:nsid w:val="885E1B"/>
    <w:multiLevelType w:val="hybridMultilevel"/>
    <w:lvl w:ilvl="0">
      <w:lvlJc w:val="left"/>
      <w:lvlText w:val="(%1)"/>
      <w:numFmt w:val="lowerLetter"/>
      <w:start w:val="25"/>
    </w:lvl>
  </w:abstractNum>
  <w:abstractNum w:abstractNumId="49">
    <w:nsid w:val="76272110"/>
    <w:multiLevelType w:val="hybridMultilevel"/>
    <w:lvl w:ilvl="0">
      <w:lvlJc w:val="left"/>
      <w:lvlText w:val="(%1)"/>
      <w:numFmt w:val="decimal"/>
      <w:start w:val="3"/>
    </w:lvl>
  </w:abstractNum>
  <w:abstractNum w:abstractNumId="50">
    <w:nsid w:val="4C04A8AF"/>
    <w:multiLevelType w:val="hybridMultilevel"/>
    <w:lvl w:ilvl="0">
      <w:lvlJc w:val="left"/>
      <w:lvlText w:val="(%1)"/>
      <w:numFmt w:val="decimal"/>
      <w:start w:val="4"/>
    </w:lvl>
  </w:abstractNum>
  <w:abstractNum w:abstractNumId="51">
    <w:nsid w:val="1716703B"/>
    <w:multiLevelType w:val="hybridMultilevel"/>
    <w:lvl w:ilvl="0">
      <w:lvlJc w:val="left"/>
      <w:lvlText w:val="(%1)"/>
      <w:numFmt w:val="decimal"/>
      <w:start w:val="5"/>
    </w:lvl>
  </w:abstractNum>
  <w:abstractNum w:abstractNumId="52">
    <w:nsid w:val="14E17E33"/>
    <w:multiLevelType w:val="hybridMultilevel"/>
    <w:lvl w:ilvl="0">
      <w:lvlJc w:val="left"/>
      <w:lvlText w:val="(%1)"/>
      <w:numFmt w:val="decimal"/>
      <w:start w:val="7"/>
    </w:lvl>
  </w:abstractNum>
  <w:abstractNum w:abstractNumId="53">
    <w:nsid w:val="3222E7CD"/>
    <w:multiLevelType w:val="hybridMultilevel"/>
    <w:lvl w:ilvl="0">
      <w:lvlJc w:val="left"/>
      <w:lvlText w:val="(%1)"/>
      <w:numFmt w:val="decimal"/>
      <w:start w:val="8"/>
    </w:lvl>
  </w:abstractNum>
  <w:abstractNum w:abstractNumId="54">
    <w:nsid w:val="74DE0EE3"/>
    <w:multiLevelType w:val="hybridMultilevel"/>
    <w:lvl w:ilvl="0">
      <w:lvlJc w:val="left"/>
      <w:lvlText w:val="(%1)"/>
      <w:numFmt w:val="decimal"/>
      <w:start w:val="9"/>
    </w:lvl>
  </w:abstractNum>
  <w:abstractNum w:abstractNumId="55">
    <w:nsid w:val="68EBC550"/>
    <w:multiLevelType w:val="hybridMultilevel"/>
    <w:lvl w:ilvl="0">
      <w:lvlJc w:val="left"/>
      <w:lvlText w:val="(%1)"/>
      <w:numFmt w:val="decimal"/>
      <w:start w:val="10"/>
    </w:lvl>
  </w:abstractNum>
  <w:abstractNum w:abstractNumId="56">
    <w:nsid w:val="2DF6D648"/>
    <w:multiLevelType w:val="hybridMultilevel"/>
    <w:lvl w:ilvl="0">
      <w:lvlJc w:val="left"/>
      <w:lvlText w:val="(%1)"/>
      <w:numFmt w:val="decimal"/>
      <w:start w:val="11"/>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Letter"/>
      <w:start w:val="2"/>
    </w:lvl>
  </w:abstractNum>
  <w:abstractNum w:abstractNumId="59">
    <w:nsid w:val="39EE015C"/>
    <w:multiLevelType w:val="hybridMultilevel"/>
    <w:lvl w:ilvl="0">
      <w:lvlJc w:val="left"/>
      <w:lvlText w:val="(%1)"/>
      <w:numFmt w:val="decimal"/>
      <w:start w:val="12"/>
    </w:lvl>
  </w:abstractNum>
  <w:abstractNum w:abstractNumId="60">
    <w:nsid w:val="57FC4FBB"/>
    <w:multiLevelType w:val="hybridMultilevel"/>
    <w:lvl w:ilvl="0">
      <w:lvlJc w:val="left"/>
      <w:lvlText w:val="(%1)"/>
      <w:numFmt w:val="decimal"/>
      <w:start w:val="13"/>
    </w:lvl>
  </w:abstractNum>
  <w:abstractNum w:abstractNumId="61">
    <w:nsid w:val="CC1016F"/>
    <w:multiLevelType w:val="hybridMultilevel"/>
    <w:lvl w:ilvl="0">
      <w:lvlJc w:val="left"/>
      <w:lvlText w:val="(%1)"/>
      <w:numFmt w:val="lowerLetter"/>
      <w:start w:val="1"/>
    </w:lvl>
  </w:abstractNum>
  <w:abstractNum w:abstractNumId="62">
    <w:nsid w:val="43F18422"/>
    <w:multiLevelType w:val="hybridMultilevel"/>
    <w:lvl w:ilvl="0">
      <w:lvlJc w:val="left"/>
      <w:lvlText w:val="(%1)"/>
      <w:numFmt w:val="lowerLetter"/>
      <w:start w:val="2"/>
    </w:lvl>
  </w:abstractNum>
  <w:abstractNum w:abstractNumId="63">
    <w:nsid w:val="60EF0119"/>
    <w:multiLevelType w:val="hybridMultilevel"/>
    <w:lvl w:ilvl="0">
      <w:lvlJc w:val="left"/>
      <w:lvlText w:val="(%1)"/>
      <w:numFmt w:val="decimal"/>
      <w:start w:val="16"/>
    </w:lvl>
  </w:abstractNum>
  <w:abstractNum w:abstractNumId="64">
    <w:nsid w:val="26F324BA"/>
    <w:multiLevelType w:val="hybridMultilevel"/>
    <w:lvl w:ilvl="0">
      <w:lvlJc w:val="left"/>
      <w:lvlText w:val="(%1)"/>
      <w:numFmt w:val="decimal"/>
      <w:start w:val="17"/>
    </w:lvl>
  </w:abstractNum>
  <w:abstractNum w:abstractNumId="65">
    <w:nsid w:val="7F01579B"/>
    <w:multiLevelType w:val="hybridMultilevel"/>
    <w:lvl w:ilvl="0">
      <w:lvlJc w:val="left"/>
      <w:lvlText w:val="(%1)"/>
      <w:numFmt w:val="decimal"/>
      <w:start w:val="18"/>
    </w:lvl>
  </w:abstractNum>
  <w:abstractNum w:abstractNumId="66">
    <w:nsid w:val="49DA307D"/>
    <w:multiLevelType w:val="hybridMultilevel"/>
    <w:lvl w:ilvl="0">
      <w:lvlJc w:val="left"/>
      <w:lvlText w:val="(%1)"/>
      <w:numFmt w:val="decimal"/>
      <w:start w:val="19"/>
    </w:lvl>
  </w:abstractNum>
  <w:abstractNum w:abstractNumId="67">
    <w:nsid w:val="7055A5F5"/>
    <w:multiLevelType w:val="hybridMultilevel"/>
    <w:lvl w:ilvl="0">
      <w:lvlJc w:val="left"/>
      <w:lvlText w:val="(%1)"/>
      <w:numFmt w:val="decimal"/>
      <w:start w:val="1"/>
    </w:lvl>
  </w:abstractNum>
  <w:abstractNum w:abstractNumId="68">
    <w:nsid w:val="5FB8370B"/>
    <w:multiLevelType w:val="hybridMultilevel"/>
    <w:lvl w:ilvl="0">
      <w:lvlJc w:val="left"/>
      <w:lvlText w:val="(%1)"/>
      <w:numFmt w:val="decimal"/>
      <w:start w:val="20"/>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1."/>
      <w:numFmt w:val="decimal"/>
      <w:start w:val="1"/>
    </w:lvl>
  </w:abstractNum>
  <w:abstractNum w:abstractNumId="74">
    <w:nsid w:val="6FC75AF8"/>
    <w:multiLevelType w:val="hybridMultilevel"/>
    <w:lvl w:ilvl="0">
      <w:lvlJc w:val="left"/>
      <w:lvlText w:val="%1."/>
      <w:numFmt w:val="decimal"/>
      <w:start w:val="5"/>
    </w:lvl>
  </w:abstractNum>
  <w:abstractNum w:abstractNumId="75">
    <w:nsid w:val="6A5F7029"/>
    <w:multiLevelType w:val="hybridMultilevel"/>
    <w:lvl w:ilvl="0">
      <w:lvlJc w:val="left"/>
      <w:lvlText w:val="%1."/>
      <w:numFmt w:val="decimal"/>
      <w:start w:val="12"/>
    </w:lvl>
  </w:abstractNum>
  <w:abstractNum w:abstractNumId="76">
    <w:nsid w:val="7D5E18F8"/>
    <w:multiLevelType w:val="hybridMultilevel"/>
    <w:lvl w:ilvl="0">
      <w:lvlJc w:val="left"/>
      <w:lvlText w:val="%1."/>
      <w:numFmt w:val="decimal"/>
      <w:start w:val="1"/>
    </w:lvl>
    <w:lvl w:ilvl="1">
      <w:lvlJc w:val="left"/>
      <w:lvlText w:val="(%2)"/>
      <w:numFmt w:val="lowerLetter"/>
      <w:start w:val="1"/>
    </w:lvl>
  </w:abstractNum>
  <w:abstractNum w:abstractNumId="77">
    <w:nsid w:val="5F3534A4"/>
    <w:multiLevelType w:val="hybridMultilevel"/>
    <w:lvl w:ilvl="0">
      <w:lvlJc w:val="left"/>
      <w:lvlText w:val="(%1)"/>
      <w:numFmt w:val="lowerLetter"/>
      <w:start w:val="4"/>
    </w:lvl>
    <w:lvl w:ilvl="1">
      <w:lvlJc w:val="left"/>
      <w:lvlText w:val="(%2)"/>
      <w:numFmt w:val="lowerRoman"/>
      <w:start w:val="1"/>
    </w:lvl>
  </w:abstractNum>
  <w:abstractNum w:abstractNumId="78">
    <w:nsid w:val="73A1821B"/>
    <w:multiLevelType w:val="hybridMultilevel"/>
    <w:lvl w:ilvl="0">
      <w:lvlJc w:val="left"/>
      <w:lvlText w:val="(%1)"/>
      <w:numFmt w:val="lowerRoman"/>
      <w:start w:val="8"/>
    </w:lvl>
  </w:abstractNum>
  <w:abstractNum w:abstractNumId="79">
    <w:nsid w:val="7DE67713"/>
    <w:multiLevelType w:val="hybridMultilevel"/>
    <w:lvl w:ilvl="0">
      <w:lvlJc w:val="left"/>
      <w:lvlText w:val="%1."/>
      <w:numFmt w:val="decimal"/>
      <w:start w:val="4"/>
    </w:lvl>
    <w:lvl w:ilvl="1">
      <w:lvlJc w:val="left"/>
      <w:lvlText w:val="(%2)"/>
      <w:numFmt w:val="lowerLetter"/>
      <w:start w:val="1"/>
    </w:lvl>
  </w:abstractNum>
  <w:abstractNum w:abstractNumId="80">
    <w:nsid w:val="555C55B5"/>
    <w:multiLevelType w:val="hybridMultilevel"/>
    <w:lvl w:ilvl="0">
      <w:lvlJc w:val="left"/>
      <w:lvlText w:val="%1."/>
      <w:numFmt w:val="decimal"/>
      <w:start w:val="7"/>
    </w:lvl>
    <w:lvl w:ilvl="1">
      <w:lvlJc w:val="left"/>
      <w:lvlText w:val="(%2)"/>
      <w:numFmt w:val="lowerLetter"/>
      <w:start w:val="1"/>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1."/>
      <w:numFmt w:val="decimal"/>
      <w:start w:val="4"/>
    </w:lvl>
  </w:abstractNum>
  <w:abstractNum w:abstractNumId="84">
    <w:nsid w:val="71C91298"/>
    <w:multiLevelType w:val="hybridMultilevel"/>
    <w:lvl w:ilvl="0">
      <w:lvlJc w:val="left"/>
      <w:lvlText w:val="%1"/>
      <w:numFmt w:val="decimal"/>
      <w:start w:val="12"/>
    </w:lvl>
  </w:abstractNum>
  <w:abstractNum w:abstractNumId="85">
    <w:nsid w:val="9DAF632"/>
    <w:multiLevelType w:val="hybridMultilevel"/>
    <w:lvl w:ilvl="0">
      <w:lvlJc w:val="left"/>
      <w:lvlText w:val="%1."/>
      <w:numFmt w:val="decimal"/>
      <w:start w:val="6"/>
    </w:lvl>
  </w:abstractNum>
  <w:abstractNum w:abstractNumId="86">
    <w:nsid w:val="53299938"/>
    <w:multiLevelType w:val="hybridMultilevel"/>
    <w:lvl w:ilvl="0">
      <w:lvlJc w:val="left"/>
      <w:lvlText w:val="%1."/>
      <w:numFmt w:val="decimal"/>
      <w:start w:val="14"/>
    </w:lvl>
  </w:abstractNum>
  <w:abstractNum w:abstractNumId="87">
    <w:nsid w:val="1FBFE8E0"/>
    <w:multiLevelType w:val="hybridMultilevel"/>
    <w:lvl w:ilvl="0">
      <w:lvlJc w:val="left"/>
      <w:lvlText w:val="%1."/>
      <w:numFmt w:val="decimal"/>
      <w:start w:val="1"/>
    </w:lvl>
    <w:lvl w:ilvl="1">
      <w:lvlJc w:val="left"/>
      <w:lvlText w:val="(%2)"/>
      <w:numFmt w:val="lowerLetter"/>
      <w:start w:val="1"/>
    </w:lvl>
  </w:abstractNum>
  <w:abstractNum w:abstractNumId="88">
    <w:nsid w:val="5092CA79"/>
    <w:multiLevelType w:val="hybridMultilevel"/>
    <w:lvl w:ilvl="0">
      <w:lvlJc w:val="left"/>
      <w:lvlText w:val="%1."/>
      <w:numFmt w:val="decimal"/>
      <w:start w:val="1"/>
    </w:lvl>
    <w:lvl w:ilvl="1">
      <w:lvlJc w:val="left"/>
      <w:lvlText w:val="(%2)"/>
      <w:numFmt w:val="lowerLetter"/>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decimal"/>
      <w:start w:val="2"/>
    </w:lvl>
  </w:abstractNum>
  <w:abstractNum w:abstractNumId="93">
    <w:nsid w:val="1D9F6E5F"/>
    <w:multiLevelType w:val="hybridMultilevel"/>
    <w:lvl w:ilvl="0">
      <w:lvlJc w:val="left"/>
      <w:lvlText w:val="(%1)"/>
      <w:numFmt w:val="decimal"/>
      <w:start w:val="3"/>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2"/>
    </w:lvl>
  </w:abstractNum>
  <w:abstractNum w:abstractNumId="96">
    <w:nsid w:val="1CA0C5FA"/>
    <w:multiLevelType w:val="hybridMultilevel"/>
    <w:lvl w:ilvl="0">
      <w:lvlJc w:val="left"/>
      <w:lvlText w:val="(%1)"/>
      <w:numFmt w:val="lowerLetter"/>
      <w:start w:val="3"/>
    </w:lvl>
  </w:abstractNum>
  <w:abstractNum w:abstractNumId="97">
    <w:nsid w:val="53584BCB"/>
    <w:multiLevelType w:val="hybridMultilevel"/>
    <w:lvl w:ilvl="0">
      <w:lvlJc w:val="left"/>
      <w:lvlText w:val="(%1)"/>
      <w:numFmt w:val="lowerLetter"/>
      <w:start w:val="4"/>
    </w:lvl>
  </w:abstractNum>
  <w:abstractNum w:abstractNumId="98">
    <w:nsid w:val="415E286C"/>
    <w:multiLevelType w:val="hybridMultilevel"/>
    <w:lvl w:ilvl="0">
      <w:lvlJc w:val="left"/>
      <w:lvlText w:val="(%1)"/>
      <w:numFmt w:val="lowerLetter"/>
      <w:start w:val="5"/>
    </w:lvl>
  </w:abstractNum>
  <w:abstractNum w:abstractNumId="99">
    <w:nsid w:val="7C58FD05"/>
    <w:multiLevelType w:val="hybridMultilevel"/>
    <w:lvl w:ilvl="0">
      <w:lvlJc w:val="left"/>
      <w:lvlText w:val="(%1)"/>
      <w:numFmt w:val="lowerLetter"/>
      <w:start w:val="6"/>
    </w:lvl>
  </w:abstractNum>
  <w:abstractNum w:abstractNumId="100">
    <w:nsid w:val="23D86AAC"/>
    <w:multiLevelType w:val="hybridMultilevel"/>
    <w:lvl w:ilvl="0">
      <w:lvlJc w:val="left"/>
      <w:lvlText w:val="(%1)"/>
      <w:numFmt w:val="lowerLetter"/>
      <w:start w:val="7"/>
    </w:lvl>
  </w:abstractNum>
  <w:abstractNum w:abstractNumId="101">
    <w:nsid w:val="45E6D486"/>
    <w:multiLevelType w:val="hybridMultilevel"/>
    <w:lvl w:ilvl="0">
      <w:lvlJc w:val="left"/>
      <w:lvlText w:val="(%1)"/>
      <w:numFmt w:val="lowerLetter"/>
      <w:start w:val="8"/>
    </w:lvl>
  </w:abstractNum>
  <w:abstractNum w:abstractNumId="102">
    <w:nsid w:val="5C10FE21"/>
    <w:multiLevelType w:val="hybridMultilevel"/>
    <w:lvl w:ilvl="0">
      <w:lvlJc w:val="left"/>
      <w:lvlText w:val="(%1)"/>
      <w:numFmt w:val="lowerRoman"/>
      <w:start w:val="1"/>
    </w:lvl>
  </w:abstractNum>
  <w:abstractNum w:abstractNumId="103">
    <w:nsid w:val="E7FFA2B"/>
    <w:multiLevelType w:val="hybridMultilevel"/>
    <w:lvl w:ilvl="0">
      <w:lvlJc w:val="left"/>
      <w:lvlText w:val="(%1)"/>
      <w:numFmt w:val="lowerLetter"/>
      <w:start w:val="10"/>
    </w:lvl>
  </w:abstractNum>
  <w:abstractNum w:abstractNumId="104">
    <w:nsid w:val="3C5991AA"/>
    <w:multiLevelType w:val="hybridMultilevel"/>
    <w:lvl w:ilvl="0">
      <w:lvlJc w:val="left"/>
      <w:lvlText w:val="(%1)"/>
      <w:numFmt w:val="lowerLetter"/>
      <w:start w:val="11"/>
    </w:lvl>
  </w:abstractNum>
  <w:abstractNum w:abstractNumId="105">
    <w:nsid w:val="4BD8591A"/>
    <w:multiLevelType w:val="hybridMultilevel"/>
    <w:lvl w:ilvl="0">
      <w:lvlJc w:val="left"/>
      <w:lvlText w:val="(%1)"/>
      <w:numFmt w:val="lowerLetter"/>
      <w:start w:val="12"/>
    </w:lvl>
  </w:abstractNum>
  <w:abstractNum w:abstractNumId="106">
    <w:nsid w:val="78DF6A55"/>
    <w:multiLevelType w:val="hybridMultilevel"/>
    <w:lvl w:ilvl="0">
      <w:lvlJc w:val="left"/>
      <w:lvlText w:val="(%1)"/>
      <w:numFmt w:val="lowerLetter"/>
      <w:start w:val="13"/>
    </w:lvl>
  </w:abstractNum>
  <w:abstractNum w:abstractNumId="107">
    <w:nsid w:val="39B7AAA2"/>
    <w:multiLevelType w:val="hybridMultilevel"/>
    <w:lvl w:ilvl="0">
      <w:lvlJc w:val="left"/>
      <w:lvlText w:val="(%1)"/>
      <w:numFmt w:val="lowerLetter"/>
      <w:start w:val="14"/>
    </w:lvl>
  </w:abstractNum>
  <w:abstractNum w:abstractNumId="108">
    <w:nsid w:val="2B0D8DBE"/>
    <w:multiLevelType w:val="hybridMultilevel"/>
    <w:lvl w:ilvl="0">
      <w:lvlJc w:val="left"/>
      <w:lvlText w:val="(%1)"/>
      <w:numFmt w:val="lowerLetter"/>
      <w:start w:val="15"/>
    </w:lvl>
  </w:abstractNum>
  <w:abstractNum w:abstractNumId="109">
    <w:nsid w:val="6C80EC70"/>
    <w:multiLevelType w:val="hybridMultilevel"/>
    <w:lvl w:ilvl="0">
      <w:lvlJc w:val="left"/>
      <w:lvlText w:val="(%1)"/>
      <w:numFmt w:val="lowerLetter"/>
      <w:start w:val="16"/>
    </w:lvl>
  </w:abstractNum>
  <w:abstractNum w:abstractNumId="110">
    <w:nsid w:val="379E21B5"/>
    <w:multiLevelType w:val="hybridMultilevel"/>
    <w:lvl w:ilvl="0">
      <w:lvlJc w:val="left"/>
      <w:lvlText w:val="(%1)"/>
      <w:numFmt w:val="lowerLetter"/>
      <w:start w:val="17"/>
    </w:lvl>
  </w:abstractNum>
  <w:abstractNum w:abstractNumId="111">
    <w:nsid w:val="69E373"/>
    <w:multiLevelType w:val="hybridMultilevel"/>
    <w:lvl w:ilvl="0">
      <w:lvlJc w:val="left"/>
      <w:lvlText w:val="(%1)"/>
      <w:numFmt w:val="lowerLetter"/>
      <w:start w:val="18"/>
    </w:lvl>
  </w:abstractNum>
  <w:abstractNum w:abstractNumId="112">
    <w:nsid w:val="2C27173B"/>
    <w:multiLevelType w:val="hybridMultilevel"/>
    <w:lvl w:ilvl="0">
      <w:lvlJc w:val="left"/>
      <w:lvlText w:val="(%1)"/>
      <w:numFmt w:val="lowerLetter"/>
      <w:start w:val="19"/>
    </w:lvl>
  </w:abstractNum>
  <w:abstractNum w:abstractNumId="113">
    <w:nsid w:val="4C9B0904"/>
    <w:multiLevelType w:val="hybridMultilevel"/>
    <w:lvl w:ilvl="0">
      <w:lvlJc w:val="left"/>
      <w:lvlText w:val="(%1)"/>
      <w:numFmt w:val="decimal"/>
      <w:start w:val="5"/>
    </w:lvl>
  </w:abstractNum>
  <w:abstractNum w:abstractNumId="114">
    <w:nsid w:val="6AA7B75C"/>
    <w:multiLevelType w:val="hybridMultilevel"/>
    <w:lvl w:ilvl="0">
      <w:lvlJc w:val="left"/>
      <w:lvlText w:val="(%1)"/>
      <w:numFmt w:val="decimal"/>
      <w:start w:val="7"/>
    </w:lvl>
  </w:abstractNum>
  <w:abstractNum w:abstractNumId="115">
    <w:nsid w:val="1DF029D3"/>
    <w:multiLevelType w:val="hybridMultilevel"/>
    <w:lvl w:ilvl="0">
      <w:lvlJc w:val="left"/>
      <w:lvlText w:val="(%1)"/>
      <w:numFmt w:val="decimal"/>
      <w:start w:val="8"/>
    </w:lvl>
    <w:lvl w:ilvl="1">
      <w:lvlJc w:val="left"/>
      <w:lvlText w:val="(%2)"/>
      <w:numFmt w:val="lowerLetter"/>
      <w:start w:val="1"/>
    </w:lvl>
  </w:abstractNum>
  <w:abstractNum w:abstractNumId="116">
    <w:nsid w:val="5675FF36"/>
    <w:multiLevelType w:val="hybridMultilevel"/>
    <w:lvl w:ilvl="0">
      <w:lvlJc w:val="left"/>
      <w:lvlText w:val="(%1)"/>
      <w:numFmt w:val="lowerLetter"/>
      <w:start w:val="2"/>
    </w:lvl>
  </w:abstractNum>
  <w:abstractNum w:abstractNumId="117">
    <w:nsid w:val="3DD15094"/>
    <w:multiLevelType w:val="hybridMultilevel"/>
    <w:lvl w:ilvl="0">
      <w:lvlJc w:val="left"/>
      <w:lvlText w:val="(%1)"/>
      <w:numFmt w:val="decimal"/>
      <w:start w:val="9"/>
    </w:lvl>
  </w:abstractNum>
  <w:abstractNum w:abstractNumId="118">
    <w:nsid w:val="3DB012B3"/>
    <w:multiLevelType w:val="hybridMultilevel"/>
    <w:lvl w:ilvl="0">
      <w:lvlJc w:val="left"/>
      <w:lvlText w:val="(%1)"/>
      <w:numFmt w:val="decimal"/>
      <w:start w:val="10"/>
    </w:lvl>
  </w:abstractNum>
  <w:abstractNum w:abstractNumId="119">
    <w:nsid w:val="2708C9AF"/>
    <w:multiLevelType w:val="hybridMultilevel"/>
    <w:lvl w:ilvl="0">
      <w:lvlJc w:val="left"/>
      <w:lvlText w:val="(%1)"/>
      <w:numFmt w:val="decimal"/>
      <w:start w:val="11"/>
    </w:lvl>
  </w:abstractNum>
  <w:abstractNum w:abstractNumId="120">
    <w:nsid w:val="5B25ACE2"/>
    <w:multiLevelType w:val="hybridMultilevel"/>
    <w:lvl w:ilvl="0">
      <w:lvlJc w:val="left"/>
      <w:lvlText w:val="(%1)"/>
      <w:numFmt w:val="decimal"/>
      <w:start w:val="12"/>
    </w:lvl>
  </w:abstractNum>
  <w:abstractNum w:abstractNumId="121">
    <w:nsid w:val="175DFCF0"/>
    <w:multiLevelType w:val="hybridMultilevel"/>
    <w:lvl w:ilvl="0">
      <w:lvlJc w:val="left"/>
      <w:lvlText w:val="(%1)"/>
      <w:numFmt w:val="decimal"/>
      <w:start w:val="13"/>
    </w:lvl>
  </w:abstractNum>
  <w:abstractNum w:abstractNumId="122">
    <w:nsid w:val="4F97E3E4"/>
    <w:multiLevelType w:val="hybridMultilevel"/>
    <w:lvl w:ilvl="0">
      <w:lvlJc w:val="left"/>
      <w:lvlText w:val="(%1)"/>
      <w:numFmt w:val="decimal"/>
      <w:start w:val="14"/>
    </w:lvl>
  </w:abstractNum>
  <w:abstractNum w:abstractNumId="123">
    <w:nsid w:val="53B0A9E"/>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2019-12-09T14:34:18Z</dcterms:created>
  <dcterms:modified xsi:type="dcterms:W3CDTF">2019-12-09T14:34:18Z</dcterms:modified>
</cp:coreProperties>
</file>