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-125095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6" w:lineRule="exact"/>
        <w:rPr>
          <w:sz w:val="24"/>
          <w:szCs w:val="24"/>
          <w:color w:val="auto"/>
        </w:rPr>
      </w:pPr>
    </w:p>
    <w:p>
      <w:pPr>
        <w:ind w:left="580" w:right="3960" w:hanging="572"/>
        <w:spacing w:after="0" w:line="490"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2,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63103</w:t>
            </w:r>
          </w:p>
        </w:tc>
      </w:tr>
      <w:tr>
        <w:trPr>
          <w:trHeight w:val="238"/>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4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BBW</w:t>
            </w:r>
          </w:p>
        </w:tc>
        <w:tc>
          <w:tcPr>
            <w:tcW w:w="4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6" w:lineRule="exact"/>
        <w:rPr>
          <w:sz w:val="20"/>
          <w:szCs w:val="20"/>
          <w:color w:val="auto"/>
        </w:rPr>
      </w:pPr>
    </w:p>
    <w:p>
      <w:pPr>
        <w:sectPr>
          <w:pgSz w:w="11900" w:h="16838" w:orient="portrait"/>
          <w:cols w:equalWidth="0" w:num="3">
            <w:col w:w="1620" w:space="100"/>
            <w:col w:w="5200" w:space="720"/>
            <w:col w:w="3600"/>
          </w:cols>
          <w:pgMar w:left="320" w:top="12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17" w:lineRule="exact"/>
        <w:rPr>
          <w:sz w:val="20"/>
          <w:szCs w:val="20"/>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9, 2026, there were 12,537,443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20" w:type="dxa"/>
            <w:vAlign w:val="bottom"/>
            <w:gridSpan w:val="8"/>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2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80" w:type="dxa"/>
            <w:vAlign w:val="bottom"/>
            <w:gridSpan w:val="7"/>
          </w:tcPr>
          <w:p>
            <w:pPr>
              <w:ind w:left="1800"/>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90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8900" w:type="dxa"/>
            <w:vAlign w:val="bottom"/>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2060" w:type="dxa"/>
            <w:vAlign w:val="bottom"/>
            <w:gridSpan w:val="5"/>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2060" w:type="dxa"/>
            <w:vAlign w:val="bottom"/>
            <w:gridSpan w:val="5"/>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7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w:t>
            </w:r>
          </w:p>
        </w:tc>
        <w:tc>
          <w:tcPr>
            <w:tcW w:w="2060" w:type="dxa"/>
            <w:vAlign w:val="bottom"/>
            <w:gridSpan w:val="5"/>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040" w:type="dxa"/>
            <w:vAlign w:val="bottom"/>
            <w:gridSpan w:val="2"/>
          </w:tcPr>
          <w:p>
            <w:pPr>
              <w:spacing w:after="0"/>
              <w:rPr>
                <w:sz w:val="15"/>
                <w:szCs w:val="15"/>
                <w:color w:val="auto"/>
              </w:rPr>
            </w:pPr>
          </w:p>
        </w:tc>
        <w:tc>
          <w:tcPr>
            <w:tcW w:w="2060" w:type="dxa"/>
            <w:vAlign w:val="bottom"/>
            <w:gridSpan w:val="5"/>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7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2060" w:type="dxa"/>
            <w:vAlign w:val="bottom"/>
            <w:gridSpan w:val="5"/>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8900" w:type="dxa"/>
            <w:vAlign w:val="bottom"/>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17</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8900" w:type="dxa"/>
            <w:vAlign w:val="bottom"/>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8900" w:type="dxa"/>
            <w:vAlign w:val="bottom"/>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90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0"/>
              </w:rPr>
              <w:t>Item</w:t>
            </w:r>
          </w:p>
        </w:tc>
        <w:tc>
          <w:tcPr>
            <w:tcW w:w="40" w:type="dxa"/>
            <w:vAlign w:val="bottom"/>
            <w:shd w:val="clear" w:color="auto" w:fill="CCEEFF"/>
          </w:tcPr>
          <w:p>
            <w:pPr>
              <w:spacing w:after="0"/>
              <w:rPr>
                <w:sz w:val="17"/>
                <w:szCs w:val="17"/>
                <w:color w:val="auto"/>
              </w:rPr>
            </w:pPr>
          </w:p>
        </w:tc>
        <w:tc>
          <w:tcPr>
            <w:tcW w:w="85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shd w:val="clear" w:color="auto" w:fill="CCEEFF"/>
              </w:rPr>
              <w:t xml:space="preserve">1A.Risk </w:t>
            </w:r>
            <w:r>
              <w:rPr>
                <w:rFonts w:ascii="Times New Roman" w:cs="Times New Roman" w:eastAsia="Times New Roman" w:hAnsi="Times New Roman"/>
                <w:sz w:val="18"/>
                <w:szCs w:val="18"/>
                <w:color w:val="0000EE"/>
              </w:rPr>
              <w:t>Factors</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8900" w:type="dxa"/>
            <w:vAlign w:val="bottom"/>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6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3D85C6"/>
              </w:rPr>
              <w:t>Item 5.</w:t>
            </w:r>
          </w:p>
        </w:tc>
        <w:tc>
          <w:tcPr>
            <w:tcW w:w="82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3D85C6"/>
              </w:rPr>
              <w:t>Other Information</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3D85C6"/>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3D85C6"/>
            </w:tcBorders>
          </w:tcPr>
          <w:p>
            <w:pPr>
              <w:spacing w:after="0"/>
              <w:rPr>
                <w:sz w:val="18"/>
                <w:szCs w:val="18"/>
                <w:color w:val="auto"/>
              </w:rPr>
            </w:pPr>
          </w:p>
        </w:tc>
        <w:tc>
          <w:tcPr>
            <w:tcW w:w="40" w:type="dxa"/>
            <w:vAlign w:val="bottom"/>
            <w:tcBorders>
              <w:top w:val="single" w:sz="8" w:color="3D85C6"/>
            </w:tcBorders>
          </w:tcPr>
          <w:p>
            <w:pPr>
              <w:spacing w:after="0"/>
              <w:rPr>
                <w:sz w:val="18"/>
                <w:szCs w:val="18"/>
                <w:color w:val="auto"/>
              </w:rPr>
            </w:pPr>
          </w:p>
        </w:tc>
        <w:tc>
          <w:tcPr>
            <w:tcW w:w="140" w:type="dxa"/>
            <w:vAlign w:val="bottom"/>
            <w:tcBorders>
              <w:top w:val="single" w:sz="8" w:color="3D85C6"/>
            </w:tcBorders>
          </w:tcPr>
          <w:p>
            <w:pPr>
              <w:spacing w:after="0"/>
              <w:rPr>
                <w:sz w:val="18"/>
                <w:szCs w:val="18"/>
                <w:color w:val="auto"/>
              </w:rPr>
            </w:pPr>
          </w:p>
        </w:tc>
        <w:tc>
          <w:tcPr>
            <w:tcW w:w="40" w:type="dxa"/>
            <w:vAlign w:val="bottom"/>
            <w:tcBorders>
              <w:top w:val="single" w:sz="8" w:color="3D85C6"/>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3D85C6"/>
            </w:tcBorders>
          </w:tcPr>
          <w:p>
            <w:pPr>
              <w:spacing w:after="0"/>
              <w:rPr>
                <w:sz w:val="18"/>
                <w:szCs w:val="18"/>
                <w:color w:val="auto"/>
              </w:rPr>
            </w:pPr>
          </w:p>
        </w:tc>
        <w:tc>
          <w:tcPr>
            <w:tcW w:w="20" w:type="dxa"/>
            <w:vAlign w:val="bottom"/>
            <w:tcBorders>
              <w:top w:val="single" w:sz="8" w:color="3D85C6"/>
            </w:tcBorders>
          </w:tcPr>
          <w:p>
            <w:pPr>
              <w:spacing w:after="0"/>
              <w:rPr>
                <w:sz w:val="18"/>
                <w:szCs w:val="18"/>
                <w:color w:val="auto"/>
              </w:rPr>
            </w:pPr>
          </w:p>
        </w:tc>
        <w:tc>
          <w:tcPr>
            <w:tcW w:w="120" w:type="dxa"/>
            <w:vAlign w:val="bottom"/>
            <w:tcBorders>
              <w:top w:val="single" w:sz="8" w:color="3D85C6"/>
            </w:tcBorders>
          </w:tcPr>
          <w:p>
            <w:pPr>
              <w:spacing w:after="0"/>
              <w:rPr>
                <w:sz w:val="18"/>
                <w:szCs w:val="18"/>
                <w:color w:val="auto"/>
              </w:rPr>
            </w:pPr>
          </w:p>
        </w:tc>
        <w:tc>
          <w:tcPr>
            <w:tcW w:w="300" w:type="dxa"/>
            <w:vAlign w:val="bottom"/>
            <w:tcBorders>
              <w:top w:val="single" w:sz="8" w:color="3D85C6"/>
            </w:tcBorders>
          </w:tcPr>
          <w:p>
            <w:pPr>
              <w:spacing w:after="0"/>
              <w:rPr>
                <w:sz w:val="18"/>
                <w:szCs w:val="18"/>
                <w:color w:val="auto"/>
              </w:rPr>
            </w:pPr>
          </w:p>
        </w:tc>
        <w:tc>
          <w:tcPr>
            <w:tcW w:w="420" w:type="dxa"/>
            <w:vAlign w:val="bottom"/>
            <w:tcBorders>
              <w:top w:val="single" w:sz="8" w:color="3D85C6"/>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3D85C6"/>
            </w:tcBorders>
          </w:tcPr>
          <w:p>
            <w:pPr>
              <w:spacing w:after="0"/>
              <w:rPr>
                <w:sz w:val="18"/>
                <w:szCs w:val="18"/>
                <w:color w:val="auto"/>
              </w:rPr>
            </w:pPr>
          </w:p>
        </w:tc>
        <w:tc>
          <w:tcPr>
            <w:tcW w:w="80" w:type="dxa"/>
            <w:vAlign w:val="bottom"/>
            <w:tcBorders>
              <w:top w:val="single" w:sz="8" w:color="3D85C6"/>
            </w:tcBorders>
          </w:tcPr>
          <w:p>
            <w:pPr>
              <w:spacing w:after="0"/>
              <w:rPr>
                <w:sz w:val="18"/>
                <w:szCs w:val="18"/>
                <w:color w:val="auto"/>
              </w:rPr>
            </w:pPr>
          </w:p>
        </w:tc>
        <w:tc>
          <w:tcPr>
            <w:tcW w:w="40" w:type="dxa"/>
            <w:vAlign w:val="bottom"/>
            <w:tcBorders>
              <w:top w:val="single" w:sz="8" w:color="3D85C6"/>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6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2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8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160" w:type="dxa"/>
            <w:vAlign w:val="bottom"/>
            <w:gridSpan w:val="6"/>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2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200" w:type="dxa"/>
            <w:vAlign w:val="bottom"/>
            <w:tcBorders>
              <w:top w:val="single" w:sz="8" w:color="CCEEFF"/>
            </w:tcBorders>
            <w:gridSpan w:val="13"/>
          </w:tcPr>
          <w:p>
            <w:pPr>
              <w:jc w:val="center"/>
              <w:ind w:left="331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May 3,</w:t>
            </w:r>
          </w:p>
        </w:tc>
      </w:tr>
      <w:tr>
        <w:trPr>
          <w:trHeight w:val="238"/>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26,247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26,755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44,342</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77,806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72,299</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31,630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12,149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12,156</w:t>
            </w:r>
          </w:p>
        </w:tc>
      </w:tr>
      <w:tr>
        <w:trPr>
          <w:trHeight w:val="210"/>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147,832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142,597</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119,622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121,129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92,699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73,778</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59,260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354,085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345,453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308,303</w:t>
            </w:r>
          </w:p>
        </w:tc>
      </w:tr>
      <w:tr>
        <w:trPr>
          <w:trHeight w:val="197"/>
        </w:trPr>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15,318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33,932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24,273</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28,276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26,507</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14,260</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14,851</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96,604</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90,626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85,351</w:t>
            </w:r>
          </w:p>
        </w:tc>
      </w:tr>
      <w:tr>
        <w:trPr>
          <w:trHeight w:val="216"/>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97,414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98,647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72,957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outstanding at May 2, 2026, January 31, 2026 and May 3, 2025</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12,628,877, 12,808,954, and 13,174,014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59,919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61,602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(10,939)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(11,295)</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98,243</w:t>
            </w:r>
          </w:p>
        </w:tc>
        <w:tc>
          <w:tcPr>
            <w:tcW w:w="100" w:type="dxa"/>
            <w:vAlign w:val="bottom"/>
          </w:tcPr>
          <w:p>
            <w:pPr>
              <w:spacing w:after="0"/>
              <w:rPr>
                <w:sz w:val="18"/>
                <w:szCs w:val="18"/>
                <w:color w:val="auto"/>
              </w:rPr>
            </w:pPr>
          </w:p>
        </w:tc>
      </w:tr>
      <w:tr>
        <w:trPr>
          <w:trHeight w:val="209"/>
        </w:trPr>
        <w:tc>
          <w:tcPr>
            <w:tcW w:w="6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159,019</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354,085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345,453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308,303</w:t>
            </w:r>
          </w:p>
        </w:tc>
      </w:tr>
      <w:tr>
        <w:trPr>
          <w:trHeight w:val="20"/>
        </w:trPr>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12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AND COMPREHENSIVE INCOME</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600"/>
              <w:spacing w:after="0" w:line="201" w:lineRule="exact"/>
              <w:rPr>
                <w:sz w:val="20"/>
                <w:szCs w:val="20"/>
                <w:color w:val="auto"/>
              </w:rPr>
            </w:pPr>
            <w:r>
              <w:rPr>
                <w:rFonts w:ascii="Times New Roman" w:cs="Times New Roman" w:eastAsia="Times New Roman" w:hAnsi="Times New Roman"/>
                <w:sz w:val="18"/>
                <w:szCs w:val="18"/>
                <w:b w:val="1"/>
                <w:bCs w:val="1"/>
                <w:color w:val="auto"/>
              </w:rPr>
              <w:t>May 2,</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70"/>
              <w:spacing w:after="0" w:line="201" w:lineRule="exact"/>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113,466</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119,589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7,623</w:t>
            </w: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4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51,571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4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53,555</w:t>
            </w: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4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gridSpan w:val="2"/>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12,584,388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13,080,301</w:t>
            </w:r>
          </w:p>
        </w:tc>
        <w:tc>
          <w:tcPr>
            <w:tcW w:w="0" w:type="dxa"/>
            <w:vAlign w:val="bottom"/>
          </w:tcPr>
          <w:p>
            <w:pPr>
              <w:spacing w:after="0"/>
              <w:rPr>
                <w:sz w:val="1"/>
                <w:szCs w:val="1"/>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12,638,710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13,144,243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2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600"/>
              <w:spacing w:after="0" w:line="188" w:lineRule="exact"/>
              <w:rPr>
                <w:sz w:val="20"/>
                <w:szCs w:val="20"/>
                <w:color w:val="auto"/>
              </w:rPr>
            </w:pPr>
            <w:r>
              <w:rPr>
                <w:rFonts w:ascii="Times New Roman" w:cs="Times New Roman" w:eastAsia="Times New Roman" w:hAnsi="Times New Roman"/>
                <w:sz w:val="18"/>
                <w:szCs w:val="18"/>
                <w:b w:val="1"/>
                <w:bCs w:val="1"/>
                <w:color w:val="auto"/>
              </w:rPr>
              <w:t>May 2,</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18,299</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1,546</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Provision/adjustments for doubtful accounts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film costs and advances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Deferred taxes</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Inventories, net</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(1,766)</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Receivables, net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2,730</w:t>
            </w:r>
          </w:p>
        </w:tc>
      </w:tr>
      <w:tr>
        <w:trPr>
          <w:trHeight w:val="216"/>
        </w:trPr>
        <w:tc>
          <w:tcPr>
            <w:tcW w:w="80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IEEPA tariff refund receivable</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7,086</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r>
      <w:tr>
        <w:trPr>
          <w:trHeight w:val="209"/>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27,803</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(2,907)</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common stock for employee equity awards, net of tax</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paid on vested participating securities</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(4,208)</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(Decrease)/Increase in cash, cash equivalents, and restricted cash</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16,584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26,247</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44,342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25,843</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43,941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 from long-term deposits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26,247</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44,342</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5"/>
        </w:trPr>
        <w:tc>
          <w:tcPr>
            <w:tcW w:w="1280" w:type="dxa"/>
            <w:vAlign w:val="bottom"/>
          </w:tcPr>
          <w:p>
            <w:pPr>
              <w:spacing w:after="0"/>
              <w:rPr>
                <w:sz w:val="24"/>
                <w:szCs w:val="24"/>
                <w:color w:val="auto"/>
              </w:rPr>
            </w:pPr>
          </w:p>
        </w:tc>
        <w:tc>
          <w:tcPr>
            <w:tcW w:w="712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United States Securities and Exchange Commission (“SEC”). Certain information and footnote disclosures normally included in financial statements prepared in accordance with United States ("U.S.") generally accepted accounting principles (“GAAP”) have been condensed or omitted pursuant to such rules and regulations. The condensed consolidated balance sheet of the Company as of January 31, 2026,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31, 2026, which were included in the Company’s Annual Report on Form 10-K filed with the SEC on April 16, 2026, as amended by Amendment No. 1 filed with the SEC on April 17, 2026 (the "2025 Form 10-K").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significant accounting policies are summarized in Note 2 to the consolidated financial statements included in its 2025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left="160" w:firstLine="486"/>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provides the option to apply a practical expedient to address implementation challenges related to the estimation of expected credit losses for current accounts receivable and current assets arising from transactions accounted for under revenue recognition (Topic 606) and assets acquired through business combinations. The practical expedient allows entities to assume that current conditions as of the balance sheet date remain unchanged over the life of these assets when developing forecasts. The guidance allows entities to bypass the requirement to incorporate macro-economic data into their forecast when such data is not expected to materially affect the estimate. The Company adopted the guidance in ASU 2025-05 effective February 1, 2026 prospectively and applied the practical expedient. The adoption of this new accounting standard did not have a material impact on the Company's condensed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Currently, most of the Company’s revenue is derived from direct-to-consumer ("DTC")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91% of consolidated revenue for the first quarter of fiscal 2026. The majority of these sales transactions were single performance obligations that were recorded when control of merchandise was transferred to the customer.</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through three reportable segments.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control generally transfers upon delivery to the customer. 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sales, where consumers customize their own stuffed animal. The Company has elected to exclude from revenue all collected sales, value add, and other taxes paid by its customers.</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For the Company’s gift cards, revenue is deferred for single transactions until redemption including any related gift card discounts. Approximately 80% of gift cards issued are redeemed within three years of issuance and over the last three years, approximately 65% of gift cards issued have been redeemed within the first twelve months. In addition, unredeemed gift cards or breakage revenue is recorded in proportion to the consumers’ redemption pattern using an estimated breakage rate based on historical experience. Following the reopening of stores after the pandemic, the Company experienced lower gift card redemption rates for all periods of outstanding activated cards compared to historical redemption patterns observed prior to fiscal year 2020, which impacted the gift card breakage rate. Management believes that the redemption behavior observed during the pandemic was not indicative of long-term customer behavior and accordingly adjusted the historical redemption data used to calculate the breakage rate. In more recent periods, gift card redemption patterns have generally returned to levels consistent with pre-2020 experience. The Company continues to evaluate expected breakage annually and adjusts the breakage rates in the fourth quarter of each year, or at other times if significant changes in consumer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As a matter of sensitivity, a hypothetical 1% change in our gift card breakage rate in fiscal 2025 would have resulted in a change in breakage revenue of $1.3 million.</w:t>
      </w:r>
    </w:p>
    <w:p>
      <w:pPr>
        <w:spacing w:after="0" w:line="19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Loyalty program points expire if there is no qualifying account activity for a period of 12 months. The Company issues certificates daily to loyalty program members who have earned 100 or more points in North America and 50 points or more in the United Kingdom (the "U.K.") with</w:t>
      </w:r>
    </w:p>
    <w:p>
      <w:pPr>
        <w:spacing w:after="0" w:line="3"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certificates historically expiring in four months if not redeemed. The Company assesses the redemption rates of its certifications on a quarterly basis to update the rate at which loyalty program points turn into certifications and the rate that certifications are redeemed. The Company classifies contract liabilities related to the loyalty program as deferred revenue and other on the condensed consolidated balance sheet.</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Company’s commercial segment includes transactions with other businesses and is mainly comprised of wholesale sales of merchandise, supplies and fixtures, licensing the Company's intellectual properties for third-party use, and revenues generated from entertainment activities. Revenue for wholesale sales is recognized when the control of the merchandise or fixtures is transferred to the customer, which generally occurs upon shipment to the customer. The license agreements provide the customer with highly interrelated rights, including the Build-A-Bear retail operations proprietary process,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w:t>
      </w:r>
    </w:p>
    <w:p>
      <w:pPr>
        <w:spacing w:after="0" w:line="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as deferred revenue and other on the condensed consolidated balance sheet. Entertainment revenue is generated through the sale of entertainment assets directly to customers or through licensing agreements.</w:t>
      </w:r>
    </w:p>
    <w:p>
      <w:pPr>
        <w:spacing w:after="0" w:line="18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and other on its condensed consolidated balance sheet. Revenue from merchandise and fixture sales is recognized when control is transferred to the franchisee, which generally occurs upon delivery.</w:t>
      </w:r>
    </w:p>
    <w:p>
      <w:pPr>
        <w:spacing w:after="0" w:line="192"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as an incremental cost, and expense all other costs as incurred. The Company amortizes these capitalized costs into expense in the same pattern as the development fee as described previously. These capitalized costs for the thirteen weeks ended May 2, 2026 are not material to the financial statements.</w:t>
      </w:r>
    </w:p>
    <w:p>
      <w:pPr>
        <w:spacing w:after="0" w:line="164" w:lineRule="exact"/>
        <w:rPr>
          <w:sz w:val="20"/>
          <w:szCs w:val="20"/>
          <w:color w:val="auto"/>
        </w:rPr>
      </w:pPr>
    </w:p>
    <w:p>
      <w:pPr>
        <w:jc w:val="both"/>
        <w:ind w:right="400" w:firstLine="648"/>
        <w:spacing w:after="0" w:line="272" w:lineRule="auto"/>
        <w:rPr>
          <w:sz w:val="20"/>
          <w:szCs w:val="20"/>
          <w:color w:val="auto"/>
        </w:rPr>
      </w:pPr>
      <w:r>
        <w:rPr>
          <w:rFonts w:ascii="Times New Roman" w:cs="Times New Roman" w:eastAsia="Times New Roman" w:hAnsi="Times New Roman"/>
          <w:sz w:val="17"/>
          <w:szCs w:val="17"/>
          <w:color w:val="auto"/>
        </w:rPr>
        <w:t>The Company reserves for “expected” credit losses on financial instruments and other commitments to extend credit rather than the “incurred loss” model. These expected credit losses for financial assets held at the reporting date are to be based on historical experience, current conditions and reasonable and supportable forecasts. For the thirteen weeks ended May 2, 2026 and May 3, 2025, the Company's accounts receivable are net</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of $4.1 million and $7.0 million, inclusive of the allowance for credit losses and the reserve for the UK's customs authority "HMRC" matter of $0.6 million and $3.6 million, respectively. See Note 12 for further discussion of the HMRC matter.</w:t>
      </w:r>
    </w:p>
    <w:p>
      <w:pPr>
        <w:spacing w:after="0" w:line="181" w:lineRule="exact"/>
        <w:rPr>
          <w:sz w:val="20"/>
          <w:szCs w:val="20"/>
          <w:color w:val="auto"/>
        </w:rPr>
      </w:pPr>
    </w:p>
    <w:p>
      <w:pPr>
        <w:ind w:left="160" w:right="60" w:firstLine="486"/>
        <w:spacing w:after="0" w:line="312" w:lineRule="auto"/>
        <w:rPr>
          <w:sz w:val="20"/>
          <w:szCs w:val="20"/>
          <w:color w:val="auto"/>
        </w:rPr>
      </w:pPr>
      <w:r>
        <w:rPr>
          <w:rFonts w:ascii="Times New Roman" w:cs="Times New Roman" w:eastAsia="Times New Roman" w:hAnsi="Times New Roman"/>
          <w:sz w:val="17"/>
          <w:szCs w:val="17"/>
          <w:color w:val="auto"/>
        </w:rPr>
        <w:t>On February 20, 2026, the U.S. Supreme Court issued a ruling striking down certain tariffs previously imposed under the International Emergency Economic Powers Act ("IEEPA"). Further, on March 4, 2026, the Court of International Trade ruled that U.S. Customs and Border Protection must</w:t>
      </w:r>
    </w:p>
    <w:p>
      <w:pPr>
        <w:sectPr>
          <w:pgSz w:w="11900" w:h="16868" w:orient="portrait"/>
          <w:cols w:equalWidth="0" w:num="1">
            <w:col w:w="11240"/>
          </w:cols>
          <w:pgMar w:left="320" w:top="121" w:right="339" w:bottom="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t>refund the IEEPA tariffs that were collected. Based on these court rulings affirming the Company's legal right to recover IEEPA tariffs, the Company determined that it is entitled to a tariff refund of approximately $13.2 million, which was recorded in receivables, net on the condensed consolidated balance sheet. For the thirteen weeks ended May 2, 2026, the Company recorded a $10.4 million benefit for these tariffs in cost of merchandise sold-retail on the condensed consolidated statements of operations and comprehensive income and reduced the carrying value of inventory by $2.8 million on the condensed consolidated balance sheet as of May 2, 2026.</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80" w:top="121"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9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weeks ended May 2, 2026 and May 3,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38"/>
        </w:trPr>
        <w:tc>
          <w:tcPr>
            <w:tcW w:w="4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0"/>
                <w:szCs w:val="20"/>
                <w:color w:val="auto"/>
              </w:rPr>
            </w:pP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09"/>
        </w:trPr>
        <w:tc>
          <w:tcPr>
            <w:tcW w:w="4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9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10,443</w:t>
            </w: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Variable lease costs </w:t>
            </w:r>
            <w:r>
              <w:rPr>
                <w:rFonts w:ascii="Times New Roman" w:cs="Times New Roman" w:eastAsia="Times New Roman" w:hAnsi="Times New Roman"/>
                <w:sz w:val="25"/>
                <w:szCs w:val="25"/>
                <w:color w:val="auto"/>
                <w:vertAlign w:val="superscript"/>
              </w:rPr>
              <w:t>(1)</w:t>
            </w: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2,214</w:t>
            </w: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tcPr>
          <w:p>
            <w:pPr>
              <w:spacing w:after="0"/>
              <w:rPr>
                <w:sz w:val="18"/>
                <w:szCs w:val="18"/>
                <w:color w:val="auto"/>
              </w:rPr>
            </w:pP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lease costs</w:t>
            </w:r>
          </w:p>
        </w:tc>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r>
      <w:tr>
        <w:trPr>
          <w:trHeight w:val="22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right="780" w:hanging="459"/>
        <w:spacing w:after="0" w:line="195" w:lineRule="auto"/>
        <w:tabs>
          <w:tab w:leader="none" w:pos="10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weeks ended May 2, 2026 and May 3,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38"/>
        </w:trPr>
        <w:tc>
          <w:tcPr>
            <w:tcW w:w="7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May 3, 2025</w:t>
            </w: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As of May 2, 2026 and May 3, 2025, the weighted-average remaining operating lease term was 6.3 years and 6.1 years, respectively, and the weighted-average discount rate was 6.9% and 7.2%, respectively, for operating leases recognized on the Company's condensed consolidated balance sheets.</w:t>
      </w:r>
    </w:p>
    <w:p>
      <w:pPr>
        <w:spacing w:after="0" w:line="14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value of our operating lease asset was $119.6 million and $92.7 million as of May 2, 2026 and May 3, 2025, respectively. The increase was driven by the Company entering into leases for new stores as well as securing longer-term extensions for existing stores resulting in contracts with more favorable terms.</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2, 2026 and the thirteen weeks ended May 3, 2025 the Company incurred no impairment charges against its right-of-use operating lease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2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condensed consolidated balance sheet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gridSpan w:val="2"/>
          </w:tcPr>
          <w:p>
            <w:pPr>
              <w:jc w:val="right"/>
              <w:ind w:right="463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08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31,978</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27,801</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22,270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17,569</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13,816</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3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41,129</w:t>
            </w:r>
          </w:p>
        </w:tc>
        <w:tc>
          <w:tcPr>
            <w:tcW w:w="100" w:type="dxa"/>
            <w:vAlign w:val="bottom"/>
          </w:tcPr>
          <w:p>
            <w:pPr>
              <w:spacing w:after="0"/>
              <w:rPr>
                <w:sz w:val="18"/>
                <w:szCs w:val="18"/>
                <w:color w:val="auto"/>
              </w:rPr>
            </w:pPr>
          </w:p>
        </w:tc>
      </w:tr>
      <w:tr>
        <w:trPr>
          <w:trHeight w:val="209"/>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154,563</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(28,873)</w:t>
            </w:r>
          </w:p>
        </w:tc>
      </w:tr>
      <w:tr>
        <w:trPr>
          <w:trHeight w:val="210"/>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3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125,690</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(28,276)</w:t>
            </w: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May 2, 2026, the Company had additional executed leases that had not yet commenced with operating lease liabilities of $4.4 million. These leases are expected to commence in the second quarter of fiscal 2026 with lease terms of 10 years.</w:t>
      </w:r>
    </w:p>
    <w:p>
      <w:pPr>
        <w:sectPr>
          <w:pgSz w:w="11900" w:h="16838" w:orient="portrait"/>
          <w:cols w:equalWidth="0" w:num="1">
            <w:col w:w="11240"/>
          </w:cols>
          <w:pgMar w:left="320" w:top="121" w:right="339" w:bottom="997"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97"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May 3,</w:t>
            </w:r>
          </w:p>
        </w:tc>
      </w:tr>
      <w:tr>
        <w:trPr>
          <w:trHeight w:val="238"/>
        </w:trPr>
        <w:tc>
          <w:tcPr>
            <w:tcW w:w="3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3020" w:type="dxa"/>
            <w:vAlign w:val="bottom"/>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4,284</w:t>
            </w: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2,570</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655</w:t>
            </w:r>
          </w:p>
        </w:tc>
        <w:tc>
          <w:tcPr>
            <w:tcW w:w="14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3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Prepaid taxes </w:t>
            </w:r>
            <w:r>
              <w:rPr>
                <w:rFonts w:ascii="Times New Roman" w:cs="Times New Roman" w:eastAsia="Times New Roman" w:hAnsi="Times New Roman"/>
                <w:sz w:val="25"/>
                <w:szCs w:val="25"/>
                <w:color w:val="auto"/>
                <w:vertAlign w:val="superscript"/>
              </w:rPr>
              <w:t>(2)</w:t>
            </w:r>
          </w:p>
        </w:tc>
        <w:tc>
          <w:tcPr>
            <w:tcW w:w="1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1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Prepaid gift card fees</w:t>
            </w:r>
          </w:p>
        </w:tc>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w:t>
            </w:r>
          </w:p>
        </w:tc>
        <w:tc>
          <w:tcPr>
            <w:tcW w:w="14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royalties</w:t>
            </w:r>
          </w:p>
        </w:tc>
        <w:tc>
          <w:tcPr>
            <w:tcW w:w="1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w:t>
            </w:r>
          </w:p>
        </w:tc>
        <w:tc>
          <w:tcPr>
            <w:tcW w:w="1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(3)</w:t>
            </w:r>
          </w:p>
        </w:tc>
        <w:tc>
          <w:tcPr>
            <w:tcW w:w="16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2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00" w:type="dxa"/>
            <w:vAlign w:val="bottom"/>
          </w:tcPr>
          <w:p>
            <w:pPr>
              <w:spacing w:after="0"/>
              <w:rPr>
                <w:sz w:val="18"/>
                <w:szCs w:val="18"/>
                <w:color w:val="auto"/>
              </w:rPr>
            </w:pPr>
          </w:p>
        </w:tc>
      </w:tr>
      <w:tr>
        <w:trPr>
          <w:trHeight w:val="249"/>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87" w:lineRule="exact"/>
        <w:rPr>
          <w:sz w:val="20"/>
          <w:szCs w:val="20"/>
          <w:color w:val="auto"/>
        </w:rPr>
      </w:pPr>
    </w:p>
    <w:p>
      <w:pPr>
        <w:ind w:left="920" w:hanging="345"/>
        <w:spacing w:after="0"/>
        <w:tabs>
          <w:tab w:leader="none" w:pos="9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Prepaid occupancy consists of prepaid expenses related to variable non-lease components.</w:t>
      </w:r>
    </w:p>
    <w:p>
      <w:pPr>
        <w:spacing w:after="0" w:line="1" w:lineRule="exact"/>
        <w:rPr>
          <w:rFonts w:ascii="Times New Roman" w:cs="Times New Roman" w:eastAsia="Times New Roman" w:hAnsi="Times New Roman"/>
          <w:sz w:val="30"/>
          <w:szCs w:val="30"/>
          <w:color w:val="auto"/>
          <w:vertAlign w:val="superscript"/>
        </w:rPr>
      </w:pPr>
    </w:p>
    <w:p>
      <w:pPr>
        <w:ind w:left="920" w:hanging="345"/>
        <w:spacing w:after="0" w:line="194" w:lineRule="auto"/>
        <w:tabs>
          <w:tab w:leader="none" w:pos="9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Prepaid taxes consist of prepaid federal and state income tax.</w:t>
      </w:r>
    </w:p>
    <w:p>
      <w:pPr>
        <w:spacing w:after="0" w:line="2" w:lineRule="exact"/>
        <w:rPr>
          <w:rFonts w:ascii="Times New Roman" w:cs="Times New Roman" w:eastAsia="Times New Roman" w:hAnsi="Times New Roman"/>
          <w:sz w:val="23"/>
          <w:szCs w:val="23"/>
          <w:color w:val="auto"/>
          <w:vertAlign w:val="superscript"/>
        </w:rPr>
      </w:pPr>
    </w:p>
    <w:p>
      <w:pPr>
        <w:ind w:left="920" w:hanging="345"/>
        <w:spacing w:after="0" w:line="194" w:lineRule="auto"/>
        <w:tabs>
          <w:tab w:leader="none" w:pos="9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Other consists primarily of prepaid expense related to information technology maintenance contracts and software as a service.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May 3,</w:t>
            </w:r>
          </w:p>
        </w:tc>
      </w:tr>
      <w:tr>
        <w:trPr>
          <w:trHeight w:val="238"/>
        </w:trPr>
        <w:tc>
          <w:tcPr>
            <w:tcW w:w="4960" w:type="dxa"/>
            <w:vAlign w:val="bottom"/>
          </w:tcPr>
          <w:p>
            <w:pPr>
              <w:spacing w:after="0"/>
              <w:rPr>
                <w:sz w:val="20"/>
                <w:szCs w:val="20"/>
                <w:color w:val="auto"/>
              </w:rPr>
            </w:pP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9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Entertainment assets </w:t>
            </w:r>
            <w:r>
              <w:rPr>
                <w:rFonts w:ascii="Times New Roman" w:cs="Times New Roman" w:eastAsia="Times New Roman" w:hAnsi="Times New Roman"/>
                <w:sz w:val="24"/>
                <w:szCs w:val="24"/>
                <w:color w:val="auto"/>
                <w:vertAlign w:val="superscript"/>
              </w:rPr>
              <w:t>(1)</w:t>
            </w: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4,493</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1,665</w:t>
            </w:r>
          </w:p>
        </w:tc>
      </w:tr>
      <w:tr>
        <w:trPr>
          <w:trHeight w:val="216"/>
        </w:trPr>
        <w:tc>
          <w:tcPr>
            <w:tcW w:w="496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(2)</w:t>
            </w:r>
          </w:p>
        </w:tc>
        <w:tc>
          <w:tcPr>
            <w:tcW w:w="1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200" w:type="dxa"/>
            <w:vAlign w:val="bottom"/>
          </w:tcPr>
          <w:p>
            <w:pPr>
              <w:spacing w:after="0"/>
              <w:rPr>
                <w:sz w:val="18"/>
                <w:szCs w:val="18"/>
                <w:color w:val="auto"/>
              </w:rPr>
            </w:pPr>
          </w:p>
        </w:tc>
        <w:tc>
          <w:tcPr>
            <w:tcW w:w="1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6,080</w:t>
            </w:r>
          </w:p>
        </w:tc>
      </w:tr>
      <w:tr>
        <w:trPr>
          <w:trHeight w:val="20"/>
        </w:trPr>
        <w:tc>
          <w:tcPr>
            <w:tcW w:w="49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right="180" w:hanging="345"/>
        <w:spacing w:after="0" w:line="195" w:lineRule="auto"/>
        <w:tabs>
          <w:tab w:leader="none" w:pos="920" w:val="left"/>
        </w:tabs>
        <w:numPr>
          <w:ilvl w:val="1"/>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Entertainment assets includes the direct costs, production overhead and development costs in producing entertainment assets such as films or music.</w:t>
      </w:r>
    </w:p>
    <w:p>
      <w:pPr>
        <w:spacing w:after="0" w:line="1" w:lineRule="exact"/>
        <w:rPr>
          <w:rFonts w:ascii="Times New Roman" w:cs="Times New Roman" w:eastAsia="Times New Roman" w:hAnsi="Times New Roman"/>
          <w:sz w:val="30"/>
          <w:szCs w:val="30"/>
          <w:color w:val="auto"/>
          <w:vertAlign w:val="superscript"/>
        </w:rPr>
      </w:pPr>
    </w:p>
    <w:p>
      <w:pPr>
        <w:ind w:left="920" w:hanging="345"/>
        <w:spacing w:after="0" w:line="180" w:lineRule="auto"/>
        <w:tabs>
          <w:tab w:leader="none" w:pos="920" w:val="left"/>
        </w:tabs>
        <w:numPr>
          <w:ilvl w:val="1"/>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Other consists primarily of deferred financing costs related to the Company's credit facility.</w:t>
      </w:r>
    </w:p>
    <w:p>
      <w:pPr>
        <w:spacing w:after="0" w:line="200" w:lineRule="exact"/>
        <w:rPr>
          <w:rFonts w:ascii="Times New Roman" w:cs="Times New Roman" w:eastAsia="Times New Roman" w:hAnsi="Times New Roman"/>
          <w:sz w:val="25"/>
          <w:szCs w:val="25"/>
          <w:color w:val="auto"/>
          <w:vertAlign w:val="superscript"/>
        </w:rPr>
      </w:pPr>
    </w:p>
    <w:p>
      <w:pPr>
        <w:spacing w:after="0" w:line="237" w:lineRule="exact"/>
        <w:rPr>
          <w:rFonts w:ascii="Times New Roman" w:cs="Times New Roman" w:eastAsia="Times New Roman" w:hAnsi="Times New Roman"/>
          <w:sz w:val="25"/>
          <w:szCs w:val="25"/>
          <w:color w:val="auto"/>
          <w:vertAlign w:val="superscript"/>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May 3,</w:t>
            </w:r>
          </w:p>
        </w:tc>
      </w:tr>
      <w:tr>
        <w:trPr>
          <w:trHeight w:val="238"/>
        </w:trPr>
        <w:tc>
          <w:tcPr>
            <w:tcW w:w="4960" w:type="dxa"/>
            <w:vAlign w:val="bottom"/>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16,824</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18,351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value added taxes payable</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2,921</w:t>
            </w:r>
          </w:p>
        </w:tc>
      </w:tr>
      <w:tr>
        <w:trPr>
          <w:trHeight w:val="216"/>
        </w:trPr>
        <w:tc>
          <w:tcPr>
            <w:tcW w:w="49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Accrued rent and related expenses </w:t>
            </w:r>
            <w:r>
              <w:rPr>
                <w:rFonts w:ascii="Times New Roman" w:cs="Times New Roman" w:eastAsia="Times New Roman" w:hAnsi="Times New Roman"/>
                <w:sz w:val="25"/>
                <w:szCs w:val="25"/>
                <w:color w:val="auto"/>
                <w:vertAlign w:val="superscript"/>
              </w:rPr>
              <w:t>(1)</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r>
      <w:tr>
        <w:trPr>
          <w:trHeight w:val="216"/>
        </w:trPr>
        <w:tc>
          <w:tcPr>
            <w:tcW w:w="496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Accrued expense - other </w:t>
            </w:r>
            <w:r>
              <w:rPr>
                <w:rFonts w:ascii="Times New Roman" w:cs="Times New Roman" w:eastAsia="Times New Roman" w:hAnsi="Times New Roman"/>
                <w:sz w:val="25"/>
                <w:szCs w:val="25"/>
                <w:color w:val="auto"/>
                <w:vertAlign w:val="superscript"/>
              </w:rPr>
              <w:t>(2)</w:t>
            </w:r>
          </w:p>
        </w:tc>
        <w:tc>
          <w:tcPr>
            <w:tcW w:w="1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33,932</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26,104</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24,273</w:t>
            </w:r>
          </w:p>
        </w:tc>
      </w:tr>
      <w:tr>
        <w:trPr>
          <w:trHeight w:val="20"/>
        </w:trPr>
        <w:tc>
          <w:tcPr>
            <w:tcW w:w="49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920" w:hanging="345"/>
        <w:spacing w:after="0"/>
        <w:tabs>
          <w:tab w:leader="none" w:pos="9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Accrued rent and related expenses consist of accrued costs associated with non-lease components.</w:t>
      </w:r>
    </w:p>
    <w:p>
      <w:pPr>
        <w:spacing w:after="0" w:line="1" w:lineRule="exact"/>
        <w:rPr>
          <w:rFonts w:ascii="Times New Roman" w:cs="Times New Roman" w:eastAsia="Times New Roman" w:hAnsi="Times New Roman"/>
          <w:sz w:val="30"/>
          <w:szCs w:val="30"/>
          <w:color w:val="auto"/>
          <w:vertAlign w:val="superscript"/>
        </w:rPr>
      </w:pPr>
    </w:p>
    <w:p>
      <w:pPr>
        <w:ind w:left="920" w:hanging="345"/>
        <w:spacing w:after="0" w:line="194" w:lineRule="auto"/>
        <w:tabs>
          <w:tab w:leader="none" w:pos="9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Accrued expense - other consists of costs associated with legal accruals.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On April 14, 2020, the Company's Board of Directors (the “Board”) adopted, subject to stockholder approval, the Build-A-Bear Workshop, Inc. 2020 Omnibus Incentive Plan (the “2020 Incentive Plan”). On June 11, 2020, the Company’s stockholders approved the 2020 Incentive Plan. On</w:t>
      </w:r>
    </w:p>
    <w:p>
      <w:pPr>
        <w:spacing w:after="0" w:line="251" w:lineRule="auto"/>
        <w:rPr>
          <w:sz w:val="20"/>
          <w:szCs w:val="20"/>
          <w:color w:val="auto"/>
        </w:rPr>
      </w:pPr>
      <w:r>
        <w:rPr>
          <w:rFonts w:ascii="Times New Roman" w:cs="Times New Roman" w:eastAsia="Times New Roman" w:hAnsi="Times New Roman"/>
          <w:sz w:val="18"/>
          <w:szCs w:val="18"/>
          <w:color w:val="auto"/>
        </w:rPr>
        <w:t>April 11, 2023, the Board adopted, subject to stockholder approval, the Build-A-Bear Workshop, Inc. Amended and Restated 2020 Omnibus Incentive Plan (the “Restated 2020 Incentive Plan”). On June 8, 2023, at the Company’s 2023 Annual Meeting of Stockholders, the Company’s stockholders approved the Restated 2020 Incentive Plan. The Restated 2020 Incentive Plan, which is administered by the Compensation and Human Capital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2020 Incentive Plan. The Restated 2020 Incentive Plan will terminate on April 11, 2033, unless earlier terminated by the Board. The total number of shares of the Company’s common stock authorized for issuance under the Restated 2020 Incentive Plan increased by 800,000 to a maximum of 1,800,000 since its inception as the 2020 Incentive Plan, subject to customary capitalization adjustments, substitutions of acquired company awards and certain additions of acquired company plan shares, plus shares that are subject to outstanding awards made under the Build-A-Bear Workshop, Inc. 2017 Omnibus Incentive Plan (the “2017 Plan”) that on or after April 14, 2020, may be forfeited, expire or be settled for cash.</w:t>
      </w:r>
    </w:p>
    <w:p>
      <w:pPr>
        <w:spacing w:after="0" w:line="19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For the thirteen weeks ended May 2, 2026 and May 3, 2025, selling, general and administrative expense included stock-based compensation expense of $0.7 million and $0.5 million, respectively. As of May 2, 2026, there was $5.6 million of total unrecognized compensation expense related to unvested restricted stock awards which is expected to be recognized over a weighted-average period of 1.6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2, 2026 and January 31, 2026 the Company had no outstanding stock options.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thirteen weeks ended May 2,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6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34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Performance-Based Restricted Stock</w:t>
            </w:r>
          </w:p>
        </w:tc>
      </w:tr>
      <w:tr>
        <w:trPr>
          <w:trHeight w:val="187"/>
        </w:trPr>
        <w:tc>
          <w:tcPr>
            <w:tcW w:w="41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6"/>
                <w:szCs w:val="16"/>
                <w:color w:val="auto"/>
              </w:rPr>
            </w:pPr>
          </w:p>
        </w:tc>
      </w:tr>
      <w:tr>
        <w:trPr>
          <w:trHeight w:val="216"/>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4180" w:type="dxa"/>
            <w:vAlign w:val="bottom"/>
          </w:tcPr>
          <w:p>
            <w:pPr>
              <w:spacing w:after="0"/>
              <w:rPr>
                <w:sz w:val="20"/>
                <w:szCs w:val="20"/>
                <w:color w:val="auto"/>
              </w:rPr>
            </w:pP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7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41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Outstanding, January 31, 2026 </w:t>
            </w:r>
            <w:r>
              <w:rPr>
                <w:rFonts w:ascii="Times New Roman" w:cs="Times New Roman" w:eastAsia="Times New Roman" w:hAnsi="Times New Roman"/>
                <w:sz w:val="24"/>
                <w:szCs w:val="24"/>
                <w:color w:val="auto"/>
                <w:vertAlign w:val="superscript"/>
              </w:rPr>
              <w:t>(1)</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5"/>
                <w:szCs w:val="25"/>
                <w:color w:val="auto"/>
                <w:vertAlign w:val="superscript"/>
              </w:rPr>
              <w:t>(1)</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67,707</w:t>
            </w:r>
          </w:p>
        </w:tc>
        <w:tc>
          <w:tcPr>
            <w:tcW w:w="1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38.04</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99,826</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38.04</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(21,397)</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26.11</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performance achievement</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(40,494)</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Earned and vested</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(9,810)</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w:t>
            </w:r>
          </w:p>
        </w:tc>
      </w:tr>
      <w:tr>
        <w:trPr>
          <w:trHeight w:val="229"/>
        </w:trPr>
        <w:tc>
          <w:tcPr>
            <w:tcW w:w="41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Forfeited </w:t>
            </w:r>
            <w:r>
              <w:rPr>
                <w:rFonts w:ascii="Times New Roman" w:cs="Times New Roman" w:eastAsia="Times New Roman" w:hAnsi="Times New Roman"/>
                <w:sz w:val="26"/>
                <w:szCs w:val="26"/>
                <w:color w:val="auto"/>
                <w:vertAlign w:val="superscript"/>
              </w:rPr>
              <w:t>(1)</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6"/>
                <w:szCs w:val="16"/>
                <w:color w:val="auto"/>
              </w:rPr>
              <w:t xml:space="preserve">Outstanding, May 2, 2026 </w:t>
            </w:r>
            <w:r>
              <w:rPr>
                <w:rFonts w:ascii="Times New Roman" w:cs="Times New Roman" w:eastAsia="Times New Roman" w:hAnsi="Times New Roman"/>
                <w:sz w:val="25"/>
                <w:szCs w:val="25"/>
                <w:color w:val="auto"/>
                <w:vertAlign w:val="superscript"/>
              </w:rPr>
              <w:t>(1)</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920" w:hanging="345"/>
        <w:spacing w:after="0"/>
        <w:tabs>
          <w:tab w:leader="none" w:pos="9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Performance-based restricted stock outstanding, granted, and forfeited are presented at 100% of target.</w:t>
      </w:r>
    </w:p>
    <w:p>
      <w:pPr>
        <w:spacing w:after="0" w:line="198"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thirteen weeks ended May 2, 2026 and May 3, 2025 was $0.8 million and $2.0 million,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outstanding performance shares as of May 2, 2026 consist of the following:</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Performance Shares</w:t>
            </w:r>
          </w:p>
        </w:tc>
      </w:tr>
      <w:tr>
        <w:trPr>
          <w:trHeight w:val="210"/>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shares subject to performance-based restrictions at target:</w:t>
            </w: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- 2026 consolidated, cumulative EBITDA objectives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44,171</w:t>
            </w:r>
          </w:p>
        </w:tc>
      </w:tr>
      <w:tr>
        <w:trPr>
          <w:trHeight w:val="230"/>
        </w:trPr>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- 2026 consolidated cumulative revenue objectives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14,724</w:t>
            </w:r>
          </w:p>
        </w:tc>
      </w:tr>
      <w:tr>
        <w:trPr>
          <w:trHeight w:val="230"/>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- 2027 consolidated, consolidated revenue growth objectives</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47,466</w:t>
            </w:r>
          </w:p>
        </w:tc>
      </w:tr>
      <w:tr>
        <w:trPr>
          <w:trHeight w:val="216"/>
        </w:trPr>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- 2028 consolidated, consolidated revenue growth objectives</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99,826</w:t>
            </w:r>
          </w:p>
        </w:tc>
      </w:tr>
      <w:tr>
        <w:trPr>
          <w:trHeight w:val="209"/>
        </w:trPr>
        <w:tc>
          <w:tcPr>
            <w:tcW w:w="934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shares outstanding, May 2, 2026</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206,187</w:t>
            </w:r>
          </w:p>
        </w:tc>
        <w:tc>
          <w:tcPr>
            <w:tcW w:w="100" w:type="dxa"/>
            <w:vAlign w:val="bottom"/>
            <w:tcBorders>
              <w:top w:val="single" w:sz="8" w:color="CCEEFF"/>
            </w:tcBorders>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Company's effective tax rate was 23.4% for the thirteen weeks ended May 2, 2026 compared to 22.0% for the thirteen weeks ended May 3, 2025. In the first quarter of fiscal 2026, the effective tax rate differed from the statutory rate of 21% primarily due to state income tax expense offset by the tax impact of equity awards vesting and the foreign-derived deduction eligible income (formerly foreign derived intangible income). In the first quarter of fiscal 2025, the effective tax rate differed from the statutory rate of 21% primarily due to state income tax expense partially offset by the tax impact of equity awards vesting and foreign derived intangible income. In addition, in the first quarter of fiscal 2026 and 2025, the Company remains in a full valuation allowance in certain foreign jurisdictions.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May 2, 2026 and May 3, 2025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10"/>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For the thirteen weeks ended May 2, 2026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For the thirteen weeks ended May 3,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308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APIC</w:t>
            </w:r>
          </w:p>
        </w:tc>
        <w:tc>
          <w:tcPr>
            <w:tcW w:w="80" w:type="dxa"/>
            <w:vAlign w:val="bottom"/>
          </w:tcPr>
          <w:p>
            <w:pPr>
              <w:spacing w:after="0"/>
              <w:rPr>
                <w:sz w:val="24"/>
                <w:szCs w:val="24"/>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AOCI</w:t>
            </w: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100" w:type="dxa"/>
            <w:vAlign w:val="bottom"/>
          </w:tcPr>
          <w:p>
            <w:pPr>
              <w:spacing w:after="0"/>
              <w:rPr>
                <w:sz w:val="24"/>
                <w:szCs w:val="24"/>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AOCI</w:t>
            </w: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vMerge w:val="restart"/>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vMerge w:val="restart"/>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vMerge w:val="restart"/>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$ 60,821</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(10,760)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6"/>
              </w:rPr>
              <w:t>$ 104,839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$ 155,028</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$ 61,987</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(12,554)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89,516</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$ 139,082</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under employee stock plans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in lieu of tax withholdings</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(10,331)</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(11,509)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(3,701)</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(4,208)</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(2,894)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(2,891)</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(2,891)</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(179)</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1,259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1,259</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18,299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15,319</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15,319</w:t>
            </w:r>
          </w:p>
        </w:tc>
        <w:tc>
          <w:tcPr>
            <w:tcW w:w="0" w:type="dxa"/>
            <w:vAlign w:val="bottom"/>
          </w:tcPr>
          <w:p>
            <w:pPr>
              <w:spacing w:after="0"/>
              <w:rPr>
                <w:sz w:val="1"/>
                <w:szCs w:val="1"/>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$ 59,919</w:t>
            </w:r>
          </w:p>
        </w:tc>
        <w:tc>
          <w:tcPr>
            <w:tcW w:w="14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(10,939)</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6"/>
              </w:rPr>
              <w:t>$ 109,913</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$ 159,019</w:t>
            </w:r>
          </w:p>
        </w:tc>
        <w:tc>
          <w:tcPr>
            <w:tcW w:w="12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$ 61,602</w:t>
            </w:r>
          </w:p>
        </w:tc>
        <w:tc>
          <w:tcPr>
            <w:tcW w:w="12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(11,295)</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98,243</w:t>
            </w: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$ 148,682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Additional paid-in capital (“APIC”)</w:t>
      </w: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2</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Accumulated other comprehensive loss (“AOCI”)</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thirteen weeks ended May 2, 2026, the Company utilized $11.4 million in cash to repurchase 248,118 shares under its $100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repurchase program that was authorized by the Board on September 11, 2024 (the "September 2024 Stock Repurchase Program"). Between the end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fiscal quarter of 2026 and June 9, 2026, the Company utilized an additional $3.8 million in cash to repurchase 103,064 shares under the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Stock Repurchase Program, leaving an aggregate of $46.5 million available for future repurchases under that plan. For the thirteen weeks ended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2026, the Board authorized cash dividends to shareholders of $2.9 million on March 11, 2026, as the Board declared a quarterly cash dividend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$0.23 per share on the issued and outstanding common stock of the company. The dividend was paid on April 9, 2026, to all stockholders of record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3, 2025, the Company utilized $4.2 million in cash to repurchase 108,502 shares under the September 2024 Stock Repurchase Program. The Company's Board of Directors also declared a quarterly cash dividend of $0.22 per share that was paid on April 10, 2025, to shareholders of record as of March 27,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(in thousands,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1"/>
        </w:trPr>
        <w:tc>
          <w:tcPr>
            <w:tcW w:w="6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ind w:right="800"/>
              <w:spacing w:after="0" w:line="201" w:lineRule="exact"/>
              <w:rPr>
                <w:sz w:val="20"/>
                <w:szCs w:val="20"/>
                <w:color w:val="auto"/>
              </w:rPr>
            </w:pPr>
            <w:r>
              <w:rPr>
                <w:rFonts w:ascii="Times New Roman" w:cs="Times New Roman" w:eastAsia="Times New Roman" w:hAnsi="Times New Roman"/>
                <w:sz w:val="18"/>
                <w:szCs w:val="18"/>
                <w:b w:val="1"/>
                <w:bCs w:val="1"/>
                <w:color w:val="auto"/>
              </w:rPr>
              <w:t>May 2,</w:t>
            </w:r>
          </w:p>
        </w:tc>
        <w:tc>
          <w:tcPr>
            <w:tcW w:w="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90"/>
              <w:spacing w:after="0" w:line="201" w:lineRule="exact"/>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18,299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12,584,388</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13,080,301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54,322</w:t>
            </w:r>
          </w:p>
        </w:tc>
        <w:tc>
          <w:tcPr>
            <w:tcW w:w="3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dilutive</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12,638,710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13,144,243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6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1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2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calculating the diluted income per share for the thirteen weeks ended May 2, 2026, there were 19,214 shares of common stock that were outstanding at the end of the period that were not included in the computation of diluted income per share due to their anti-dilutive effect. For the thirteen weeks ended May 3, 2025, there were zero shares of common stock that were outstanding at the end of the period that were not included in the computation of diluted income per share due to their anti-dilutive effect.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loss balance on May 2, 2026 and May 3, 2025 was comprised entirely of foreign currency translation. For the thirteen weeks ended May 2, 2026 and May 3, 2025, the Company had no reclassifications out of accumulated other comprehensive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DTC, commercial and international franchising. The DTC segment includes the operating activities of corporately-managed locations and other retail delivery operations in the U.S., Canada, Puerto Rico, the Republic of Ireland and the U.K., including the Company’s e-commerce sites and temporary stores. The commercial segment includes the Company’s transactions with other businesses, mainly comprised of wholesale sales of merchandise, supplies and fixtures, licensing the Company's intellectual properties for third party use, and revenues generated from entertainment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financial information for the Company’s reportable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Direct-to-</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200" w:type="dxa"/>
            <w:vAlign w:val="bottom"/>
          </w:tcPr>
          <w:p>
            <w:pPr>
              <w:spacing w:after="0"/>
              <w:rPr>
                <w:sz w:val="20"/>
                <w:szCs w:val="20"/>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34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Thirteen weeks ended May 2, 2026</w:t>
            </w: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113,466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125,270</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40,338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4,419</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641</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45,398</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73,128</w:t>
            </w: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6,529</w:t>
            </w: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79,872</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36,080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36,183</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Margin</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37,048</w:t>
            </w: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6,426</w:t>
            </w: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43,689</w:t>
            </w:r>
          </w:p>
        </w:tc>
        <w:tc>
          <w:tcPr>
            <w:tcW w:w="100" w:type="dxa"/>
            <w:vAlign w:val="bottom"/>
          </w:tcPr>
          <w:p>
            <w:pPr>
              <w:spacing w:after="0"/>
              <w:rPr>
                <w:sz w:val="18"/>
                <w:szCs w:val="18"/>
                <w:color w:val="auto"/>
              </w:rPr>
            </w:pPr>
          </w:p>
        </w:tc>
      </w:tr>
      <w:tr>
        <w:trPr>
          <w:trHeight w:val="209"/>
        </w:trPr>
        <w:tc>
          <w:tcPr>
            <w:tcW w:w="4220" w:type="dxa"/>
            <w:vAlign w:val="bottom"/>
            <w:shd w:val="clear" w:color="auto" w:fill="CCEEFF"/>
          </w:tcPr>
          <w:p>
            <w:pPr>
              <w:ind w:left="180"/>
              <w:spacing w:after="0" w:line="210" w:lineRule="exact"/>
              <w:rPr>
                <w:sz w:val="20"/>
                <w:szCs w:val="20"/>
                <w:color w:val="auto"/>
              </w:rPr>
            </w:pPr>
            <w:r>
              <w:rPr>
                <w:rFonts w:ascii="Times New Roman" w:cs="Times New Roman" w:eastAsia="Times New Roman" w:hAnsi="Times New Roman"/>
                <w:sz w:val="15"/>
                <w:szCs w:val="15"/>
                <w:color w:val="auto"/>
              </w:rPr>
              <w:t>Overhead Expenses</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4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Thirteen weeks ended May 3, 2025</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119,589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128,395</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51,571</w:t>
            </w: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824</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10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68,018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4,609</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72,986</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34,352</w:t>
            </w: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10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Margin</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33,666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4,513</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38,538</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Overhead Expenses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19,107</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10"/>
        </w:trPr>
        <w:tc>
          <w:tcPr>
            <w:tcW w:w="42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100" w:type="dxa"/>
            <w:vAlign w:val="bottom"/>
            <w:tcBorders>
              <w:top w:val="single" w:sz="8" w:color="CCEEFF"/>
            </w:tcBorders>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3000" w:hanging="4965"/>
        <w:spacing w:after="0" w:line="532" w:lineRule="auto"/>
        <w:tabs>
          <w:tab w:leader="none" w:pos="918"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Overhead expenses contain selling, general and administrative expenses not attributable to a segment.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Total assets, depreciation and amortization, and capital expenditures for the Company's segments, as well as for Corporate and support,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Direct-to-</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200" w:type="dxa"/>
            <w:vAlign w:val="bottom"/>
          </w:tcPr>
          <w:p>
            <w:pPr>
              <w:spacing w:after="0"/>
              <w:rPr>
                <w:sz w:val="20"/>
                <w:szCs w:val="20"/>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40" w:type="dxa"/>
            <w:vAlign w:val="bottom"/>
          </w:tcPr>
          <w:p>
            <w:pPr>
              <w:spacing w:after="0"/>
              <w:rPr>
                <w:sz w:val="20"/>
                <w:szCs w:val="20"/>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4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8"/>
        </w:trPr>
        <w:tc>
          <w:tcPr>
            <w:tcW w:w="23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Thirteen weeks ended May 2,</w:t>
            </w:r>
          </w:p>
        </w:tc>
        <w:tc>
          <w:tcPr>
            <w:tcW w:w="2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258,483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78,529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354,085</w:t>
            </w: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2,564</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1,080</w:t>
            </w: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4,002</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5,411</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1,458</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6,869</w:t>
            </w: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Thirteen weeks ended May 3,</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209,280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85,587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308,303</w:t>
            </w:r>
          </w:p>
        </w:tc>
      </w:tr>
      <w:tr>
        <w:trPr>
          <w:trHeight w:val="198"/>
        </w:trPr>
        <w:tc>
          <w:tcPr>
            <w:tcW w:w="2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2,734</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927</w:t>
            </w: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w:t>
            </w: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1,354</w:t>
            </w:r>
          </w:p>
        </w:tc>
        <w:tc>
          <w:tcPr>
            <w:tcW w:w="2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1,553</w:t>
            </w: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2,907</w:t>
            </w:r>
          </w:p>
        </w:tc>
      </w:tr>
    </w:tbl>
    <w:p>
      <w:pPr>
        <w:spacing w:after="0" w:line="17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56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America </w:t>
            </w:r>
            <w:r>
              <w:rPr>
                <w:rFonts w:ascii="Times New Roman" w:cs="Times New Roman" w:eastAsia="Times New Roman" w:hAnsi="Times New Roman"/>
                <w:sz w:val="27"/>
                <w:szCs w:val="27"/>
                <w:b w:val="1"/>
                <w:bCs w:val="1"/>
                <w:color w:val="auto"/>
                <w:vertAlign w:val="superscript"/>
              </w:rPr>
              <w:t>(1)</w:t>
            </w:r>
          </w:p>
        </w:tc>
        <w:tc>
          <w:tcPr>
            <w:tcW w:w="240" w:type="dxa"/>
            <w:vAlign w:val="bottom"/>
          </w:tcPr>
          <w:p>
            <w:pPr>
              <w:spacing w:after="0"/>
              <w:rPr>
                <w:sz w:val="20"/>
                <w:szCs w:val="20"/>
                <w:color w:val="auto"/>
              </w:rPr>
            </w:pPr>
          </w:p>
        </w:tc>
        <w:tc>
          <w:tcPr>
            <w:tcW w:w="1540" w:type="dxa"/>
            <w:vAlign w:val="bottom"/>
            <w:gridSpan w:val="2"/>
          </w:tcPr>
          <w:p>
            <w:pPr>
              <w:jc w:val="right"/>
              <w:ind w:right="6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Europe </w:t>
            </w:r>
            <w:r>
              <w:rPr>
                <w:rFonts w:ascii="Times New Roman" w:cs="Times New Roman" w:eastAsia="Times New Roman" w:hAnsi="Times New Roman"/>
                <w:sz w:val="27"/>
                <w:szCs w:val="27"/>
                <w:b w:val="1"/>
                <w:bCs w:val="1"/>
                <w:color w:val="auto"/>
                <w:vertAlign w:val="superscript"/>
              </w:rPr>
              <w:t>(2)</w:t>
            </w:r>
          </w:p>
        </w:tc>
        <w:tc>
          <w:tcPr>
            <w:tcW w:w="280" w:type="dxa"/>
            <w:vAlign w:val="bottom"/>
          </w:tcPr>
          <w:p>
            <w:pPr>
              <w:spacing w:after="0"/>
              <w:rPr>
                <w:sz w:val="20"/>
                <w:szCs w:val="20"/>
                <w:color w:val="auto"/>
              </w:rPr>
            </w:pPr>
          </w:p>
        </w:tc>
        <w:tc>
          <w:tcPr>
            <w:tcW w:w="1500" w:type="dxa"/>
            <w:vAlign w:val="bottom"/>
            <w:gridSpan w:val="2"/>
          </w:tcPr>
          <w:p>
            <w:pPr>
              <w:jc w:val="right"/>
              <w:ind w:right="66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Times New Roman" w:cs="Times New Roman" w:eastAsia="Times New Roman" w:hAnsi="Times New Roman"/>
                <w:sz w:val="27"/>
                <w:szCs w:val="27"/>
                <w:b w:val="1"/>
                <w:bCs w:val="1"/>
                <w:color w:val="auto"/>
                <w:vertAlign w:val="superscript"/>
              </w:rPr>
              <w:t>(3)</w:t>
            </w:r>
          </w:p>
        </w:tc>
        <w:tc>
          <w:tcPr>
            <w:tcW w:w="34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220" w:type="dxa"/>
            <w:vAlign w:val="bottom"/>
            <w:shd w:val="clear" w:color="auto" w:fill="CCEEFF"/>
          </w:tcPr>
          <w:p>
            <w:pPr>
              <w:jc w:val="center"/>
              <w:ind w:right="1590"/>
              <w:spacing w:after="0"/>
              <w:rPr>
                <w:sz w:val="20"/>
                <w:szCs w:val="20"/>
                <w:color w:val="auto"/>
              </w:rPr>
            </w:pPr>
            <w:r>
              <w:rPr>
                <w:rFonts w:ascii="Times New Roman" w:cs="Times New Roman" w:eastAsia="Times New Roman" w:hAnsi="Times New Roman"/>
                <w:sz w:val="18"/>
                <w:szCs w:val="18"/>
                <w:color w:val="auto"/>
              </w:rPr>
              <w:t>Thirteen weeks ended May 2, 2026</w:t>
            </w: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jc w:val="center"/>
              <w:ind w:right="1550"/>
              <w:spacing w:after="0"/>
              <w:rPr>
                <w:sz w:val="20"/>
                <w:szCs w:val="20"/>
                <w:color w:val="auto"/>
              </w:rPr>
            </w:pPr>
            <w:r>
              <w:rPr>
                <w:rFonts w:ascii="Times New Roman" w:cs="Times New Roman" w:eastAsia="Times New Roman" w:hAnsi="Times New Roman"/>
                <w:sz w:val="18"/>
                <w:szCs w:val="18"/>
                <w:color w:val="auto"/>
                <w:w w:val="99"/>
              </w:rPr>
              <w:t>Net sales to external customers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107,498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14,335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125,270</w:t>
            </w:r>
          </w:p>
        </w:tc>
      </w:tr>
      <w:tr>
        <w:trPr>
          <w:trHeight w:val="216"/>
        </w:trPr>
        <w:tc>
          <w:tcPr>
            <w:tcW w:w="4220" w:type="dxa"/>
            <w:vAlign w:val="bottom"/>
            <w:shd w:val="clear" w:color="auto" w:fill="CCEEFF"/>
          </w:tcPr>
          <w:p>
            <w:pPr>
              <w:jc w:val="center"/>
              <w:ind w:right="1590"/>
              <w:spacing w:after="0"/>
              <w:rPr>
                <w:sz w:val="20"/>
                <w:szCs w:val="20"/>
                <w:color w:val="auto"/>
              </w:rPr>
            </w:pPr>
            <w:r>
              <w:rPr>
                <w:rFonts w:ascii="Times New Roman" w:cs="Times New Roman" w:eastAsia="Times New Roman" w:hAnsi="Times New Roman"/>
                <w:sz w:val="18"/>
                <w:szCs w:val="18"/>
                <w:color w:val="auto"/>
              </w:rPr>
              <w:t>Thirteen weeks ended May 3, 2025</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220" w:type="dxa"/>
            <w:vAlign w:val="bottom"/>
          </w:tcPr>
          <w:p>
            <w:pPr>
              <w:jc w:val="center"/>
              <w:ind w:right="1550"/>
              <w:spacing w:after="0"/>
              <w:rPr>
                <w:sz w:val="20"/>
                <w:szCs w:val="20"/>
                <w:color w:val="auto"/>
              </w:rPr>
            </w:pPr>
            <w:r>
              <w:rPr>
                <w:rFonts w:ascii="Times New Roman" w:cs="Times New Roman" w:eastAsia="Times New Roman" w:hAnsi="Times New Roman"/>
                <w:sz w:val="18"/>
                <w:szCs w:val="18"/>
                <w:color w:val="auto"/>
                <w:w w:val="99"/>
              </w:rPr>
              <w:t>Net sales to external customers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15,627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128,395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182"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North America includes corporately-managed locations and sales to wholesale customers in the United States and Canada.</w:t>
      </w:r>
    </w:p>
    <w:p>
      <w:pPr>
        <w:spacing w:after="0" w:line="180" w:lineRule="auto"/>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Europe includes corporately-managed locations in the U.K. and the Republic of Ireland and sales to wholesale customers in Europe.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Other includes wholesale and franchise businesses outside of North America and Europe.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the outcome of the continuing dispute, and this is included in receivables, net in the DTC segment. The U.K. customs authority contested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appeal. Rulings by the First Tier Tribunal in November 2019 and Upper Tribunal in March 2021 held that duty was due on some, but not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products at issue. The Company petitioned the Court of Appeal for permission to appeal certain elements of the Upper Tribunal decision, and in early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2021, a judge granted the Company's petition for permission to appeal those elements of the Upper Tribunal decision on some, but not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grounds of appeal that the Company had put forward. An appeal was heard by the Court of Appeal during the first quarter of fiscal 2022, and the Court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Appeal dismissed the appeal in the third quarter of fiscal 2022. During the fourth quarter of fiscal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UK Supreme Court declined to hear the appeal.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engaging with the customs authority to attempt to resolve all outstanding issues following the application of the determined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will return to the lower tribunal for a final ruling if outstanding issues cannot be resolved. The Company maintains a provision against the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receivable, based on a current evaluation of collectability, using the latest facts available in the dispute. During the first quarter of fiscal 2026,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approximately $0.6 million from His Majesty's Revenue and Customs (HMRC). Following this receipt, the Company reassessed the collectability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related receivable and adjusted both the gross receivable balance and the associated reserve by $3.2 million, leaving a gross receivable balance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million, a reserve of $0.6 million, and a net receivable of $0.2 million. The Company believes that the outcome of this dispute will not have a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impact on the results of operations, liquidity, or financial position of the Company.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January 31, 2026, as amended by Amendment No. 1, as filed with the SEC, and include the following:</w:t>
      </w:r>
    </w:p>
    <w:p>
      <w:pPr>
        <w:spacing w:after="0" w:line="183" w:lineRule="exact"/>
        <w:rPr>
          <w:sz w:val="20"/>
          <w:szCs w:val="20"/>
          <w:color w:val="auto"/>
        </w:rPr>
      </w:pPr>
    </w:p>
    <w:p>
      <w:pPr>
        <w:ind w:left="480" w:right="180" w:hanging="175"/>
        <w:spacing w:after="0" w:line="257"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1" w:lineRule="exact"/>
        <w:rPr>
          <w:rFonts w:ascii="Times New Roman" w:cs="Times New Roman" w:eastAsia="Times New Roman" w:hAnsi="Times New Roman"/>
          <w:sz w:val="18"/>
          <w:szCs w:val="18"/>
          <w:color w:val="auto"/>
        </w:rPr>
      </w:pPr>
    </w:p>
    <w:p>
      <w:pPr>
        <w:ind w:left="480" w:right="22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impact of tariffs on countries from which we import is expected to have an impact on our business, mainly our cost of goods and profit margin, including uncertainty regarding the ultimate availability, timing, and amount of any remaining refunds of IEEPA tariffs we previously paid which have been subject to recent judicial developments;</w:t>
      </w:r>
    </w:p>
    <w:p>
      <w:pPr>
        <w:spacing w:after="0" w:line="1" w:lineRule="exact"/>
        <w:rPr>
          <w:rFonts w:ascii="Times New Roman" w:cs="Times New Roman" w:eastAsia="Times New Roman" w:hAnsi="Times New Roman"/>
          <w:sz w:val="18"/>
          <w:szCs w:val="18"/>
          <w:color w:val="auto"/>
        </w:rPr>
      </w:pPr>
    </w:p>
    <w:p>
      <w:pPr>
        <w:ind w:left="480" w:right="66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can change rapidly, and our success depends on the ongoing effectiveness of our marketing and online initiatives to build consumer affinity for our brand and drive consumer demand for our products and services;</w:t>
      </w:r>
    </w:p>
    <w:p>
      <w:pPr>
        <w:ind w:left="480" w:right="38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shopping malls and tourist locations in which our stores are located to attract guests. Continued or further volatility in retail consumer traffic could adversely affect our financial performance and profitability;</w:t>
      </w: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various significant competitive threats;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regional health pandemics or epidemics could negatively impact our business, financial position and results of operations;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 prices;</w:t>
      </w:r>
    </w:p>
    <w:p>
      <w:pPr>
        <w:spacing w:after="0" w:line="9" w:lineRule="exact"/>
        <w:rPr>
          <w:rFonts w:ascii="Times New Roman" w:cs="Times New Roman" w:eastAsia="Times New Roman" w:hAnsi="Times New Roman"/>
          <w:sz w:val="18"/>
          <w:szCs w:val="18"/>
          <w:color w:val="auto"/>
        </w:rPr>
      </w:pPr>
    </w:p>
    <w:p>
      <w:pPr>
        <w:ind w:left="480" w:right="8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80" w:right="14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technologies presents operational, reputational, data security and legal risks that could adversely affect our business and financial performance, and any failure to effectively leverage artificial technologies in our business could negatively impact our customer engagement and competitive position;</w:t>
      </w:r>
    </w:p>
    <w:p>
      <w:pPr>
        <w:spacing w:after="0" w:line="1" w:lineRule="exact"/>
        <w:rPr>
          <w:rFonts w:ascii="Times New Roman" w:cs="Times New Roman" w:eastAsia="Times New Roman" w:hAnsi="Times New Roman"/>
          <w:sz w:val="18"/>
          <w:szCs w:val="18"/>
          <w:color w:val="auto"/>
        </w:rPr>
      </w:pPr>
    </w:p>
    <w:p>
      <w:pPr>
        <w:ind w:left="480" w:right="14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renew, renegotiate or replace our store leases or enter into leases for new stores on favorable terms, or if we violate any of the terms of our current leases, our revenue and profitability could be harmed;</w:t>
      </w:r>
    </w:p>
    <w:p>
      <w:pPr>
        <w:ind w:left="480" w:right="96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omnichannel and brand expansion strategy and the cost of our investments in e-commerce and digital transformation may materially adversely affect our financial condition and profitability;</w:t>
      </w: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formats and business</w:t>
      </w:r>
    </w:p>
    <w:p>
      <w:pPr>
        <w:spacing w:after="0" w:line="9" w:lineRule="exact"/>
        <w:rPr>
          <w:rFonts w:ascii="Times New Roman" w:cs="Times New Roman" w:eastAsia="Times New Roman" w:hAnsi="Times New Roman"/>
          <w:sz w:val="18"/>
          <w:szCs w:val="18"/>
          <w:color w:val="auto"/>
        </w:rPr>
      </w:pPr>
    </w:p>
    <w:p>
      <w:pPr>
        <w:ind w:left="48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models in accordance with our strategic goals or otherwise effectively manage our overall portfolio of stores which could adversely affect our ability to grow and could significantly harm our profitability;</w:t>
      </w:r>
    </w:p>
    <w:p>
      <w:pPr>
        <w:ind w:left="480" w:right="32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ind w:left="480" w:right="40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ind w:left="480" w:right="26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corporately-managed locations profitably;</w:t>
      </w:r>
    </w:p>
    <w:p>
      <w:pPr>
        <w:spacing w:after="0" w:line="9" w:lineRule="exact"/>
        <w:rPr>
          <w:rFonts w:ascii="Times New Roman" w:cs="Times New Roman" w:eastAsia="Times New Roman" w:hAnsi="Times New Roman"/>
          <w:sz w:val="18"/>
          <w:szCs w:val="18"/>
          <w:color w:val="auto"/>
        </w:rPr>
      </w:pPr>
    </w:p>
    <w:p>
      <w:pPr>
        <w:ind w:left="480" w:right="14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effectively manage our international partner-operated locations, attract new partners or if the laws relating to our international partners change, our growth and profitability could be adversely affected, and we could be exposed to additional liability;</w:t>
      </w:r>
    </w:p>
    <w:p>
      <w:pPr>
        <w:ind w:left="460" w:right="4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Times New Roman" w:cs="Times New Roman" w:eastAsia="Times New Roman" w:hAnsi="Times New Roman"/>
          <w:sz w:val="18"/>
          <w:szCs w:val="18"/>
          <w:color w:val="auto"/>
        </w:rPr>
      </w:pPr>
    </w:p>
    <w:p>
      <w:pPr>
        <w:jc w:val="both"/>
        <w:ind w:left="460" w:right="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have been sued by third parties for infringement or misappropriation of their proprietary rights, which could be costly, distract our management and personnel and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460" w:right="14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460" w:right="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460" w:right="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60" w:right="8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and damage to our reputation if we do not continue to evolve environmental, social, and governance initiatives in a timely manner;</w:t>
      </w:r>
    </w:p>
    <w:p>
      <w:pPr>
        <w:ind w:left="460" w:hanging="169"/>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jc w:val="both"/>
        <w:ind w:left="4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could reduce our cash flow, or trigger restrictions under our credit agreement, cause us to be unable to repurchase shares at all, at the times or in the amounts we desire, cause the results of our share repurchase program may not be as beneficial as we would like, or cause us to discontinue our quarterly dividend program;</w:t>
      </w:r>
    </w:p>
    <w:p>
      <w:pPr>
        <w:spacing w:after="0" w:line="1" w:lineRule="exact"/>
        <w:rPr>
          <w:rFonts w:ascii="Times New Roman" w:cs="Times New Roman" w:eastAsia="Times New Roman" w:hAnsi="Times New Roman"/>
          <w:sz w:val="18"/>
          <w:szCs w:val="18"/>
          <w:color w:val="auto"/>
        </w:rPr>
      </w:pPr>
    </w:p>
    <w:p>
      <w:pPr>
        <w:ind w:left="460" w:hanging="169"/>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low market capitalization can cause the market price of our common stock to become volatile;</w:t>
      </w:r>
    </w:p>
    <w:p>
      <w:pPr>
        <w:spacing w:after="0" w:line="9" w:lineRule="exact"/>
        <w:rPr>
          <w:rFonts w:ascii="Times New Roman" w:cs="Times New Roman" w:eastAsia="Times New Roman" w:hAnsi="Times New Roman"/>
          <w:sz w:val="18"/>
          <w:szCs w:val="18"/>
          <w:color w:val="auto"/>
        </w:rPr>
      </w:pPr>
    </w:p>
    <w:p>
      <w:pPr>
        <w:ind w:left="460" w:right="42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60" w:right="1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460" w:right="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is largely based on a vertical retail model, labor-related matters, ranging from union formation to labor disputes, may adversely affect our operations; and</w:t>
      </w:r>
    </w:p>
    <w:p>
      <w:pPr>
        <w:ind w:left="460" w:right="140" w:hanging="169"/>
        <w:spacing w:after="0" w:line="26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acquiring businesses or engaging in other strategic transactions, which may negatively affect our financial condition and profitability.</w:t>
      </w:r>
    </w:p>
    <w:p>
      <w:pPr>
        <w:sectPr>
          <w:pgSz w:w="11900" w:h="16838" w:orient="portrait"/>
          <w:cols w:equalWidth="0" w:num="1">
            <w:col w:w="11240"/>
          </w:cols>
          <w:pgMar w:left="320" w:top="121" w:right="339" w:bottom="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Build-A-Bear Workshop, Inc., a Delaware corporation, was formed in 1997 as a mall-based, experiential specialty retailer for children.</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has evolved to become a leading global "retailtainment" brand on a mission to add a little more heart to life. At Build-A-Bear, guests are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invited to create personalized furry friends through a unique stuffing, dressing, accessorizing and naming process, accentuated by a memorable Heart</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Ceremony that creates moments of connection for people of all ages. Over the years,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has grown into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generational phenomenon,</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positioned at the intersection of pop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culture trends. Beyond its signature retail experience, our brand also offers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stuffed plush, gifting, partnerships with</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licensed and collectible characters, and original storytelling through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Entertainment, LLC.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Bear’s current brand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platform and message, “The Stuff You Love,” crosses ages and cultures while celebrating nearly 30 years of helping people mark life’s meaningful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moments.</w:t>
      </w:r>
    </w:p>
    <w:p>
      <w:pPr>
        <w:spacing w:after="0" w:line="20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Build-A-Bear brand has high consumer awareness and positive affinity, and we leverage our brand strength to expand the footprint of our retail experience locations through a range of store sizes, formats, and locations, including tourist destinations. In addition to growing our corporately-managed store footprint, we are also growing through partner-operated and franchise locations, particularly for our international expansion. Our ongoing digital transformation, which touches our e-commerce business, consumer loyalty program, and digital content, has led to omnichannel growth over the past several years. Build-A-Bear's pop-culture appeal plays a key role in expanding our total addressable market beyond children to teens and adults with sports licensing, collectible and gifting offerings, as well as to categories beyond plush.</w:t>
      </w:r>
    </w:p>
    <w:p>
      <w:pPr>
        <w:spacing w:after="0" w:line="18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As of May 2, 2026, the Company had 669 global locations through a combination of its corporately-managed, partner-operated, and franchise models. This reflects 376 corporately-managed locations, including 334 stores in the United States (“U.S.”) and Canada and 42 stores in the United Kingdom ("U.K.") and the Republic of Ireland, 181 partner-operated locations in which we sell our products on a wholesale basis to other companies that then, in turn, execute our retail experience, and 112 international franchise locations , all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 For the 2026 fiscal year to date, the Company had net new unit growth of 7 experience locations, comprised of one corporately managed location, 3 partner-operated locations, and 3 international franchise locations.</w:t>
      </w:r>
    </w:p>
    <w:p>
      <w:pPr>
        <w:spacing w:after="0" w:line="19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62" w:lineRule="exact"/>
        <w:rPr>
          <w:sz w:val="20"/>
          <w:szCs w:val="20"/>
          <w:color w:val="auto"/>
        </w:rPr>
      </w:pPr>
    </w:p>
    <w:p>
      <w:pPr>
        <w:ind w:left="480" w:right="160" w:hanging="162"/>
        <w:spacing w:after="0" w:line="234" w:lineRule="auto"/>
        <w:tabs>
          <w:tab w:leader="none" w:pos="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 to Consumer (“DTC”) – Corporately-managed retail stores located in the U.S., Canada, Puerto Rico, the U.K., Ireland, and two e-commerce sites;</w:t>
      </w:r>
    </w:p>
    <w:p>
      <w:pPr>
        <w:spacing w:after="0" w:line="1" w:lineRule="exact"/>
        <w:rPr>
          <w:rFonts w:ascii="Times New Roman" w:cs="Times New Roman" w:eastAsia="Times New Roman" w:hAnsi="Times New Roman"/>
          <w:sz w:val="22"/>
          <w:szCs w:val="22"/>
          <w:color w:val="auto"/>
        </w:rPr>
      </w:pPr>
    </w:p>
    <w:p>
      <w:pPr>
        <w:ind w:left="480" w:right="300" w:hanging="162"/>
        <w:spacing w:after="0" w:line="225" w:lineRule="auto"/>
        <w:tabs>
          <w:tab w:leader="none" w:pos="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 Transactions with other businesses, mainly comprised of wholesale product sales and licensing our intellectual property, including entertainment properties, for third-party use; and</w:t>
      </w:r>
    </w:p>
    <w:p>
      <w:pPr>
        <w:ind w:left="480" w:hanging="162"/>
        <w:spacing w:after="0" w:line="204" w:lineRule="auto"/>
        <w:tabs>
          <w:tab w:leader="none" w:pos="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franchising – Royalties as well as product and fixture sales from other international operations under franchise agreements.</w:t>
      </w:r>
    </w:p>
    <w:p>
      <w:pPr>
        <w:spacing w:after="0" w:line="22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weeks ended May 2, 2026 and May 3, 2025 are set forth in the notes to our condensed consolidated financial statements included elsewhere in this Quarterly Report on Form 10-Q.</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Recent Events and Trends Regarding Tariffs and International Trade</w:t>
      </w:r>
    </w:p>
    <w:p>
      <w:pPr>
        <w:spacing w:after="0" w:line="22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Global trade policy continues to evolve and the ultimate impact of recent developments with respect to U.S. tariffs is unclear. On February 20, 2026, the U.S. Supreme Court issued a ruling striking down certain tariffs previously imposed under the International Emergency Economic Powers Act ("IEEPA"). On March 4, 2026, the Court of International Trade ordered U.S. Customs and Border Protection ("CBP") to begin the refund process for all importers who were subject to the IEEPA duties. In April 2026, the CBP opened a portal for the refund process to begin for certain importers. Based on these court rulings affirming the Company's legal right to recover IEEPA tariffs, the Company determined that it is entitled to a tariff refund of approximately $13.2 million, which was recorded in receivables, net on the condensed consolidated balance sheet. For the thirteen weeks ended May 2, 2026, the Company recorded a $10.4 million benefit for these tariffs in cost of merchandise sold-retail on the condensed consolidated statements of operations and comprehensive income, $7.0 million of which related to prior fiscal year costs, and reduced the carrying value of inventory by $2.8 million on the condensed consolidated balance sheet as of May 2, 2026. The related inventory with tariffs is expected to be substantially sold in the second fiscal quarter of 2026.</w:t>
      </w:r>
    </w:p>
    <w:p>
      <w:pPr>
        <w:spacing w:after="0" w:line="19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ultimate availability, timing, and amount of any remaining refunds of such tariffs remain uncertain and are subject to further legal, regulatory, and administrative developments.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the Company's business. The Company continues to monitor and evaluate these developments and assess their potential impact on its business, financial condition, and results of operations.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Since we import the vast majority of our products from vendors outside the U.S., we face uncertainty and risks related to tariffs and other trade policies that could negatively impact our Company. Tariffs and other non-tariff trade practices can adversely affect our business in multiple ways, including increased costs of our products. While we have taken steps in recent years to diversify our supply chain and reduce China sourcing by shifting primarily to Vietnam, we remain subject to substantial potential exposure to tariffs. Specifically, the latest tariffs implemented by the U.S. continues to have an impact on our cost structure and product margins. Additionally, the uncertainty about trade policy, tariff rates, and other changes in practices affecting international trade, including whether such tariffs or other measures will be withdrawn, or modified in the future, makes it difficult for us to operate optimally. Depending on the level and longevity of the tariff disruption, we will continue to adjust our pricing while monitoring the impact of inflation and consumer confidence, on both a micro and macro basis.</w:t>
      </w:r>
    </w:p>
    <w:p>
      <w:pPr>
        <w:sectPr>
          <w:pgSz w:w="11900" w:h="16838" w:orient="portrait"/>
          <w:cols w:equalWidth="0" w:num="1">
            <w:col w:w="11220"/>
          </w:cols>
          <w:pgMar w:left="320" w:top="121" w:right="359" w:bottom="582"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582"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Operations</w:t>
      </w:r>
    </w:p>
    <w:p>
      <w:pPr>
        <w:spacing w:after="0" w:line="229" w:lineRule="exact"/>
        <w:rPr>
          <w:sz w:val="20"/>
          <w:szCs w:val="20"/>
          <w:color w:val="auto"/>
        </w:rPr>
      </w:pPr>
    </w:p>
    <w:p>
      <w:pPr>
        <w:ind w:right="280" w:firstLine="648"/>
        <w:spacing w:after="0" w:line="270" w:lineRule="auto"/>
        <w:rPr>
          <w:sz w:val="20"/>
          <w:szCs w:val="20"/>
          <w:color w:val="auto"/>
        </w:rPr>
      </w:pPr>
      <w:r>
        <w:rPr>
          <w:rFonts w:ascii="Times New Roman" w:cs="Times New Roman" w:eastAsia="Times New Roman" w:hAnsi="Times New Roman"/>
          <w:sz w:val="17"/>
          <w:szCs w:val="17"/>
          <w:color w:val="auto"/>
        </w:rPr>
        <w:t>Build-A-Bear Workshop offers interactive entertainment experiences via both physical and digital engagement, targeting a range of consumer segments and purchasing occasions through digitally-driven, diversified omnichannel capabilities. We operate a vertical retail channel with corporately-operated experience locations that feature a unique combination of interactivity and product in which guests can “make their own” furry friends by participating in the stuffing, dressing, accessorizing and naming of their own teddy bears and other stuffed animals along with the now-famous</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Heart Ceremony that helps to make the experience memorable by bringing the furry friend to "life." Our retail footprint also comprises both domestic and international partner-operated and franchise locations that extend our unique combination of experience and product beyond our corporately-operated locations. We also operate buildabear.com, which serves as an information and communications tool to plan a store visit as well as an e-commerce platform that focuses on gift-giving, collectible merchandise and licensed products that appeal to consumers that have an affinity for characters from a range of entertainment, sports, art, and gaming properties. Our engaging digital purchasing experiences include our online “Bear-Builder” and an age-gated adult-focused “Bear Cave” microsite. Our retail stores also act as “mini distribution centers” that provide efficient omnichannel support for our digital demand. While the primary consumer target for our retail stores is families with children, our e-commerce sites focus on collectors and gift givers that are primarily tweens, teens and adults. We have also extended our business model by leveraging our brand strength and owned intellectual properties through the creation of engaging content for kids and adults while also offering products at wholesale and in non-plush consumer categories via outbound licensing agreements with leading manufacturers.</w:t>
      </w:r>
    </w:p>
    <w:p>
      <w:pPr>
        <w:spacing w:after="0" w:line="19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seek to provide outstanding guest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Strategies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operating strategies have enabled us to build a strong foundation while continuing to invest in the brand’s iconic status, diversifying and growing the business by reaching more consumers, in more places, with more products, for more occasions. Upon that foundation, we have evolved to focus on scaling our company through a four-pillar strategic framework, supported by four platform areas. These four pillars are intended to leverage the strength of the brand to drive incremental revenue, with pillars one and two continuing to activate proven strategies, with an expectation that they will help fund the expansion into the newer revenue streams represented by pillars three and four.</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These four pillars are as follows:</w:t>
      </w:r>
    </w:p>
    <w:p>
      <w:pPr>
        <w:spacing w:after="0" w:line="225" w:lineRule="exact"/>
        <w:rPr>
          <w:sz w:val="20"/>
          <w:szCs w:val="20"/>
          <w:color w:val="auto"/>
        </w:rPr>
      </w:pPr>
    </w:p>
    <w:p>
      <w:pPr>
        <w:ind w:left="240" w:right="100" w:hanging="93"/>
        <w:spacing w:after="0" w:line="258" w:lineRule="auto"/>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Pillar One - Organic Growth.</w:t>
      </w:r>
      <w:r>
        <w:rPr>
          <w:rFonts w:ascii="Times New Roman" w:cs="Times New Roman" w:eastAsia="Times New Roman" w:hAnsi="Times New Roman"/>
          <w:sz w:val="18"/>
          <w:szCs w:val="18"/>
          <w:color w:val="auto"/>
        </w:rPr>
        <w:t xml:space="preserve"> While we expect to add new and faster-growing revenue streams over time, we must also continue to drive our core business. We plan to do this by optimizing our omnichannel model via deeper integration, greater visibility, and more meaningful engagement with guests to improve lifetime value. Our physical experience locations remain critical in building the strength of the Build-A-Bear brand with our core kid consumer. At the same time, our e-commerce business remains our single largest store, serving as a key information destination and a highly complementary channel that extends our reach beyond the core by over-indexing with teen and adult gifting and collectible consumers.</w:t>
      </w:r>
    </w:p>
    <w:p>
      <w:pPr>
        <w:spacing w:after="0" w:line="399" w:lineRule="exact"/>
        <w:rPr>
          <w:rFonts w:ascii="Times New Roman" w:cs="Times New Roman" w:eastAsia="Times New Roman" w:hAnsi="Times New Roman"/>
          <w:sz w:val="18"/>
          <w:szCs w:val="18"/>
          <w:color w:val="auto"/>
        </w:rPr>
      </w:pPr>
    </w:p>
    <w:p>
      <w:pPr>
        <w:ind w:left="240" w:right="80" w:hanging="93"/>
        <w:spacing w:after="0" w:line="289" w:lineRule="auto"/>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Pillar Two - Location Expansion.</w:t>
      </w:r>
      <w:r>
        <w:rPr>
          <w:rFonts w:ascii="Times New Roman" w:cs="Times New Roman" w:eastAsia="Times New Roman" w:hAnsi="Times New Roman"/>
          <w:sz w:val="17"/>
          <w:szCs w:val="17"/>
          <w:color w:val="auto"/>
        </w:rPr>
        <w:t xml:space="preserve"> We expect to continue growing our experiential location footprint across all three retail business models, including corporately operated, partner-operated, and franchise, with a particular focus on international growth through our asset-light partner-operated approach. We expect to continue opening across global locations, in a broad range of formats, from smaller shop-in-shops to larger, tourist-destination locations.</w:t>
      </w:r>
    </w:p>
    <w:p>
      <w:pPr>
        <w:spacing w:after="0" w:line="157" w:lineRule="exact"/>
        <w:rPr>
          <w:rFonts w:ascii="Times New Roman" w:cs="Times New Roman" w:eastAsia="Times New Roman" w:hAnsi="Times New Roman"/>
          <w:sz w:val="17"/>
          <w:szCs w:val="17"/>
          <w:color w:val="auto"/>
        </w:rPr>
      </w:pPr>
    </w:p>
    <w:p>
      <w:pPr>
        <w:ind w:left="240" w:hanging="93"/>
        <w:spacing w:after="0" w:line="255" w:lineRule="auto"/>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Pillar Three - Wholesale and Outbound Brand Licensing</w:t>
      </w:r>
      <w:r>
        <w:rPr>
          <w:rFonts w:ascii="Times New Roman" w:cs="Times New Roman" w:eastAsia="Times New Roman" w:hAnsi="Times New Roman"/>
          <w:sz w:val="18"/>
          <w:szCs w:val="18"/>
          <w:color w:val="auto"/>
        </w:rPr>
        <w:t>. We are enhancing our capabilities, from systems to sourcing to replenishment, to be able to sell branded products to traditional wholesale customers beyond our experience locations. These products will be based on a variety of form factors and designed for the wholesale channel, including, for example, pre-stuffed plush. This effort is designed not only to drive incremental revenue but also to extend the brand presence to tens of thousands of new points of sale. We also intend to leverage our nearly 30 years of multi-generational brand equity to access substantial whitespace and enter adjacent non-plush categories through outbound licensing relationships, again, to bring Build-A-Bear-branded items to more places. Importantly, we view these additional spaces as complementary to our Workshops, with the intention of ultimately serving as a mechanism for awareness and trial, driving more traffic to our stores for the full Build-A-Bear experience.</w:t>
      </w:r>
    </w:p>
    <w:p>
      <w:pPr>
        <w:spacing w:after="0" w:line="188" w:lineRule="exact"/>
        <w:rPr>
          <w:rFonts w:ascii="Times New Roman" w:cs="Times New Roman" w:eastAsia="Times New Roman" w:hAnsi="Times New Roman"/>
          <w:sz w:val="18"/>
          <w:szCs w:val="18"/>
          <w:color w:val="auto"/>
        </w:rPr>
      </w:pPr>
    </w:p>
    <w:p>
      <w:pPr>
        <w:ind w:left="240" w:right="60" w:hanging="93"/>
        <w:spacing w:after="0" w:line="258" w:lineRule="auto"/>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Pillar Four - Gifting and Personalization</w:t>
      </w:r>
      <w:r>
        <w:rPr>
          <w:rFonts w:ascii="Times New Roman" w:cs="Times New Roman" w:eastAsia="Times New Roman" w:hAnsi="Times New Roman"/>
          <w:sz w:val="18"/>
          <w:szCs w:val="18"/>
          <w:color w:val="auto"/>
        </w:rPr>
        <w:t>. This pillar is designed to gain more share of the growing multi-billion-dollar gifting and personalization markets. Build-A-Bear offers beloved gifts that creates memories for both the gift-giver and recipient across multiple age groups and occasions. With over one-third of our revenue currently driven by birthdays, we have already proven that the brand is associated with gifting occasions but believe there is a robust opportunity to expand into gifts for more of life’s special moments, with our powerful brand and personalization options serving as an important competitive point of difference.</w:t>
      </w:r>
    </w:p>
    <w:p>
      <w:pPr>
        <w:spacing w:after="0" w:line="399" w:lineRule="exact"/>
        <w:rPr>
          <w:sz w:val="20"/>
          <w:szCs w:val="20"/>
          <w:color w:val="auto"/>
        </w:rPr>
      </w:pPr>
    </w:p>
    <w:p>
      <w:pPr>
        <w:ind w:left="640" w:right="140"/>
        <w:spacing w:after="0" w:line="282" w:lineRule="auto"/>
        <w:rPr>
          <w:sz w:val="20"/>
          <w:szCs w:val="20"/>
          <w:color w:val="auto"/>
        </w:rPr>
      </w:pPr>
      <w:r>
        <w:rPr>
          <w:rFonts w:ascii="Times New Roman" w:cs="Times New Roman" w:eastAsia="Times New Roman" w:hAnsi="Times New Roman"/>
          <w:sz w:val="18"/>
          <w:szCs w:val="18"/>
          <w:color w:val="auto"/>
        </w:rPr>
        <w:t>These four pillars are enabled by our continued focus on four platform areas that span each of the pillars and support their continued growth. The four platforms are as follows:</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Platform One - Enhance Brand.</w:t>
      </w:r>
      <w:r>
        <w:rPr>
          <w:rFonts w:ascii="Times New Roman" w:cs="Times New Roman" w:eastAsia="Times New Roman" w:hAnsi="Times New Roman"/>
          <w:sz w:val="18"/>
          <w:szCs w:val="18"/>
          <w:color w:val="auto"/>
        </w:rPr>
        <w:t xml:space="preserve"> Building our brand is core to our long-term growth, as it is the cornerstone of our ability to bring the unique and</w:t>
      </w:r>
    </w:p>
    <w:p>
      <w:pPr>
        <w:spacing w:after="0" w:line="27" w:lineRule="exact"/>
        <w:rPr>
          <w:sz w:val="20"/>
          <w:szCs w:val="20"/>
          <w:color w:val="auto"/>
        </w:rPr>
      </w:pPr>
    </w:p>
    <w:p>
      <w:pPr>
        <w:ind w:left="240" w:right="100" w:hanging="93"/>
        <w:spacing w:after="0" w:line="260" w:lineRule="auto"/>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memorable Build-A-Bear experience to more guests around the world. We leverage innovative, brand-aligned marketing strategies to reach and engage our guests to enhance their affinity with and trust of Build-A-Bear.</w:t>
      </w:r>
    </w:p>
    <w:p>
      <w:pPr>
        <w:spacing w:after="0" w:line="181"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Platform Two - Leverage Content.</w:t>
      </w:r>
      <w:r>
        <w:rPr>
          <w:rFonts w:ascii="Times New Roman" w:cs="Times New Roman" w:eastAsia="Times New Roman" w:hAnsi="Times New Roman"/>
          <w:sz w:val="18"/>
          <w:szCs w:val="18"/>
          <w:color w:val="auto"/>
        </w:rPr>
        <w:t xml:space="preserve"> We drive elevated consumer engagement with Build-A-Bear through the strategic integration of product and</w:t>
      </w:r>
    </w:p>
    <w:p>
      <w:pPr>
        <w:spacing w:after="0" w:line="27" w:lineRule="exact"/>
        <w:rPr>
          <w:rFonts w:ascii="Times New Roman" w:cs="Times New Roman" w:eastAsia="Times New Roman" w:hAnsi="Times New Roman"/>
          <w:sz w:val="18"/>
          <w:szCs w:val="18"/>
          <w:color w:val="auto"/>
        </w:rPr>
      </w:pPr>
    </w:p>
    <w:p>
      <w:pPr>
        <w:ind w:left="240" w:right="200" w:hanging="93"/>
        <w:spacing w:after="0" w:line="187" w:lineRule="auto"/>
        <w:tabs>
          <w:tab w:leader="none" w:pos="240" w:val="left"/>
        </w:tabs>
        <w:numPr>
          <w:ilvl w:val="0"/>
          <w:numId w:val="13"/>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experience across several different content strategies, including: stories that we tell through the launches of seasonal collections; owned Intellectual Property that can evolve from a screen-based character into plush; and partnerships with licensed brands for whom we can create unique “make-your-own” plush interpretations of their beloved characters.</w:t>
      </w:r>
    </w:p>
    <w:p>
      <w:pPr>
        <w:spacing w:after="0" w:line="200" w:lineRule="exact"/>
        <w:rPr>
          <w:rFonts w:ascii="Times New Roman" w:cs="Times New Roman" w:eastAsia="Times New Roman" w:hAnsi="Times New Roman"/>
          <w:sz w:val="36"/>
          <w:szCs w:val="36"/>
          <w:color w:val="auto"/>
          <w:vertAlign w:val="subscript"/>
        </w:rPr>
      </w:pPr>
    </w:p>
    <w:p>
      <w:pPr>
        <w:ind w:left="240" w:right="240" w:hanging="93"/>
        <w:spacing w:after="0" w:line="184" w:lineRule="auto"/>
        <w:tabs>
          <w:tab w:leader="none" w:pos="240" w:val="left"/>
        </w:tabs>
        <w:numPr>
          <w:ilvl w:val="0"/>
          <w:numId w:val="1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u w:val="single" w:color="auto"/>
          <w:color w:val="auto"/>
        </w:rPr>
        <w:t>Platform Three - Evolve Technology.</w:t>
      </w:r>
      <w:r>
        <w:rPr>
          <w:rFonts w:ascii="Times New Roman" w:cs="Times New Roman" w:eastAsia="Times New Roman" w:hAnsi="Times New Roman"/>
          <w:sz w:val="17"/>
          <w:szCs w:val="17"/>
          <w:color w:val="auto"/>
        </w:rPr>
        <w:t xml:space="preserve"> We strategically evolve our technological infrastructure as needed to support our future growth and make data-driven decisions that allow us to scale more effectively.</w:t>
      </w:r>
    </w:p>
    <w:p>
      <w:pPr>
        <w:sectPr>
          <w:pgSz w:w="11900" w:h="16838" w:orient="portrait"/>
          <w:cols w:equalWidth="0" w:num="1">
            <w:col w:w="11220"/>
          </w:cols>
          <w:pgMar w:left="320" w:top="121" w:right="359" w:bottom="0" w:gutter="0" w:footer="0" w:header="0"/>
        </w:sectPr>
      </w:pPr>
    </w:p>
    <w:bookmarkStart w:id="21" w:name="page22"/>
    <w:bookmarkEnd w:id="21"/>
    <w:p>
      <w:pPr>
        <w:ind w:left="100" w:hanging="93"/>
        <w:spacing w:after="0" w:line="282" w:lineRule="auto"/>
        <w:tabs>
          <w:tab w:leader="none" w:pos="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Platform Four - Elevate Organization.</w:t>
      </w:r>
      <w:r>
        <w:rPr>
          <w:rFonts w:ascii="Times New Roman" w:cs="Times New Roman" w:eastAsia="Times New Roman" w:hAnsi="Times New Roman"/>
          <w:sz w:val="18"/>
          <w:szCs w:val="18"/>
          <w:color w:val="auto"/>
        </w:rPr>
        <w:t xml:space="preserve"> We elevate our workforce to support the capabilities required for growth both through the development of current talent and the strategic addition of new team members to our organization.</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60" w:top="121" w:right="35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Stores: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Corporately-Managed Locations: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table below sets forth the number of Build-A-Bear Workshop corporately-managed stores in the U.S., Canada, and Puerto Rico (collectively,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North America) and the U.K. and Ireland (collectively, Europe) for the periods presented: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6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6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Europe</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2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120" w:firstLine="648"/>
        <w:spacing w:after="0" w:line="261" w:lineRule="auto"/>
        <w:rPr>
          <w:sz w:val="20"/>
          <w:szCs w:val="20"/>
          <w:color w:val="auto"/>
        </w:rPr>
      </w:pPr>
      <w:r>
        <w:rPr>
          <w:rFonts w:ascii="Times New Roman" w:cs="Times New Roman" w:eastAsia="Times New Roman" w:hAnsi="Times New Roman"/>
          <w:sz w:val="18"/>
          <w:szCs w:val="18"/>
          <w:color w:val="auto"/>
        </w:rPr>
        <w:t>As of May 2, 2026, 53%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Partner-Operated Locations: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partner operated locations opened and closed for the periods presented below is summarized as follows:</w:t>
      </w:r>
    </w:p>
    <w:p>
      <w:pPr>
        <w:spacing w:after="0" w:line="221"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7100" w:type="dxa"/>
            <w:vAlign w:val="bottom"/>
          </w:tcPr>
          <w:p>
            <w:pPr>
              <w:spacing w:after="0"/>
              <w:rPr>
                <w:sz w:val="18"/>
                <w:szCs w:val="18"/>
                <w:color w:val="auto"/>
              </w:rPr>
            </w:pPr>
          </w:p>
        </w:tc>
        <w:tc>
          <w:tcPr>
            <w:tcW w:w="15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3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00" w:type="dxa"/>
            <w:vAlign w:val="bottom"/>
          </w:tcPr>
          <w:p>
            <w:pPr>
              <w:spacing w:after="0"/>
              <w:rPr>
                <w:sz w:val="18"/>
                <w:szCs w:val="18"/>
                <w:color w:val="auto"/>
              </w:rPr>
            </w:pPr>
          </w:p>
        </w:tc>
      </w:tr>
      <w:tr>
        <w:trPr>
          <w:trHeight w:val="210"/>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top w:val="single" w:sz="8" w:color="CCEEFF"/>
            </w:tcBorders>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160" w:firstLine="648"/>
        <w:spacing w:after="0" w:line="258" w:lineRule="auto"/>
        <w:rPr>
          <w:sz w:val="20"/>
          <w:szCs w:val="20"/>
          <w:color w:val="auto"/>
        </w:rPr>
      </w:pPr>
      <w:r>
        <w:rPr>
          <w:rFonts w:ascii="Times New Roman" w:cs="Times New Roman" w:eastAsia="Times New Roman" w:hAnsi="Times New Roman"/>
          <w:sz w:val="18"/>
          <w:szCs w:val="18"/>
          <w:color w:val="auto"/>
        </w:rPr>
        <w:t>Through our partner-operated model, there were 181 stores in operation at the end of the first quarter of 2026 with relationships that included Carnival Cruise Line, Great Wolf Lodge Resorts, Landry's and Girl Scouts of the USA. The partner-operated model is capital light for us, with the partner company building out and operating the workshops including providing the real estate location and covering the cost of labor and inventory, which is purchased from us on a wholesale basis. These locations are heavily weighted to the hospitality industry, which allow us to further advance our focus on experience location expansion in non-traditional and tourist areas, as well as shop-in-shop arrangements within other retailers’ stores.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Locations:</w:t>
      </w:r>
    </w:p>
    <w:p>
      <w:pPr>
        <w:spacing w:after="0" w:line="229" w:lineRule="exact"/>
        <w:rPr>
          <w:sz w:val="20"/>
          <w:szCs w:val="20"/>
          <w:color w:val="auto"/>
        </w:rPr>
      </w:pPr>
    </w:p>
    <w:p>
      <w:pPr>
        <w:ind w:left="20" w:right="14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opened in November 2003. All franchise stores have similar signage, store layout, merchandise characteristics and guest experience as our corporately-managed stores. As of May 2, 2026, we had seven master franchise agreements, which typically grant franchise rights for a particular country or group of countries, covering a total of twelve countries.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international franchise locations opened and closed for the periods presented below are summarized as follows:</w:t>
      </w:r>
    </w:p>
    <w:p>
      <w:pPr>
        <w:spacing w:after="0" w:line="221"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5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3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00" w:type="dxa"/>
            <w:vAlign w:val="bottom"/>
          </w:tcPr>
          <w:p>
            <w:pPr>
              <w:spacing w:after="0"/>
              <w:rPr>
                <w:sz w:val="18"/>
                <w:szCs w:val="18"/>
                <w:color w:val="auto"/>
              </w:rPr>
            </w:pPr>
          </w:p>
        </w:tc>
      </w:tr>
      <w:tr>
        <w:trPr>
          <w:trHeight w:val="210"/>
        </w:trPr>
        <w:tc>
          <w:tcPr>
            <w:tcW w:w="86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Beginning of period</w:t>
            </w:r>
            <w:r>
              <w:rPr>
                <w:rFonts w:ascii="Times New Roman" w:cs="Times New Roman" w:eastAsia="Times New Roman" w:hAnsi="Times New Roman"/>
                <w:sz w:val="24"/>
                <w:szCs w:val="24"/>
                <w:color w:val="auto"/>
                <w:vertAlign w:val="superscript"/>
              </w:rPr>
              <w:t>(1)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color w:val="auto"/>
        </w:rPr>
        <w:t>Count for both years include nine shop-in-shop locations in Australia not previously reported.</w:t>
      </w:r>
    </w:p>
    <w:p>
      <w:pPr>
        <w:spacing w:after="0" w:line="237" w:lineRule="exact"/>
        <w:rPr>
          <w:sz w:val="20"/>
          <w:szCs w:val="20"/>
          <w:color w:val="auto"/>
        </w:rPr>
      </w:pPr>
    </w:p>
    <w:p>
      <w:pPr>
        <w:ind w:left="20" w:right="1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ectPr>
          <w:pgSz w:w="11900" w:h="16838" w:orient="portrait"/>
          <w:cols w:equalWidth="0" w:num="1">
            <w:col w:w="11260"/>
          </w:cols>
          <w:pgMar w:left="300" w:top="121" w:right="33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460" w:type="dxa"/>
            <w:vAlign w:val="bottom"/>
          </w:tcPr>
          <w:p>
            <w:pPr>
              <w:spacing w:after="0"/>
              <w:rPr>
                <w:sz w:val="17"/>
                <w:szCs w:val="17"/>
                <w:color w:val="auto"/>
              </w:rPr>
            </w:pPr>
          </w:p>
        </w:tc>
        <w:tc>
          <w:tcPr>
            <w:tcW w:w="1180" w:type="dxa"/>
            <w:vAlign w:val="bottom"/>
            <w:tcBorders>
              <w:top w:val="single" w:sz="8" w:color="auto"/>
            </w:tcBorders>
          </w:tcPr>
          <w:p>
            <w:pPr>
              <w:ind w:left="580"/>
              <w:spacing w:after="0" w:line="201" w:lineRule="exact"/>
              <w:rPr>
                <w:sz w:val="20"/>
                <w:szCs w:val="20"/>
                <w:color w:val="auto"/>
              </w:rPr>
            </w:pPr>
            <w:r>
              <w:rPr>
                <w:rFonts w:ascii="Times New Roman" w:cs="Times New Roman" w:eastAsia="Times New Roman" w:hAnsi="Times New Roman"/>
                <w:sz w:val="18"/>
                <w:szCs w:val="18"/>
                <w:b w:val="1"/>
                <w:bCs w:val="1"/>
                <w:color w:val="auto"/>
              </w:rPr>
              <w:t>May 2,</w:t>
            </w:r>
          </w:p>
        </w:tc>
        <w:tc>
          <w:tcPr>
            <w:tcW w:w="5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490"/>
              <w:spacing w:after="0" w:line="201" w:lineRule="exact"/>
              <w:rPr>
                <w:sz w:val="20"/>
                <w:szCs w:val="20"/>
                <w:color w:val="auto"/>
              </w:rPr>
            </w:pPr>
            <w:r>
              <w:rPr>
                <w:rFonts w:ascii="Times New Roman" w:cs="Times New Roman" w:eastAsia="Times New Roman" w:hAnsi="Times New Roman"/>
                <w:sz w:val="18"/>
                <w:szCs w:val="18"/>
                <w:b w:val="1"/>
                <w:bCs w:val="1"/>
                <w:color w:val="auto"/>
              </w:rPr>
              <w:t>May 3,</w:t>
            </w:r>
          </w:p>
        </w:tc>
        <w:tc>
          <w:tcPr>
            <w:tcW w:w="160" w:type="dxa"/>
            <w:vAlign w:val="bottom"/>
          </w:tcPr>
          <w:p>
            <w:pPr>
              <w:spacing w:after="0"/>
              <w:rPr>
                <w:sz w:val="17"/>
                <w:szCs w:val="17"/>
                <w:color w:val="auto"/>
              </w:rPr>
            </w:pPr>
          </w:p>
        </w:tc>
      </w:tr>
      <w:tr>
        <w:trPr>
          <w:trHeight w:val="238"/>
        </w:trPr>
        <w:tc>
          <w:tcPr>
            <w:tcW w:w="8640" w:type="dxa"/>
            <w:vAlign w:val="bottom"/>
            <w:gridSpan w:val="2"/>
          </w:tcPr>
          <w:p>
            <w:pPr>
              <w:ind w:left="8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r>
      <w:tr>
        <w:trPr>
          <w:trHeight w:val="209"/>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90.5%</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7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09"/>
        </w:trPr>
        <w:tc>
          <w:tcPr>
            <w:tcW w:w="7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retail </w:t>
            </w:r>
            <w:r>
              <w:rPr>
                <w:rFonts w:ascii="Times New Roman" w:cs="Times New Roman" w:eastAsia="Times New Roman" w:hAnsi="Times New Roman"/>
                <w:sz w:val="25"/>
                <w:szCs w:val="25"/>
                <w:color w:val="auto"/>
                <w:vertAlign w:val="superscript"/>
              </w:rPr>
              <w:t>(1)</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86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commercial </w:t>
            </w:r>
            <w:r>
              <w:rPr>
                <w:rFonts w:ascii="Times New Roman" w:cs="Times New Roman" w:eastAsia="Times New Roman" w:hAnsi="Times New Roman"/>
                <w:sz w:val="25"/>
                <w:szCs w:val="25"/>
                <w:color w:val="auto"/>
                <w:vertAlign w:val="superscript"/>
              </w:rPr>
              <w:t>(1)</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40.4</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864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6"/>
                <w:szCs w:val="16"/>
                <w:color w:val="auto"/>
              </w:rPr>
              <w:t xml:space="preserve">Cost of merchandise sold - international franchising </w:t>
            </w:r>
            <w:r>
              <w:rPr>
                <w:rFonts w:ascii="Times New Roman" w:cs="Times New Roman" w:eastAsia="Times New Roman" w:hAnsi="Times New Roman"/>
                <w:sz w:val="26"/>
                <w:szCs w:val="26"/>
                <w:color w:val="auto"/>
                <w:vertAlign w:val="superscript"/>
              </w:rPr>
              <w:t>(1)</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69.7</w:t>
            </w:r>
          </w:p>
        </w:tc>
      </w:tr>
      <w:tr>
        <w:trPr>
          <w:trHeight w:val="209"/>
        </w:trPr>
        <w:tc>
          <w:tcPr>
            <w:tcW w:w="7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tcBorders>
              <w:bottom w:val="single" w:sz="8" w:color="CCEEFF"/>
            </w:tcBorders>
          </w:tcPr>
          <w:p>
            <w:pPr>
              <w:spacing w:after="0"/>
              <w:rPr>
                <w:sz w:val="18"/>
                <w:szCs w:val="18"/>
                <w:color w:val="auto"/>
              </w:rPr>
            </w:pPr>
          </w:p>
        </w:tc>
      </w:tr>
      <w:tr>
        <w:trPr>
          <w:trHeight w:val="20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shd w:val="clear" w:color="auto" w:fill="CCEEFF"/>
          </w:tcPr>
          <w:p>
            <w:pPr>
              <w:spacing w:after="0"/>
              <w:rPr>
                <w:sz w:val="18"/>
                <w:szCs w:val="18"/>
                <w:color w:val="auto"/>
              </w:rPr>
            </w:pPr>
          </w:p>
        </w:tc>
      </w:tr>
      <w:tr>
        <w:trPr>
          <w:trHeight w:val="229"/>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7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Borders>
              <w:top w:val="single" w:sz="8" w:color="CCEEFF"/>
            </w:tcBorders>
            <w:shd w:val="clear" w:color="auto" w:fill="CCEEFF"/>
          </w:tcPr>
          <w:p>
            <w:pPr>
              <w:spacing w:after="0"/>
              <w:rPr>
                <w:sz w:val="18"/>
                <w:szCs w:val="18"/>
                <w:color w:val="auto"/>
              </w:rPr>
            </w:pPr>
          </w:p>
        </w:tc>
      </w:tr>
      <w:tr>
        <w:trPr>
          <w:trHeight w:val="229"/>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9"/>
                <w:szCs w:val="19"/>
                <w:color w:val="auto"/>
              </w:rPr>
            </w:pPr>
          </w:p>
        </w:tc>
      </w:tr>
      <w:tr>
        <w:trPr>
          <w:trHeight w:val="223"/>
        </w:trPr>
        <w:tc>
          <w:tcPr>
            <w:tcW w:w="8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9"/>
                <w:szCs w:val="19"/>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7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8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Retail Gross Margin </w:t>
            </w:r>
            <w:r>
              <w:rPr>
                <w:rFonts w:ascii="Times New Roman" w:cs="Times New Roman" w:eastAsia="Times New Roman" w:hAnsi="Times New Roman"/>
                <w:sz w:val="25"/>
                <w:szCs w:val="25"/>
                <w:color w:val="auto"/>
                <w:vertAlign w:val="superscript"/>
              </w:rPr>
              <w:t>(2)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r>
    </w:tbl>
    <w:p>
      <w:pPr>
        <w:spacing w:after="0" w:line="198" w:lineRule="exact"/>
        <w:rPr>
          <w:sz w:val="20"/>
          <w:szCs w:val="20"/>
          <w:color w:val="auto"/>
        </w:rPr>
      </w:pPr>
    </w:p>
    <w:p>
      <w:pPr>
        <w:ind w:left="380" w:right="140" w:hanging="372"/>
        <w:spacing w:after="0" w:line="195" w:lineRule="auto"/>
        <w:tabs>
          <w:tab w:leader="none" w:pos="38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spacing w:after="0" w:line="1" w:lineRule="exact"/>
        <w:rPr>
          <w:rFonts w:ascii="Times New Roman" w:cs="Times New Roman" w:eastAsia="Times New Roman" w:hAnsi="Times New Roman"/>
          <w:sz w:val="30"/>
          <w:szCs w:val="30"/>
          <w:color w:val="auto"/>
          <w:vertAlign w:val="superscript"/>
        </w:rPr>
      </w:pPr>
    </w:p>
    <w:p>
      <w:pPr>
        <w:ind w:left="380" w:right="500" w:hanging="372"/>
        <w:spacing w:after="0" w:line="187" w:lineRule="auto"/>
        <w:tabs>
          <w:tab w:leader="none" w:pos="38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May 2, 2026 compared to thirteen weeks ended May 3, 2025</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decreased $3.1 million or 2.4%, primarily driven by a $6.1 million or 5.1% decrease in Net Retail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a $3.3 million or 44% increase in Commercial revenue when compared to the first fiscal quarter of 2025. The decrease in net retail sales was driven by lower sales at existing stores, decreased e-commerce demand offset by sales at new stores. The increased commercial revenue was due to higher sales to our wholesale customers, including sales to new wholesale customers resulting from a net increase of 54 partner-operated locations since the first quarter of 2025.</w:t>
      </w:r>
    </w:p>
    <w:p>
      <w:pPr>
        <w:spacing w:after="0" w:line="18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Net retail sales for the thirteen weeks ended May 2, 2026 were $113.5 million, compared to $119.6 million for the thirteen weeks ended May 3, 2025. The components of the performance are as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tcPr>
          <w:p>
            <w:pPr>
              <w:spacing w:after="0"/>
              <w:rPr>
                <w:sz w:val="18"/>
                <w:szCs w:val="18"/>
                <w:color w:val="auto"/>
              </w:rPr>
            </w:pPr>
          </w:p>
        </w:tc>
        <w:tc>
          <w:tcPr>
            <w:tcW w:w="1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38"/>
        </w:trPr>
        <w:tc>
          <w:tcPr>
            <w:tcW w:w="9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Impact from:</w:t>
            </w:r>
          </w:p>
        </w:tc>
        <w:tc>
          <w:tcPr>
            <w:tcW w:w="260" w:type="dxa"/>
            <w:vAlign w:val="bottom"/>
          </w:tcPr>
          <w:p>
            <w:pPr>
              <w:spacing w:after="0"/>
              <w:rPr>
                <w:sz w:val="20"/>
                <w:szCs w:val="20"/>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0" w:type="dxa"/>
            <w:vAlign w:val="bottom"/>
          </w:tcPr>
          <w:p>
            <w:pPr>
              <w:spacing w:after="0"/>
              <w:rPr>
                <w:sz w:val="1"/>
                <w:szCs w:val="1"/>
                <w:color w:val="auto"/>
              </w:rPr>
            </w:pPr>
          </w:p>
        </w:tc>
      </w:tr>
      <w:tr>
        <w:trPr>
          <w:trHeight w:val="210"/>
        </w:trPr>
        <w:tc>
          <w:tcPr>
            <w:tcW w:w="934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stores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(7,529)</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New stores</w:t>
            </w: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closures</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Gift card discounts</w:t>
            </w: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sales</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(6,123)</w:t>
            </w:r>
          </w:p>
        </w:tc>
        <w:tc>
          <w:tcPr>
            <w:tcW w:w="0" w:type="dxa"/>
            <w:vAlign w:val="bottom"/>
          </w:tcPr>
          <w:p>
            <w:pPr>
              <w:spacing w:after="0"/>
              <w:rPr>
                <w:sz w:val="1"/>
                <w:szCs w:val="1"/>
                <w:color w:val="auto"/>
              </w:rPr>
            </w:pPr>
          </w:p>
        </w:tc>
      </w:tr>
      <w:tr>
        <w:trPr>
          <w:trHeight w:val="20"/>
        </w:trPr>
        <w:tc>
          <w:tcPr>
            <w:tcW w:w="9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lower retail revenue performance was primarily due to lower sales at existing stores, decreased e-commerce demand offset by sales at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stores.</w:t>
      </w:r>
    </w:p>
    <w:p>
      <w:pPr>
        <w:sectPr>
          <w:pgSz w:w="11900" w:h="16838" w:orient="portrait"/>
          <w:cols w:equalWidth="0" w:num="1">
            <w:col w:w="11240"/>
          </w:cols>
          <w:pgMar w:left="320" w:top="121" w:right="339" w:bottom="1149"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49"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Commercial revenue was $10.9 million for the thirteen weeks ended May 2, 2026 compared to $7.6 million for the thirteen weeks ended May 3, 2025. The $3.3 million increase is primarily due to increased sales volume from our wholesale accounts through our partner-operated retail model.</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$0.9 million for the thirteen weeks ended May 2, 2026 compared to $1.2 million for the thirteen weeks ended May 3, 2025. The $0.3 million decrease is primarily due to timing of product shipments.</w:t>
      </w:r>
    </w:p>
    <w:p>
      <w:pPr>
        <w:spacing w:after="0" w:line="160"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$5.1 million to $73.1 million from $68.0 million for the thirteen weeks ended May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retail gross margin rate increased 750 basis points compared to the prior year, including a 560 basis-point benefit from the $7.0 million IEEPA tariff refund related to prior fiscal year costs, with the remaining 190 basis-points primarily driven by selective price increases.</w:t>
      </w:r>
    </w:p>
    <w:p>
      <w:pPr>
        <w:spacing w:after="0" w:line="173"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$56.1 million, or 44.8% of consolidated revenue, for the thirteen weeks ended May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$53.6 million, or 41.7% of consolidated revenue, for the thirteen weeks ended May 3, 2025. The increase was driven by higher total compensation costs, general inflationary pressures, and longer-range investments.</w:t>
      </w:r>
    </w:p>
    <w:p>
      <w:pPr>
        <w:spacing w:after="0" w:line="173"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was $0.1 million for the thirteen weeks ended May 2, 2026, compared to interest income of $0.2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thirteen weeks ended May 3, 2025.</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$5.6 million with a tax rate of 23.4% for the thirteen weeks ended May 2, 2026,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$4.3 million with a tax rate of 22.0% for the thirteen weeks ended May 3, 2025. In the first quarter of fiscal 2026, the effective tax rate differed from the statutory rate of 21% primarily due to state income tax expense partially offset by the tax impact of equity awards vesting and the foreign-derived deduction eligible income (formerly foreign derived intangible income). In the first quarter of fiscal 2025, the effective tax rate differed from the statutory rate of 21% primarily due to state income tax expense partially offset by the tax impact of equity awards vesting and foreign derived intangible income. In addition, in the first quarter of fiscal 2026 and 2025, the Company remains in a full valuation allowance in certain foreign jurisdictions.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w:t>
      </w:r>
    </w:p>
    <w:p>
      <w:pPr>
        <w:spacing w:after="0" w:line="229"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6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00" w:type="dxa"/>
            <w:vAlign w:val="bottom"/>
            <w:gridSpan w:val="2"/>
          </w:tcPr>
          <w:p>
            <w:pPr>
              <w:spacing w:after="0"/>
              <w:rPr>
                <w:sz w:val="19"/>
                <w:szCs w:val="19"/>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(pre-tax)</w:t>
            </w:r>
          </w:p>
        </w:tc>
        <w:tc>
          <w:tcPr>
            <w:tcW w:w="1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4,002</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3,700</w:t>
            </w:r>
          </w:p>
        </w:tc>
        <w:tc>
          <w:tcPr>
            <w:tcW w:w="80" w:type="dxa"/>
            <w:vAlign w:val="bottom"/>
            <w:shd w:val="clear" w:color="auto" w:fill="CCEEFF"/>
          </w:tcPr>
          <w:p>
            <w:pPr>
              <w:spacing w:after="0"/>
              <w:rPr>
                <w:sz w:val="19"/>
                <w:szCs w:val="19"/>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c>
          <w:tcPr>
            <w:tcW w:w="15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EBITDA for the thirteen weeks ended May 2, 2026 increased $4.6 million, or 20.0% to $27.7 million from $23.1 million for the thirteen weeks ended May 3, 2025. The increase was driven by higher gross profit resulting from increased retail and commercial margins partially offset by higher SG&amp;A expenses. The increase to retail margin primarily resulted from the benefit of IEEPA tariff refund, $7 million of which related to prior fiscal year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existing store and e-commerce sales; (3) fluctuations in the profitability of our stores; (4)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(5) changes in foreign currency exchange rates; (6) the timing of new store openings, closings, relocations and remodeling and related expenses; (7) changes in consumer preferences; (8) the effectiveness of our inventory management; (9) the actions of our competitors or mall anchors and co-tenants; (10) seasonal shopping patterns and holiday and vacation schedules; (11) disruptions in store operations due to civil unrest; and (12) weather conditions.</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lease-triggered clause; when the closure is communicated to store associates; and at the time of closure. We typically incur most preopening costs for a new store in the three months immediately preceding the store’s opening.</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Our most recent 14-week quarter was the 2023 fiscal fourth quarter.</w:t>
      </w:r>
    </w:p>
    <w:p>
      <w:pPr>
        <w:sectPr>
          <w:pgSz w:w="11900" w:h="16838" w:orient="portrait"/>
          <w:cols w:equalWidth="0" w:num="1">
            <w:col w:w="11240"/>
          </w:cols>
          <w:pgMar w:left="320" w:top="121" w:right="339" w:bottom="1122"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22"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cash requirements are primarily for the opening, remodeling or reformatting of stores, installation and upgrades of information systems and working capital. Over the past several years, we have met these requirements through cash generated from operations. A summary of cash provided by or used in our operating, investing and financing activities is shown in the following table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May 2,</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21,224</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27,803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(6,869)</w:t>
            </w:r>
          </w:p>
        </w:tc>
        <w:tc>
          <w:tcPr>
            <w:tcW w:w="1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(14,754)</w:t>
            </w:r>
          </w:p>
        </w:tc>
        <w:tc>
          <w:tcPr>
            <w:tcW w:w="1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(Decrease)/Increase in cash, cash equivalents, and restricted cash</w:t>
            </w:r>
          </w:p>
        </w:tc>
        <w:tc>
          <w:tcPr>
            <w:tcW w:w="240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(508)</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decreased $6.6 million for the thirteen weeks ended May 2, 2026,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May 3, 2025. This decrease in cash from operating activities was primarily driven by increases in prepaid and other assets and receivables from commercial accounts, as well as changes in deferred revenue, accounts payable and accrued expenses, partially offset by higher net income.</w:t>
      </w:r>
    </w:p>
    <w:p>
      <w:pPr>
        <w:spacing w:after="0" w:line="180"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increased $4.0 million for the thirteen weeks ended May 2, 2026, as compared to the thirteen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weeks ended May 3, 2025. The increase in cash used in investing activities was primarily driven by increased spending on capital expenditures.</w:t>
      </w:r>
    </w:p>
    <w:p>
      <w:pPr>
        <w:spacing w:after="0" w:line="374"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increased $6.3 million for the thirteen weeks ended May 2, 2026,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May 3, 2025. This increase in cash used in financing activities during the thirteen weeks of fiscal 2026 was driven by an increase in the amount utilized to repurchase shares compared to the prior year.</w:t>
      </w:r>
    </w:p>
    <w:p>
      <w:pPr>
        <w:spacing w:after="0" w:line="173"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As of May 2, 2026, we had a consolidated cash balance of $26.2 million, 73% of which was domiciled within the U.S,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$6.9 million in capital projects in the first quarter.</w:t>
      </w:r>
    </w:p>
    <w:p>
      <w:pPr>
        <w:spacing w:after="0" w:line="16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a revolving credit and security agreement with PNC Bank, as agent, that provides for a secured revolving loan in an aggregate principal amount of up to $40.0 million, subject to a borrowing base formula. As of May 2, 2026, borrowings under the agreement would bear interest at (a) a base rate determined under the agreement, or (b) at a rate based on SOFR reference rate, plus in either case a margin based on average undrawn availability as determined in accordance with the agreement. As of May 2, 2026, our borrowing base was $40.0 million and the Company had no outstanding borrowings as of the end of the quarter.</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Most of our corporately-managed retail stores are located within shopping malls and all are operated under leases classified as operating leases. Our leases in North America tend to be shorter term leases to provide flexibility in aligning stores with market trends. Beginning in fiscal 2023, lease extensions began to have longer terms as we have secured longer contracts with more favorable terms.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leases in the U.K. and the Republic of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cannot do so, our results of operations and financial condition could be harmed, and we may be required to record significant additional impairment charges.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Capital spending for the thirteen weeks ended May 2, 2026 totaled $6.9 million for information technology projects and new store openings, and we expect to spend approximately $22 to $25 million on capital expenditures in fiscal 2026.</w:t>
      </w:r>
    </w:p>
    <w:p>
      <w:pPr>
        <w:spacing w:after="0" w:line="162" w:lineRule="exact"/>
        <w:rPr>
          <w:sz w:val="20"/>
          <w:szCs w:val="20"/>
          <w:color w:val="auto"/>
        </w:rPr>
      </w:pPr>
    </w:p>
    <w:p>
      <w:pPr>
        <w:ind w:right="1140" w:firstLine="648"/>
        <w:spacing w:after="0" w:line="282" w:lineRule="auto"/>
        <w:rPr>
          <w:sz w:val="20"/>
          <w:szCs w:val="20"/>
          <w:color w:val="auto"/>
        </w:rPr>
      </w:pPr>
      <w:r>
        <w:rPr>
          <w:rFonts w:ascii="Times New Roman" w:cs="Times New Roman" w:eastAsia="Times New Roman" w:hAnsi="Times New Roman"/>
          <w:sz w:val="18"/>
          <w:szCs w:val="18"/>
          <w:color w:val="auto"/>
        </w:rPr>
        <w:t>Total inventory at quarter end was $77.8 million, an increase of $5.5 million or 8% from the end of the fiscal 2025 first quarter. We are comfortable with the level and composition of our inventory to support customer demand and critical seasonal products.</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various contractual or other obligations, including operating lease commitments and obligations under deferred compensation plans. As of May 2, 2026, we had purchase obligations totaling approximately $127.0 million, of which $28.6 million are due in the next 12 months. We believe our operating cash flows are sufficient to meet our material cash requirements for at least the next 12 months.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utilized $11.4 million in cash to repurchase 248,118 shares during the thirteen weeks ended May 2, 2026 under our current September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Repurchase Program, compared to using $4.2 million in cash to repurchase 108,502 shares during the thirteen weeks ended May 3, 2025 under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2024 Stock Repurchase Program and completed August 2022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160" w:firstLine="486"/>
        <w:spacing w:after="0" w:line="272" w:lineRule="auto"/>
        <w:rPr>
          <w:sz w:val="20"/>
          <w:szCs w:val="20"/>
          <w:color w:val="auto"/>
        </w:rPr>
      </w:pPr>
      <w:r>
        <w:rPr>
          <w:rFonts w:ascii="Times New Roman" w:cs="Times New Roman" w:eastAsia="Times New Roman" w:hAnsi="Times New Roman"/>
          <w:sz w:val="17"/>
          <w:szCs w:val="17"/>
          <w:color w:val="auto"/>
        </w:rPr>
        <w:t>The Company continued to experience inflationary pressures during the first quarter of fiscal 2026, primarily through higher store labor, product, freight, transportation and other supply chain costs. In addition, evolving tariffs and trade policies have increased cost and pricing pressure and created additional uncertainty across our sourcing and supply chain activities. We have taken actions to help mitigate these pressures, including cost reduction initiatives, process efficiencies, supplier negotiations, sourcing actions and selective pricing and assortment decisions. We expect inflationary and trade-related pressures to continue during fiscal 2026 and they may persist thereafter. The ultimate scope, duration and impact of existing and newly announced tariffs, any changes or pauses to such tariffs, and the timing and amount of any related refunds remain uncertain. These conditions may continue to affect product costs, freight and warehousing expense, other operating costs, customer spending patterns and our gross margins. In addition, broader geopolitical and macroeconomic developments may further increase transportation and supply chain costs or otherwise adversely affect our business.</w:t>
      </w:r>
    </w:p>
    <w:p>
      <w:pPr>
        <w:spacing w:after="0" w:line="172" w:lineRule="exact"/>
        <w:rPr>
          <w:sz w:val="20"/>
          <w:szCs w:val="20"/>
          <w:color w:val="auto"/>
        </w:rPr>
      </w:pPr>
    </w:p>
    <w:p>
      <w:pPr>
        <w:ind w:left="160" w:firstLine="486"/>
        <w:spacing w:after="0" w:line="289" w:lineRule="auto"/>
        <w:rPr>
          <w:sz w:val="20"/>
          <w:szCs w:val="20"/>
          <w:color w:val="auto"/>
        </w:rPr>
      </w:pPr>
      <w:r>
        <w:rPr>
          <w:rFonts w:ascii="Times New Roman" w:cs="Times New Roman" w:eastAsia="Times New Roman" w:hAnsi="Times New Roman"/>
          <w:sz w:val="17"/>
          <w:szCs w:val="17"/>
          <w:color w:val="auto"/>
        </w:rPr>
        <w:t>Although we continue to monitor these developments and adjust our operating and pricing strategies as appropriate, we cannot reasonably estimate the ultimate impact of inflation, tariffs, trade policy developments or related macroeconomic uncertainty on our future results. If we are unable to offset these higher costs or if consumer demand weakens, our sales, results of operations, financial condition and cash flows could be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January 31, 2026 as filed with the SEC on April 16, 2026, as amended by Amendment No. 1 as filed with the SEC on April 17, 2026 (the"2025 Form 10-K"), which includes audited consolidated financial statements for our 2025 and 2024 fiscal years. There have been no material changes to the critical accounting estimates disclosed in the 2025 Form 10-K.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 as disclosed in our 2025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2025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May 2, 2026,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have materially affected, or are reasonable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2025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 Maximum</w:t>
            </w:r>
          </w:p>
        </w:tc>
      </w:t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Number (or</w:t>
            </w:r>
          </w:p>
        </w:tc>
      </w:t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 Total Number of</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Value) of Shares (or</w:t>
            </w:r>
          </w:p>
        </w:tc>
      </w:t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 as Part</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Units) that May Yet</w:t>
            </w:r>
          </w:p>
        </w:tc>
      </w:t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 Total Number of</w:t>
            </w: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 Average Price</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Publicly</w:t>
            </w: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Be Purchased</w:t>
            </w:r>
          </w:p>
        </w:tc>
      </w:t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Paid Per Share (or</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38"/>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Unit) (2)</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Programs (3)</w:t>
            </w:r>
          </w:p>
        </w:tc>
        <w:tc>
          <w:tcPr>
            <w:tcW w:w="100" w:type="dxa"/>
            <w:vAlign w:val="bottom"/>
          </w:tcPr>
          <w:p>
            <w:pPr>
              <w:spacing w:after="0"/>
              <w:rPr>
                <w:sz w:val="20"/>
                <w:szCs w:val="20"/>
                <w:color w:val="auto"/>
              </w:rPr>
            </w:pPr>
          </w:p>
        </w:tc>
      </w:tr>
      <w:tr>
        <w:trPr>
          <w:trHeight w:val="22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53.44</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56,888,747</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March 1, 2026 - April 4, 2026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42.32</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133,338</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51,246,097</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5, 2026 - May 2, 2026</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24,932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38.12</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24,932</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50,295,609</w:t>
            </w:r>
          </w:p>
        </w:tc>
      </w:tr>
      <w:tr>
        <w:trPr>
          <w:trHeight w:val="20"/>
        </w:trPr>
        <w:tc>
          <w:tcPr>
            <w:tcW w:w="4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248,118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45.93</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248,118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50,295,609</w:t>
            </w: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80" w:right="1220" w:hanging="349"/>
        <w:spacing w:after="0" w:line="255" w:lineRule="auto"/>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if any. Our equity incentive plans provide that the value of shares delivered to us to pay the withholding tax obligations is calculated at the closing trading price of our common stock on the date the relevant transactions occur.</w:t>
      </w:r>
    </w:p>
    <w:p>
      <w:pPr>
        <w:spacing w:after="0" w:line="2" w:lineRule="exact"/>
        <w:rPr>
          <w:rFonts w:ascii="Times New Roman" w:cs="Times New Roman" w:eastAsia="Times New Roman" w:hAnsi="Times New Roman"/>
          <w:sz w:val="18"/>
          <w:szCs w:val="18"/>
          <w:color w:val="auto"/>
        </w:rPr>
      </w:pPr>
    </w:p>
    <w:p>
      <w:pPr>
        <w:ind w:left="1480" w:hanging="349"/>
        <w:spacing w:after="0"/>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commissions</w:t>
      </w:r>
    </w:p>
    <w:p>
      <w:pPr>
        <w:spacing w:after="0" w:line="9" w:lineRule="exact"/>
        <w:rPr>
          <w:rFonts w:ascii="Times New Roman" w:cs="Times New Roman" w:eastAsia="Times New Roman" w:hAnsi="Times New Roman"/>
          <w:sz w:val="18"/>
          <w:szCs w:val="18"/>
          <w:color w:val="auto"/>
        </w:rPr>
      </w:pPr>
    </w:p>
    <w:p>
      <w:pPr>
        <w:ind w:left="1480" w:right="1260" w:hanging="349"/>
        <w:spacing w:after="0" w:line="253" w:lineRule="auto"/>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2024, we announced that our Board of Directors authorized a share repurchase program of up to $100 million (replacing the previous stock repurchase program which was terminated). This program authorizes the Company to repurchase shares through September 30, 2028, does not require the Company to repurchase any specific number of shares, and may be modified, suspended or terminated at any time without prior notice. Shares repurchased under the program will be subsequently retired.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Trading Plans of Directors and Executive Officers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Item 408(a) of Regulation S-K requires the Company to disclose whether any of its directors or officers have adopted or terminated (i) any trading arrangement that is intended to satisfy the affirmative defense conditions of Rule 10b5-1(c); and/or (ii) any written trading arrangement that meets the requirements of a “non-Rule 10b5-1 trading arrangement” as defined in Item 408(c) of Regulation S-K. During the Company's fiscal quarter ended May 2, 2026, the following activity occurred requiring disclosure under Item 408(a) of Regulation S-K</w:t>
      </w:r>
    </w:p>
    <w:p>
      <w:pPr>
        <w:spacing w:after="0" w:line="180" w:lineRule="exact"/>
        <w:rPr>
          <w:sz w:val="20"/>
          <w:szCs w:val="20"/>
          <w:color w:val="auto"/>
        </w:rPr>
      </w:pPr>
    </w:p>
    <w:p>
      <w:pPr>
        <w:ind w:left="460" w:right="20" w:hanging="142"/>
        <w:spacing w:after="0" w:line="261"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Voin Todorovic, Chief Financial Officer, adopted a new trading arrangement on April 2, 2026 providing for the sale of up to 12,000 aggregate shares of the Company’s Class A common stock between July 6, 2026, and January 29, 2027.</w:t>
      </w:r>
    </w:p>
    <w:p>
      <w:pPr>
        <w:ind w:left="460" w:right="500" w:hanging="14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Narayan Iyengar, Director, adopted a new trading arrangement on March 20, 2026 providing for the sale of up to 3,448 aggregate shares of the Company's Class A common stock between June 22, 2026, and February 26, 2027.</w:t>
      </w:r>
    </w:p>
    <w:p>
      <w:pPr>
        <w:ind w:left="460" w:right="40" w:hanging="142"/>
        <w:spacing w:after="0" w:line="26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Sharon John, Chief Executive Officer, adopted a new trading arrangement on March 19, 2026 providing for the sale of up to 91,036 aggregate shares of the company's Class A common stock between July 6, 2026, and September 2, 2026.</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of the foregoing trading arrangements is intended to satisfy the affirmative defense of rule 10b5-1(c).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13"/>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Agreement and Plan of Merger dated April 3, 2000 between Build-A-Bear Workshop, L.L.C. and the Registrant (incorporated by reference</w:t>
              </w:r>
            </w:hyperlink>
          </w:p>
        </w:tc>
        <w:tc>
          <w:tcPr>
            <w:tcW w:w="2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from Exhibit 2.1 to our Registration Statement on Form S-1, filed on August 12, 2004, Registration No. 333-118142)</w:t>
              </w:r>
            </w:hyperlink>
          </w:p>
        </w:tc>
        <w:tc>
          <w:tcPr>
            <w:tcW w:w="1780" w:type="dxa"/>
            <w:vAlign w:val="bottom"/>
            <w:gridSpan w:val="1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220" w:type="dxa"/>
            <w:vAlign w:val="bottom"/>
            <w:gridSpan w:val="19"/>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Third Amended and Restated Certificate of Incorporation (incorporated by reference from Exhibit 3.1 of our Current Report on Form 8-K,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filed on November 11, 2004)</w:t>
              </w:r>
            </w:hyperlink>
          </w:p>
        </w:tc>
        <w:tc>
          <w:tcPr>
            <w:tcW w:w="26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Amended and Restated Bylaws, as amended through January 4, 2018 (incorporated by reference from Exhibit 3.1 to our Current Report on</w:t>
              </w:r>
            </w:hyperlink>
          </w:p>
        </w:tc>
        <w:tc>
          <w:tcPr>
            <w:tcW w:w="22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8-K, filed on January 4, 2018)</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99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Specimen Stock Certificate (incorporated by reference from Exhibit 4.1 to Amendment No. 3 to our Registration Statement on Form S-1,</w:t>
              </w:r>
            </w:hyperlink>
          </w:p>
        </w:tc>
        <w:tc>
          <w:tcPr>
            <w:tcW w:w="32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filed on October 1, 2004, Registration No. 333-118142)</w:t>
              </w:r>
            </w:hyperlink>
          </w:p>
        </w:tc>
        <w:tc>
          <w:tcPr>
            <w:tcW w:w="6200" w:type="dxa"/>
            <w:vAlign w:val="bottom"/>
            <w:gridSpan w:val="1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CEO Employment, Confidentiality and Noncompete Agreement, effective as of March 12, 2026, by and between J. Christopher Hurt and</w:t>
              </w:r>
            </w:hyperlink>
          </w:p>
        </w:tc>
        <w:tc>
          <w:tcPr>
            <w:tcW w:w="34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Build-A-Bear Workshop, Inc. (incorporated by reference from Exhibit 10.1 of our Current Report on Form 8-K filed on March 12, 2026).</w:t>
              </w:r>
            </w:hyperlink>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9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Amended and Restated Employment, Confidentiality, and Noncompete Agreement, effective as of June 11, 2026, by and between David</w:t>
            </w:r>
          </w:p>
        </w:tc>
        <w:tc>
          <w:tcPr>
            <w:tcW w:w="28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Henderson and Build-A-Bear Workshop, Inc.</w:t>
            </w:r>
          </w:p>
        </w:tc>
        <w:tc>
          <w:tcPr>
            <w:tcW w:w="400" w:type="dxa"/>
            <w:vAlign w:val="bottom"/>
            <w:gridSpan w:val="8"/>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420" w:type="dxa"/>
            <w:vAlign w:val="bottom"/>
            <w:gridSpan w:val="9"/>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Chief Financial Officer)</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p>
        </w:tc>
        <w:tc>
          <w:tcPr>
            <w:tcW w:w="400" w:type="dxa"/>
            <w:vAlign w:val="bottom"/>
            <w:tcBorders>
              <w:top w:val="single" w:sz="8" w:color="0000EE"/>
            </w:tcBorders>
            <w:gridSpan w:val="9"/>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Officer)</w:t>
            </w:r>
          </w:p>
        </w:tc>
        <w:tc>
          <w:tcPr>
            <w:tcW w:w="9640" w:type="dxa"/>
            <w:vAlign w:val="bottom"/>
            <w:gridSpan w:val="18"/>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the Chief Financial Officer)</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gridSpan w:val="8"/>
            <w:shd w:val="clear" w:color="auto" w:fill="0000EE"/>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r>
      <w:tr>
        <w:trPr>
          <w:trHeight w:val="4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 (on behalf of the registrant and as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121" w:right="379" w:bottom="1440" w:gutter="0" w:footer="0" w:header="0"/>
        </w:sectPr>
      </w:pPr>
    </w:p>
    <w:bookmarkStart w:id="31" w:name="page32"/>
    <w:bookmarkEnd w:id="31"/>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CONFIDENTIALITY AND NONCOMPETE AGREEMENT</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Build-A-Bear Workshop, Inc., a Delaware corporation (“Company”), and David Henderson (“Employee”) entered into a Employment, Confidentiality and Noncompete Agreement effective as of September 16, 2024 (the “Prior Agreement”). This Employment, Confidentiality and Noncompete Agreement (this “Agreement”) is entered into effective as of June 11, 2026 (the “Effective Date”) by and between Company and Employee and completely amends and supersedes the Prior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Company and the Employee wish to amend and restate the Prior Agreement to reflect the Employee’s promotion from the position of Chief Revenue Officer to Chief Growth Officer of Company, such promotion to be effective on the Effective Date.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Company has pioneered the retail concept of “make your own” stuffed plush toys, including animals and dolls, and is engaged in, among other things, the business of production, marketing, promotion and distribution of plush stuffed toys, clothing, accessories and similar items, including without limitation, the ownership, management, franchising, leasing and development of retail stores in which the basic operation is the selling of such items, and the promotion of the related concepts and characters through merchandising and mass media. Company is headquartered and its principal place of business is located in, and this Agreement is being signed in, St. Louis, Missouri.</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Company conducts business in selected locations throughout the United States and internationally directly and through franchise arrangements.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Company has expended a great deal of time, money and effort to develop and maintain its proprietary Confidential Information (as defined herein) which is material to Company and which, if misused or disclosed, could be very harmful to Company’s business.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success of Company depends to a substantial extent upon the protection of its Confidential Information and goodwill by all of its employees.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Company compensates its employees to, among other things, develop and preserve goodwill with its customers, landlords, suppliers and partners on Company’s behalf and business information for Company’s ownership and use.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if Employee were to leave Company, Company, in all fairness, would need certain protections in order to prevent competitors of Company from gaining an unfair competitive advantage over Company or diverting goodwill from Company, or to prevent Employee from misusing or misappropriating the Confidential Information.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compensation and other benefits of Employee’s employment by Company and the recitals, mutual covenants and agreements hereinafter set forth, Employee and Company agree as follows:</w:t>
      </w:r>
    </w:p>
    <w:p>
      <w:pPr>
        <w:spacing w:after="0" w:line="162" w:lineRule="exact"/>
        <w:rPr>
          <w:sz w:val="20"/>
          <w:szCs w:val="20"/>
          <w:color w:val="auto"/>
        </w:rPr>
      </w:pPr>
    </w:p>
    <w:p>
      <w:pPr>
        <w:ind w:left="1740" w:hanging="184"/>
        <w:spacing w:after="0"/>
        <w:tabs>
          <w:tab w:leader="none" w:pos="1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Services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718"/>
        <w:spacing w:after="0" w:line="254" w:lineRule="auto"/>
        <w:tabs>
          <w:tab w:leader="none" w:pos="19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Employee shall continue to be employed by Company, and Employee accepts such continued employment, upon the terms and conditions hereinafter set forth. Employee shall serve as Chief Growth Officer, and agrees to do so on a full-time basis. Employee shall carry out such duties as are assigned to him by Company’s Chief Executive Officer from time to time, which include, without limitation, duties and responsibilities associated with the title of Chief Growth Officer, including, without limitation, creating comprehensive strategies for revenue growth, including through merchandising, marketing, and licensing areas; strengthening brand initiatives; expansion of product categories and consumer segments; enhancing the experiential branding connecting products to guest experiences; and identifying opportunities for expansion, including strategic partnerships and acquisitions, including further, without limitations, overseeing the operation and management of Company’s global experience locations, comprising of corporately-managed, partner-operated, and franchise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both"/>
        <w:ind w:left="-1120" w:firstLine="1718"/>
        <w:spacing w:after="0" w:line="261" w:lineRule="auto"/>
        <w:tabs>
          <w:tab w:leader="none" w:pos="855"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throughout Employee’s employment with Company, Employee will (i) faithfully render such services as may be delegated reasonably to Employee by Company, (ii) devote substantially all of Employee’s entire business time, good faith, best efforts, ability, skill and attention to Company’s business, and (iii) follow and act in accordance with all of the rules, policies and procedures of Company which are applicable to its senior executives, including but not limited to working hours, sales and promotion policies, and specific Company rules.</w:t>
      </w:r>
    </w:p>
    <w:p>
      <w:pPr>
        <w:spacing w:after="0" w:line="179" w:lineRule="exact"/>
        <w:rPr>
          <w:rFonts w:ascii="Times New Roman" w:cs="Times New Roman" w:eastAsia="Times New Roman" w:hAnsi="Times New Roman"/>
          <w:sz w:val="18"/>
          <w:szCs w:val="18"/>
          <w:color w:val="auto"/>
        </w:rPr>
      </w:pPr>
    </w:p>
    <w:p>
      <w:pPr>
        <w:jc w:val="both"/>
        <w:ind w:left="-1120" w:firstLine="1718"/>
        <w:spacing w:after="0" w:line="266" w:lineRule="auto"/>
        <w:tabs>
          <w:tab w:leader="none" w:pos="83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Build-A-Bear Workshop, Inc. or one of its Subsidiaries. The term “Subsidiary” means any corporation, joint venture or other business organization in which Build-A-Bear Workshop, Inc. now or hereafter, directly or indirectly, owns or controls more than fifty percent (50%) interest.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36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term of this Agreement shall commence on the Effective Date first set forth above, and shall end on the third anniversary of the Effective Date, unless sooner terminated as provided in Section 4 hereof (the “Renewal Term”). Following the Renewal Term, this Agreement shall renew for successive one-year periods (each a “Renewal Period”; collectively, the Renewal Term and each Renewal Period, the “Employment Period”), unless either party notifies the other party of its decision not to renew the Agreement at least sixty (60) days prior to the third anniversary of the Effective Date or the expiration of any Renewal Period, or unless the Agreement is sooner terminated as provided in Section 4 hereof. For the avoidance of doubt, if either party provides notice of non-renewal of the Agreement at least sixty (60) days prior to the end of the Renewal Term or the end of any Renewal Period, then the Agreement shall expire.</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718"/>
        <w:spacing w:after="0" w:line="258" w:lineRule="auto"/>
        <w:tabs>
          <w:tab w:leader="none" w:pos="848"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Throughout the Employment Period, Company shall pay Employee as compensation for his services an annual base salary of not less than Five Hundred Thousand Dollars ($500,000), payable in accordance with Company’s usual practices. Employee’s annual base salary rate shall be reviewed by the Compensation Committee of the Board of Directors (the “Compensation Committee”) at least annually and may be subject to adjustment following each fiscal year so that Employee’s salary will be commensurate with similarly situated executives with firms similarly situated to Company. However, Employee’s annual base salary rate shall not be subject to decrease at any time during the Employment Period.</w:t>
      </w:r>
    </w:p>
    <w:p>
      <w:pPr>
        <w:spacing w:after="0" w:line="183" w:lineRule="exact"/>
        <w:rPr>
          <w:rFonts w:ascii="Times New Roman" w:cs="Times New Roman" w:eastAsia="Times New Roman" w:hAnsi="Times New Roman"/>
          <w:sz w:val="18"/>
          <w:szCs w:val="18"/>
          <w:color w:val="auto"/>
        </w:rPr>
      </w:pPr>
    </w:p>
    <w:p>
      <w:pPr>
        <w:jc w:val="both"/>
        <w:ind w:left="-1120" w:firstLine="1718"/>
        <w:spacing w:after="0" w:line="252" w:lineRule="auto"/>
        <w:tabs>
          <w:tab w:leader="none" w:pos="84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Should Company meet or exceed the sales, profits and other objectives established by the Compensation Committee for any fiscal year, Employee shall be eligible to receive a bonus for such fiscal year in the amount as determined by the Compensation Committee; provided however, the target bonus opportunity established for Employee in any given fiscal year will be set by the Compensation Committee at not less than sixty five percent (65%) of Employee’s earned annual base pay for such fiscal year. Any bonus payable to Employee will be payable in cash, stock or stock options, or combination thereof, all as determined by the Board of Directors or any duly authorized committee thereof, and unless (to the extent consistent with Section 409A of the Code (as defined below)) a different payout schedule is applicable for all executive employees of Company, any such bonus payment will be payable in a single, lump sum payment in the calendar year that contains the April 30th immediately following such fiscal year, but no later than April 30th of such following year. In the event of termination of this Agreement because of Employee’s death or disability (as defined by Section 4.1(b)), termination by Company without Cause pursuant to Section 4.1(c), or pursuant to Employee’s right to terminate this Agreement for Good Reason under Section 4.1(d), (1) any bonus for the fiscal year preceding the fiscal year in which such termination occurs shall be paid at the time and in the form such bonus would have been paid had Employee’s employment continued until the payment date, and (2) the bonus for the fiscal year in which such termination occurs shall be pro-rated based on the number of full calendar weeks during the applicable fiscal year during which Employee was employed hereunder, based on the bonus amount that Employee would have earned based on actual performance for the fiscal year had Employee’s employment not terminated, and shall be paid at the time and in the form such bonus would have been paid had Employee’s employment continued; provided, however, in the event of termination of this Agreement because of Employee’s termination by Company without Cause pursuant to Section 4.1(c) or pursuant to Employee’s right to terminate this Agreement for Good Reason under Section 4.1(d) and such termination is on the date of a Change in Control or during a period of twenty-four (24) months after a Change in Control, Employee’s target bonus for the fiscal year in which such termination occurs shall be prorated based on the number of full calendar weeks during the applicable fiscal year during which Employee was employed hereunder and shall be paid within thirty (30) days of such termination (subject to any delay in payout required under Section 4.2(b)). Notwithstanding anything herein to the contrary, no bonus shall be payable hereunder in the event that Employee’s employment terminates for any other reason prior to the date on which any bonus is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353695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3" w:name="page34"/>
    <w:bookmarkEnd w:id="33"/>
    <w:p>
      <w:pPr>
        <w:jc w:val="both"/>
        <w:ind w:firstLine="1710"/>
        <w:spacing w:after="0" w:line="266" w:lineRule="auto"/>
        <w:rPr>
          <w:sz w:val="20"/>
          <w:szCs w:val="20"/>
          <w:color w:val="auto"/>
        </w:rPr>
      </w:pPr>
      <w:r>
        <w:rPr>
          <w:rFonts w:ascii="Times New Roman" w:cs="Times New Roman" w:eastAsia="Times New Roman" w:hAnsi="Times New Roman"/>
          <w:sz w:val="18"/>
          <w:szCs w:val="18"/>
          <w:color w:val="auto"/>
        </w:rPr>
        <w:t>Such bonus, if any, shall be payable after Company’s accountants have determined the sales and profits and have issued their audit report with respect thereto for the applicable fiscal year, which determination shall be binding on the parties. Any such bonus shall be paid in the calendar year that contains the April 30 immediately following such fiscal year, but no later than April 30th of such year.</w:t>
      </w:r>
    </w:p>
    <w:p>
      <w:pPr>
        <w:spacing w:after="0" w:line="176" w:lineRule="exact"/>
        <w:rPr>
          <w:sz w:val="20"/>
          <w:szCs w:val="20"/>
          <w:color w:val="auto"/>
        </w:rPr>
      </w:pPr>
    </w:p>
    <w:p>
      <w:pPr>
        <w:jc w:val="both"/>
        <w:ind w:firstLine="1718"/>
        <w:spacing w:after="0" w:line="258" w:lineRule="auto"/>
        <w:tabs>
          <w:tab w:leader="none" w:pos="19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Employee may have been granted in the past, and may in the future be granted, a certain number of restricted shares and/or stock options to purchase shares of Company’s common stock (the “Common Stock”) and/or other awards, pursuant to the terms set forth more particularly in the stock option and/or restricted stock and/or other award agreements (“Stock Agreement”) used in connection with the Build-A-Bear Workshop, Inc. Amended and Restated 2020 Omnibus Incentive Plan (or any successor plan) (the “Plan”). The Plan and applicable Stock Agreement(s) shall govern any grants of restricted shares and/or stock options to purchase shares of Company’s Common Stock and/or such other awards.</w:t>
      </w:r>
    </w:p>
    <w:p>
      <w:pPr>
        <w:spacing w:after="0" w:line="183" w:lineRule="exact"/>
        <w:rPr>
          <w:rFonts w:ascii="Times New Roman" w:cs="Times New Roman" w:eastAsia="Times New Roman" w:hAnsi="Times New Roman"/>
          <w:sz w:val="18"/>
          <w:szCs w:val="18"/>
          <w:color w:val="auto"/>
        </w:rPr>
      </w:pPr>
    </w:p>
    <w:p>
      <w:pPr>
        <w:ind w:left="1980" w:hanging="262"/>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Discounts</w:t>
      </w:r>
      <w:r>
        <w:rPr>
          <w:rFonts w:ascii="Times New Roman" w:cs="Times New Roman" w:eastAsia="Times New Roman" w:hAnsi="Times New Roman"/>
          <w:sz w:val="18"/>
          <w:szCs w:val="18"/>
          <w:color w:val="auto"/>
        </w:rPr>
        <w:t>. Employee and his immediate family will be entitled to a minimum 20% discount for all merchandise purchased at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stores.</w:t>
      </w:r>
    </w:p>
    <w:p>
      <w:pPr>
        <w:spacing w:after="0" w:line="206" w:lineRule="exact"/>
        <w:rPr>
          <w:rFonts w:ascii="Times New Roman" w:cs="Times New Roman" w:eastAsia="Times New Roman" w:hAnsi="Times New Roman"/>
          <w:sz w:val="18"/>
          <w:szCs w:val="18"/>
          <w:color w:val="auto"/>
        </w:rPr>
      </w:pPr>
    </w:p>
    <w:p>
      <w:pPr>
        <w:jc w:val="both"/>
        <w:ind w:firstLine="1718"/>
        <w:spacing w:after="0" w:line="258" w:lineRule="auto"/>
        <w:tabs>
          <w:tab w:leader="none" w:pos="19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Employee shall be entitled to paid vacation and paid sick leave on the same basis as may from time to time apply to other Company executive employees generally. Vacations will be scheduled with the approval of Company’s Chief Executive Officer. One-third of one year’s vacation (or any part of it) may be carried over to the next year; provided that such carry over is used in the first calendar quarter of the next year. Unless otherwise approved by Company’s Chief Executive Officer, all unused vacation shall be forfeited. No more than two weeks of vacation can be taken at one time. Employee shall also be entitled to one (1) additional day per calendar year of paid vacation to be taken in the month of his birthday.</w:t>
      </w:r>
    </w:p>
    <w:p>
      <w:pPr>
        <w:spacing w:after="0" w:line="183" w:lineRule="exact"/>
        <w:rPr>
          <w:rFonts w:ascii="Times New Roman" w:cs="Times New Roman" w:eastAsia="Times New Roman" w:hAnsi="Times New Roman"/>
          <w:sz w:val="18"/>
          <w:szCs w:val="18"/>
          <w:color w:val="auto"/>
        </w:rPr>
      </w:pPr>
    </w:p>
    <w:p>
      <w:pPr>
        <w:jc w:val="both"/>
        <w:ind w:firstLine="1718"/>
        <w:spacing w:after="0" w:line="258" w:lineRule="auto"/>
        <w:tabs>
          <w:tab w:leader="none" w:pos="19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Employee shall be eligible for such other perquisites as may from time to time be awarded to Employee by Company payable at such times and in such amounts as Company, in its sole discretion, may determine. All compensation under this Agreement shall be subject to customary withholding taxes and other employment taxes as required with respect thereto. Throughout the Employment Period, Employee shall also qualify for all rights and benefits for which Employee may be eligible under any benefit plans including group life, medical, health, dental and/or disability insurance or other benefits (“Welfare Benefits”) which are provided for employees generally at his then current location of employment.</w:t>
      </w:r>
    </w:p>
    <w:p>
      <w:pPr>
        <w:spacing w:after="0" w:line="183" w:lineRule="exact"/>
        <w:rPr>
          <w:sz w:val="20"/>
          <w:szCs w:val="20"/>
          <w:color w:val="auto"/>
        </w:rPr>
      </w:pPr>
    </w:p>
    <w:p>
      <w:pPr>
        <w:ind w:left="1740" w:hanging="184"/>
        <w:spacing w:after="0"/>
        <w:tabs>
          <w:tab w:leader="none" w:pos="1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Prior to the expiration of the Employment Period, this Agreement and Employee’s employment may be terminated as follows:</w:t>
      </w:r>
    </w:p>
    <w:p>
      <w:pPr>
        <w:spacing w:after="0" w:line="162" w:lineRule="exact"/>
        <w:rPr>
          <w:sz w:val="20"/>
          <w:szCs w:val="20"/>
          <w:color w:val="auto"/>
        </w:rPr>
      </w:pPr>
    </w:p>
    <w:p>
      <w:pPr>
        <w:ind w:left="1540" w:hanging="236"/>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Employee’s death;</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Company upon thirty (30) days’ prior written notice to Employee in the event Employee, by reason of permanent physical or mental disability (which shall be determined by a physician selected by Company or its insurers and acceptable to Employee or Employee’s legal representative (such agreement as to acceptability not to be withheld unreasonably)), following such time as Employee has been unable to perform the essential functions of his position, with or without reasonable accommodation, for the longer of: (i) six (6) consecutive months or (ii) the maximum health leave provided under Company’s Health Leave of Absence policy for Employee’s length of service with Company; provided, however, Employee shall not be terminated due to permanent physical or mental disability unless or until said disability also entitles Employee to benefits under such disability insurance policy as is provided to Employee by Company, provided however that continued entitlement to disability benefits coverage shall be not required where Employee fails to qualify for benefits coverage continuation due to an act or omission by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ind w:left="-8" w:firstLine="1304"/>
        <w:spacing w:after="0" w:line="253" w:lineRule="auto"/>
        <w:tabs>
          <w:tab w:leader="none" w:pos="155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Company with or without Cause. For the purposes of this Agreement, “Cause” shall mean: (i) Employee’s engagement in any conduct which, in Company’s reasonable determination, constitutes gross misconduct, or is illegal, unethical or improper provided such conduct brings detrimental notoriety or material harm to Company; (ii) gross negligence or willful misconduct; (iii) any act which results in a conviction for a felony involving moral turpitude, fraud or misrepresentation; (iv) a material breach of a material provision of this Agreement by Employee, or (v) failure of Employee to follow a written directive of the Chief Executive Officer or the Board of Directors within thirty (30) days after receiving such notice, provided that such directive is reasonable in scope and is otherwise within the Chief Executive Officer’s or the Board’s reasonable business judgment, and is reasonably within Employee’s control; provided Employee does not cure said conduct or breach as set forth in (i)-(v)(to the extent curable) within thirty</w:t>
      </w:r>
    </w:p>
    <w:p>
      <w:pPr>
        <w:spacing w:after="0" w:line="2"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Chief Executive Officer or the Board of Directors provides Employee with reasonably-detailed written notice of said conduct or breach accompanied by a clear written statement of Company’s intent to terminate the Employee’s employment for Cause in the absence of a cure. Cause shall not exist unless and until the Employee (and his counsel if he wishes) has been afforded an opportunity prior to the actual date of termination to discuss the matter with the Board of Directors at a duly-called Board meeting at which the matter is timely placed on the agenda and the Board subsequently votes to terminate the relationship for Cause.</w:t>
      </w:r>
    </w:p>
    <w:p>
      <w:pPr>
        <w:spacing w:after="0" w:line="186"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15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Employee with or without Good Reason. For purposes of this Agreement, “Good Reason” shall mean (i) a material breach of a material provision of this Agreement by Company, (ii) Company’s issuance of a notice of non-renewal of this Agreement under Section 2, (iii) a material diminution in Employee’s total annual compensation, including base salary, annual bonus opportunity and long-term incentives, (iv) a material diminution in Employee’s authority, duties or responsibilities, or (v) a change in the geographic location at which Employee must perform services hereunder of more than twenty-five (25) miles; provided, that, Employee provides the Board of Directors with written notice of Good Reason within thirty (30) days of the date on which Employee becomes aware of the condition alleged to give rise to Good Reason, Company does not cure such condition within thirty (30) days after such notice (to the extent curable), and Employee terminates his employment within ninety (90) days following the onset of one or more conditions giving rise to Good Reason.</w:t>
      </w:r>
    </w:p>
    <w:p>
      <w:pPr>
        <w:spacing w:after="0" w:line="192"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Impact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1304"/>
        <w:spacing w:after="0" w:line="266" w:lineRule="auto"/>
        <w:tabs>
          <w:tab w:leader="none" w:pos="15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Covenants</w:t>
      </w:r>
      <w:r>
        <w:rPr>
          <w:rFonts w:ascii="Times New Roman" w:cs="Times New Roman" w:eastAsia="Times New Roman" w:hAnsi="Times New Roman"/>
          <w:sz w:val="18"/>
          <w:szCs w:val="18"/>
          <w:color w:val="auto"/>
        </w:rPr>
        <w:t>. Upon termination of this Agreement, all rights and obligations of the parties hereunder shall cease, except termination of employment pursuant to Section 4 or otherwise shall not terminate or otherwise affect the rights and obligations of the parties pursuant to Sections 5 through 13 hereof.</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7" w:lineRule="auto"/>
        <w:tabs>
          <w:tab w:leader="none" w:pos="15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In the event during the Employment Period (i) Company terminates Employee’s employment without Cause pursuant to Section 4.1(c) or (ii) the Employee terminates his employment for Good Reason pursuant to Section 4.1(d), subject to the execution and non-revocation of a release and waiver of all claims described below, Company shall continue his base salary in accordance with its regular payroll practices for a period of</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(12) months, commencing on the date that is thirty (30) days after the termination in the case of a termination of employment either prior to a Change in Control or following a period of twenty-four (24) months after a Change in Control or (B) eighteen (18) months, commencing on the date that is thirty (30) days after the termination in the case of a termination of employment during the twenty-four (24) month period immediately following a Change in Control. Notwithstanding anything herein to the contrary, receipt of any payment in connection with a termination of employment shall be conditioned on Employee signing a release and waiver of all claims against Company and its affiliates within thirty (30) days after his termination of employment, in such form and manner as Company shall reasonably prescribe, which release shall become effective and irrevocable within thirty (30) days after Employee’s termination of employment. Employee shall accept these payments in full discharge of all obligations of any kind which Company has to his except obligations, if any (i) for post-employment benefits expressly provided under this Agreement and/or at law, (ii) to repurchase any capital stock of Company owned by Employee (as may or may not be set forth in the applicable stock agreement); or (iii) for indemnification under separate agreement by virtue of Employee’s status as a director/officer of Company. Employee shall also be eligible to receive a bonus with respect to the year of termination to the extent provided in Section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356870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35" w:name="page36"/>
    <w:bookmarkEnd w:id="3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For purposes of these severance pay provisions and any other term of this Agreement which provides for a payment upon termination of employment, Employee shall be considered as having terminated employment only if such termination constitutes a “separation from service” within the meaning of Section 409A of the Code, and any proposed or final regulations and guidance promulgated thereunder. Notwithstanding anything herein to the contrary, in the event that Employee is determined to be a specified employee within the meaning of Section 409A of the Internal Revenue Code of 1986, as amended (the “Code”), for purposes of any payment on termination of employment hereunder, payment(s) shall be made or begin, as applicable, on the first payroll date which is more than six months following the date of separation from service, to the extent required to avoid any adverse tax consequences under Section 409A of the Code. Any payments that would have been made during such six (6) month period shall be made in a lump sum on the first payroll date which is more than six months following the date Employee separates from service with Company. Each payment under this Agreement shall be treated as a separate payment for purposes of Section 409A of the Code. In no event may Employee, directly or indirectly, designate the calendar year of any payment to be made under this Agreement. This Agreement shall be interpreted and administered in a manner consistent with Section 409A of the Code.</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For purposes of this Agreement, “Change in Control” shall mean: (i) the purchase or other acquisition (other than from Company) by any person, entity or group of persons, within the meaning of Section 13(d) or 14(d) of the Securities Exchange Act of 1934, as amended (“Act”) (excluding, for this purpose, Company or its subsidiaries or any employee benefit plan of Company or its subsidiaries), of beneficial ownership (within the meaning of Rule 13d-3 promulgated under the Act) of 20% or more of either the then-outstanding shares of common stock of Company or the combined voting power of Company’s then-outstanding voting securities entitled to vote generally in the election of directors; (ii) individuals who, as of the date hereof, constitute Company’s Board of Directors (and, as of the date hereof, the “Incumbent Board”) cease for any reason to constitute at least a majority of Company’s Board of Directors, provided that any person who becomes a director subsequent to the date hereof whose election, or nomination for election by Company’s stockholders, was approved by a vote of at least a majority of the directors then comprising the Incumbent Board (other than an individual whose initial assumption of office is in connection with an actual or threatened election contest relating to the election of directors of Company, as such terms are used in Rule 14a-11 of Regulation 14A promulgated under the Act) shall be, for purposes of this Section, considered as though such person were a member of the Incumbent Board; (iii) a reorganization, merger or consolidation involving Company, in each case with respect to which persons who were the stockholders of Company immediately prior to such reorganization, merger or consolidation do not, immediately thereafter, own more than 50% of, respectively, the common stock and the combined voting power entitled to vote generally in the election of directors of the reorganized, merged or consolidated corporation’s then-outstanding voting securities; or (iv) a liquidation or dissolution of Company, or the sale of all or substantially all of the assets of Company.</w:t>
      </w:r>
    </w:p>
    <w:p>
      <w:pPr>
        <w:spacing w:after="0" w:line="196" w:lineRule="exact"/>
        <w:rPr>
          <w:sz w:val="20"/>
          <w:szCs w:val="20"/>
          <w:color w:val="auto"/>
        </w:rPr>
      </w:pPr>
    </w:p>
    <w:p>
      <w:pPr>
        <w:jc w:val="both"/>
        <w:ind w:firstLine="1304"/>
        <w:spacing w:after="0" w:line="255" w:lineRule="auto"/>
        <w:tabs>
          <w:tab w:leader="none" w:pos="15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Employee Non-Renewal of Term or Termination by Employee without Good Reason</w:t>
      </w:r>
      <w:r>
        <w:rPr>
          <w:rFonts w:ascii="Times New Roman" w:cs="Times New Roman" w:eastAsia="Times New Roman" w:hAnsi="Times New Roman"/>
          <w:sz w:val="18"/>
          <w:szCs w:val="18"/>
          <w:color w:val="auto"/>
        </w:rPr>
        <w:t>. If the Agreement expires either at the end of the Renewal Term or at the end of any Renewal Period, due to the issuance of notice of non-renewal by Employee under Section 2, then no severance under Section 4.2(b) shall be paid to the Employee and his employment shall terminate upon the anniversary date. If Employee terminates his employment without Good Reason, then no severance under Section 4.2(b) shall be paid to Employee and his employment shall terminate on the effective date of such termination. For the avoidance of doubt, if Company ends the employment relationship either at the end of the Renewal Term or at the end of any Renewal Period without Cause under Section 4.1(c), Company shall remit to Employee the severance specified in Section 4.2(b) provided Company has received the release and waiver referred to in Section 4.2(b).</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Welfare Benefits</w:t>
      </w:r>
      <w:r>
        <w:rPr>
          <w:rFonts w:ascii="Times New Roman" w:cs="Times New Roman" w:eastAsia="Times New Roman" w:hAnsi="Times New Roman"/>
          <w:sz w:val="18"/>
          <w:szCs w:val="18"/>
          <w:color w:val="auto"/>
        </w:rPr>
        <w:t>. Upon termination or expiration of this Agreement for any reason, Employee shall be provided with such Welfare Benefits continuation notices, rights and obligations as may be required under federal or state law (including COBRA). In the event that Employee becomes entitled to any severance under paragraph 4.2(b) above, the Company shall pay Employee, within thirty (30) days of his termination of employment, a single lump sum equal to eighteen multiplied by the monthly Company-paid portion of health, dental and vision plan coverage premiums for those benefits in which Employee and his dependents are enrolled on the date of termination of employment. Such amount shall be subject to applicable income and employment tax withholdings.</w:t>
      </w:r>
    </w:p>
    <w:p>
      <w:pPr>
        <w:spacing w:after="0" w:line="187" w:lineRule="exact"/>
        <w:rPr>
          <w:rFonts w:ascii="Times New Roman" w:cs="Times New Roman" w:eastAsia="Times New Roman" w:hAnsi="Times New Roman"/>
          <w:sz w:val="18"/>
          <w:szCs w:val="18"/>
          <w:color w:val="auto"/>
        </w:rPr>
      </w:pPr>
    </w:p>
    <w:p>
      <w:pPr>
        <w:ind w:left="1740" w:hanging="184"/>
        <w:spacing w:after="0"/>
        <w:tabs>
          <w:tab w:leader="none" w:pos="1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keep secret and confidential, and not to use or disclose to any third parties, except as directly required for Employee to perform Employee’s employment responsibilities for Company, any of Company’s proprietary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ind w:firstLine="1304"/>
        <w:spacing w:after="0" w:line="261" w:lineRule="auto"/>
        <w:tabs>
          <w:tab w:leader="none" w:pos="15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confirms that certain data and other information (whether in human or machine readable form) that comes into his possession or knowledge (whether before or after the date of this Agreement) and which was obtained from Company, or obtained by Employee for or on behalf of Company, and which is identified herein (the “Confidential Information”) is the secret, confidential property of Company. This Confidential Information includes, but is not limited to:</w:t>
      </w:r>
    </w:p>
    <w:p>
      <w:pPr>
        <w:spacing w:after="0" w:line="179"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lists or other identification of customers or prospective customers of Company;</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8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lists or other identification of sources or prospective sources of Company’s products or components thereof, its landlords and prospective landlords and its current and prospective alliance, marketing and media partners (and key individuals employed or engaged by such parties);</w:t>
      </w:r>
    </w:p>
    <w:p>
      <w:pPr>
        <w:spacing w:after="0" w:line="175"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285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compilations of information, correspondence, designs, drawings, files, formulae, lists, machines, maps, methods, models, studies, surveys, scripts, screenplays, artwork, sketches, notes or other writings, plans, leases, records and reports;</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8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sales and marketing data relating to Company or to the industry or other areas pertaining to Company’s activities and contemplated activities (including, without limitation, leasing, manufacturing, transportation, distribution and sales costs and non-public pricing information);</w:t>
      </w:r>
    </w:p>
    <w:p>
      <w:pPr>
        <w:spacing w:after="0" w:line="175" w:lineRule="exact"/>
        <w:rPr>
          <w:rFonts w:ascii="Times New Roman" w:cs="Times New Roman" w:eastAsia="Times New Roman" w:hAnsi="Times New Roman"/>
          <w:sz w:val="18"/>
          <w:szCs w:val="18"/>
          <w:color w:val="auto"/>
        </w:rPr>
      </w:pPr>
    </w:p>
    <w:p>
      <w:pPr>
        <w:ind w:left="1300" w:firstLine="1300"/>
        <w:spacing w:after="0" w:line="282" w:lineRule="auto"/>
        <w:tabs>
          <w:tab w:leader="none" w:pos="28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materials, designs, procedures, processes, and techniques used in, or related to, the development, manufacture, assembly, fabrication or other production and quality control of Company’s products, stores and services;</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86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relations with its past, current and prospective customers, suppliers, landlords, alliance, marketing and media partners and the nature and type of products or services rendered to, received from or developed with such parties or prospective parties;</w:t>
      </w:r>
    </w:p>
    <w:p>
      <w:pPr>
        <w:spacing w:after="0" w:line="175"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relations with its employees (including, without limitation, salaries, job classifications and skill levels);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1300" w:firstLine="1300"/>
        <w:spacing w:after="0" w:line="282" w:lineRule="auto"/>
        <w:tabs>
          <w:tab w:leader="none" w:pos="288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designated by Company to be confidential, secret and/or proprietary (including without limitation, information provided by customers, suppliers and alliance partners of Company).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term Confidential Information shall not consist of any data or other information which has been made publicly available or otherwise placed in the public domain other than by Employee in violation of this Agreement. Notwithstanding the foregoing, Employee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Employee files a lawsuit for retaliation by the Company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spacing w:after="0" w:line="192" w:lineRule="exact"/>
        <w:rPr>
          <w:sz w:val="20"/>
          <w:szCs w:val="20"/>
          <w:color w:val="auto"/>
        </w:rPr>
      </w:pPr>
    </w:p>
    <w:p>
      <w:pPr>
        <w:jc w:val="both"/>
        <w:ind w:firstLine="1304"/>
        <w:spacing w:after="0" w:line="266" w:lineRule="auto"/>
        <w:tabs>
          <w:tab w:leader="none" w:pos="154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Employee will not copy, reproduce or otherwise duplicate, record, abstract, summarize or otherwise use, any papers, records, reports, studies, computer printouts, equipment, tools or other property owned by Company except as expressly permitted by Company in writing or required for the proper performance of his duties on behalf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ind w:left="-1120" w:firstLine="1304"/>
        <w:spacing w:after="0" w:line="253" w:lineRule="auto"/>
        <w:tabs>
          <w:tab w:leader="none" w:pos="3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Restrictions</w:t>
      </w:r>
      <w:r>
        <w:rPr>
          <w:rFonts w:ascii="Times New Roman" w:cs="Times New Roman" w:eastAsia="Times New Roman" w:hAnsi="Times New Roman"/>
          <w:sz w:val="18"/>
          <w:szCs w:val="18"/>
          <w:color w:val="auto"/>
        </w:rPr>
        <w:t>. Employee recognizes that (i) Company has spent substantial money, time and effort over the years in developing and solidifying its relationships with its customers, suppliers, landlords and alliance, marketing and media partners and in developing its Confidential Information; (ii) long-term customer, landlord, supplier and partner relationships often can be difficult to develop and require a significant investment of time, effort and expense; (iii) Company has paid its employees to, among other things, develop and preserve business information, customer, landlord, vendor and partner goodwill, customer, landlord, vendor and partner loyalty and customer, landlord, vendor and partner contacts for and on behalf of Company; and (iv) Company is hereby agreeing to employ and pay Employee based upon Employee’s assurances and promises not to divert goodwill of customers, landlords, suppliers or partners of Company, either individually or on a combined basis, or to put himself in a position following Employee’s employment with Company in which the confidentiality of Company’s Confidential Information might somehow be compromised. Accordingly, Employee agrees that during the Employment Period and for the period of time set forth below following termination of employment, provided termination is in accordance with the terms of Section 4.1(b), (c), or (d), or due to expiration of the Agreement due to non-renewal by either party, Employee will not, directly or indirectly (whether as owner, partner, consultant, employee or otherwise):</w:t>
      </w:r>
    </w:p>
    <w:p>
      <w:pPr>
        <w:spacing w:after="0" w:line="192" w:lineRule="exact"/>
        <w:rPr>
          <w:sz w:val="20"/>
          <w:szCs w:val="20"/>
          <w:color w:val="auto"/>
        </w:rPr>
      </w:pPr>
    </w:p>
    <w:p>
      <w:pPr>
        <w:jc w:val="both"/>
        <w:ind w:left="-1120" w:firstLine="1304"/>
        <w:spacing w:after="0" w:line="253" w:lineRule="auto"/>
        <w:tabs>
          <w:tab w:leader="none" w:pos="42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one (1) year, engage in, assist or have an interest in, or enter the employment of or act as an agent, advisor or consultant for, any person or entity which is engaged in, or will be engaged in, the development, manufacture, supplying or sale of a product, process, service or development which is competitive with a product, process, service or development on which Employee worked or with respect to which Employee has or had access to Confidential Information while at Company (“Restricted Activity”), and which is located within the United States or within any country where Company has established a retail presence either directly or through a franchise arrangement;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following termination of his employment, Employee shall be entitled to be an employee of an entity that engages in Restricted Activity so long as: (i) the sale of stuffed plush toys is not a material business of the entity; (ii) Employee has no direct or personal involvement in the sale of stuffed plush toys; and (iii) neither Employee, his relatives, nor any other entities with which she is affiliated own more than 1% of the entity. As used in this paragraph 6, “material business” shall mean that either (A) greater than 10% of annual revenues received by such entity were derived from the sale of stuffed plush toys and related products, or (B) or the entity otherwise annually derives or is projected to derive annual revenues in excess of $5 million from a retail concept that is similar in any material regard to Company; or</w:t>
      </w:r>
    </w:p>
    <w:p>
      <w:pPr>
        <w:spacing w:after="0" w:line="191" w:lineRule="exact"/>
        <w:rPr>
          <w:rFonts w:ascii="Times New Roman" w:cs="Times New Roman" w:eastAsia="Times New Roman" w:hAnsi="Times New Roman"/>
          <w:sz w:val="18"/>
          <w:szCs w:val="18"/>
          <w:color w:val="auto"/>
        </w:rPr>
      </w:pPr>
    </w:p>
    <w:p>
      <w:pPr>
        <w:ind w:left="-1120" w:firstLine="1304"/>
        <w:spacing w:after="0" w:line="282" w:lineRule="auto"/>
        <w:tabs>
          <w:tab w:leader="none" w:pos="4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(1) year, induce or attempt to induce any employee, consultant, partner or advisor of Company to accept employment or an affiliation with any other entity.</w:t>
      </w:r>
    </w:p>
    <w:p>
      <w:pPr>
        <w:spacing w:after="0" w:line="162" w:lineRule="exact"/>
        <w:rPr>
          <w:sz w:val="20"/>
          <w:szCs w:val="20"/>
          <w:color w:val="auto"/>
        </w:rPr>
      </w:pPr>
    </w:p>
    <w:p>
      <w:pPr>
        <w:jc w:val="both"/>
        <w:ind w:left="-1120" w:firstLine="1304"/>
        <w:spacing w:after="0" w:line="266" w:lineRule="auto"/>
        <w:tabs>
          <w:tab w:leader="none" w:pos="3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Restrictions</w:t>
      </w:r>
      <w:r>
        <w:rPr>
          <w:rFonts w:ascii="Times New Roman" w:cs="Times New Roman" w:eastAsia="Times New Roman" w:hAnsi="Times New Roman"/>
          <w:sz w:val="18"/>
          <w:szCs w:val="18"/>
          <w:color w:val="auto"/>
        </w:rPr>
        <w:t>. Employee recognizes and agrees that the restraints contained in Section 6 (both separately and in total), including the geographic scope thereof in light of Company’s marketing efforts, are reasonable and enforceable in view of Company’s legitimate interests in protecting its Confidential Information and customer goodwill and the limited scope of the restrictions in Section 6.</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2042"/>
        <w:spacing w:after="0" w:line="254" w:lineRule="auto"/>
        <w:tabs>
          <w:tab w:leader="none" w:pos="117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ideas, inventions, discoveries, patents, patent applications, continuation-in-part patent applications, divisional patent applications, technology, copyrights, derivative works, trademarks, service marks, improvements, trade secrets and the like (collectively, “Inventions”), which are developed, conceived, created, discovered, learned, produced and/or otherwise generated by Employee, whether individually or otherwise, during the time that Employee is employed by Company, whether or not during working hours, that relate to (i) current and anticipated businesses and/or activities of Company, (ii) the current and anticipated research or development of Company, or (iii) any work performed by Employee for Company, shall be the sole and exclusive property of Company, and Company shall own any and all right, title and interest to such Inventions. Employee assigns, and agrees to assign to Company whenever so requested by Company, any and all right, title and interest in and to any such Invention, at Company’s expense, and Employee agrees to execute any and all applications, assignments or other instruments which Company deems desirable or necessary to protect such interests, at Company’s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8" w:name="page39"/>
    <w:bookmarkEnd w:id="38"/>
    <w:p>
      <w:pPr>
        <w:jc w:val="both"/>
        <w:ind w:left="-1120" w:firstLine="2042"/>
        <w:spacing w:after="0" w:line="252" w:lineRule="auto"/>
        <w:tabs>
          <w:tab w:leader="none" w:pos="11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as part of his work for Company he may be asked to create, or contribute to the creation of, computer programs, documentation and other copyrightable works. Employee hereby agrees that any and all computer programs, documentation and other copyrightable materials that he has prepared or worked on for Company, or is asked to prepare or work on by Company, shall be treated as and shall be a “work made for hire,” for the exclusive ownership and benefit of Company according to the copyright laws of the United States, including, but not limited to, Sections 101 and 201 of Title 17 of the U.S. Code (“U.S.C.”) as well as according to similar foreign laws. Company shall have the exclusive right to register the copyrights in all such works in its name as the owner and author of such works and shall have the exclusive rights conveyed under 17 U.S.C. §§ 106 and 106A including, but not limited to, the right to make all uses of the works in which attribution or integrity rights may be implicated. Without in any way limiting the foregoing, to the extent the works are not treated as works made for hire under any applicable law, Employee hereby irrevocably assigns, transfers, and conveys to Company and its successors and assigns any and all worldwide right, title, and interest that Employee may now or in the future have in or to the works, including, but not limited to, all ownership, U.S. and foreign copyrights, all treaty, convention, statutory, and common law rights under the law of any U.S. or foreign jurisdiction, the right to sue for past, present, and future infringement, and moral, attribution, and integrity rights. Employee hereby expressly and forever irrevocably waives any and all rights that he may have arising under 17 U.S.C. §§ 106A, rights that may arise under any federal, state, or foreign law that conveys rights that are similar in nature to those conveyed under 17 U.S.C. §§ 106A, and any other type of moral right or droit moral.</w:t>
      </w:r>
    </w:p>
    <w:p>
      <w:pPr>
        <w:spacing w:after="0" w:line="197" w:lineRule="exact"/>
        <w:rPr>
          <w:sz w:val="20"/>
          <w:szCs w:val="20"/>
          <w:color w:val="auto"/>
        </w:rPr>
      </w:pPr>
    </w:p>
    <w:p>
      <w:pPr>
        <w:jc w:val="both"/>
        <w:ind w:left="-1120" w:right="20" w:firstLine="2042"/>
        <w:spacing w:after="0" w:line="261" w:lineRule="auto"/>
        <w:tabs>
          <w:tab w:leader="none" w:pos="10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Employee acknowledges that any and all notes, records, sketches, computer diskettes, training materials and other documents relating to Company obtained by or provided to Employee, or otherwise made, produced or compiled during the Employment Period, regardless of the type of medium in which they are preserved, are the sole and exclusive property of Company and shall be surrendered to Company upon Employee’s termination of employment and on demand at any time by Company.</w:t>
      </w:r>
    </w:p>
    <w:p>
      <w:pPr>
        <w:spacing w:after="0" w:line="179" w:lineRule="exact"/>
        <w:rPr>
          <w:rFonts w:ascii="Times New Roman" w:cs="Times New Roman" w:eastAsia="Times New Roman" w:hAnsi="Times New Roman"/>
          <w:sz w:val="18"/>
          <w:szCs w:val="18"/>
          <w:color w:val="auto"/>
        </w:rPr>
      </w:pPr>
    </w:p>
    <w:p>
      <w:pPr>
        <w:jc w:val="both"/>
        <w:ind w:left="-1120" w:firstLine="2042"/>
        <w:spacing w:after="0" w:line="254" w:lineRule="auto"/>
        <w:tabs>
          <w:tab w:leader="none" w:pos="119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Employee agrees that he will not in any way disparage Company or its affiliated entities, officers, or directors; and the officers and directors shall not in any way disparage Employee. Further, Employee agrees that he will neither make nor solicit any comments, statements, or the like to the media or to third parties that may be considered to be derogatory or detrimental to the good name or business reputation of Company or any of its affiliated entities, officers or directors; and the officers and directors will neither make nor solicit any comments, statements, or the like to the media or to third parties that may be considered to be derogatory or detrimental to the good name or business reputation of Employee. This Section 10 does not, in any way, restrict or impede the Employee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191" w:lineRule="exact"/>
        <w:rPr>
          <w:rFonts w:ascii="Times New Roman" w:cs="Times New Roman" w:eastAsia="Times New Roman" w:hAnsi="Times New Roman"/>
          <w:sz w:val="18"/>
          <w:szCs w:val="18"/>
          <w:color w:val="auto"/>
        </w:rPr>
      </w:pPr>
    </w:p>
    <w:p>
      <w:pPr>
        <w:jc w:val="both"/>
        <w:ind w:left="-1120" w:firstLine="2042"/>
        <w:spacing w:after="0" w:line="261" w:lineRule="auto"/>
        <w:tabs>
          <w:tab w:leader="none" w:pos="117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of Rights</w:t>
      </w:r>
      <w:r>
        <w:rPr>
          <w:rFonts w:ascii="Times New Roman" w:cs="Times New Roman" w:eastAsia="Times New Roman" w:hAnsi="Times New Roman"/>
          <w:sz w:val="18"/>
          <w:szCs w:val="18"/>
          <w:color w:val="auto"/>
        </w:rPr>
        <w:t>. Either party’s failure to enforce at any time any of the provisions of this Agreement or to require at any time performance by the other party of any of the provisions hereof shall in no way be construed to be a waiver of such provisions or to affect either the validity of this Agreement, or any part hereof, or the right of the non-breaching party thereafter to enforce each and every provision in accordance with the terms of this Agreement.</w:t>
      </w:r>
    </w:p>
    <w:p>
      <w:pPr>
        <w:spacing w:after="0" w:line="179" w:lineRule="exact"/>
        <w:rPr>
          <w:rFonts w:ascii="Times New Roman" w:cs="Times New Roman" w:eastAsia="Times New Roman" w:hAnsi="Times New Roman"/>
          <w:sz w:val="18"/>
          <w:szCs w:val="18"/>
          <w:color w:val="auto"/>
        </w:rPr>
      </w:pPr>
    </w:p>
    <w:p>
      <w:pPr>
        <w:jc w:val="both"/>
        <w:ind w:left="-1120" w:firstLine="2042"/>
        <w:spacing w:after="0" w:line="256" w:lineRule="auto"/>
        <w:tabs>
          <w:tab w:leader="none" w:pos="12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to Injunctive Relief</w:t>
      </w:r>
      <w:r>
        <w:rPr>
          <w:rFonts w:ascii="Times New Roman" w:cs="Times New Roman" w:eastAsia="Times New Roman" w:hAnsi="Times New Roman"/>
          <w:sz w:val="18"/>
          <w:szCs w:val="18"/>
          <w:color w:val="auto"/>
        </w:rPr>
        <w:t>. In the event of a breach or threatened breach of any of Employee’s duties and obligations under the terms and provisions of Sections 5, 6, or 8 hereof, Company shall be entitled, in addition to any other legal or equitable remedies it may have in connection therewith (including any right to damages that it may suffer), to seek temporary, preliminary and permanent injunctive relief restraining such breach or threatened breach, without the necessity of posting any bond. Employee hereby expressly acknowledges that the harm which might result to Company’s business as a result of any noncompliance by Employee with any of the provisions of Sections 5, 6 or 8 would be largely irreparable.</w:t>
      </w:r>
    </w:p>
    <w:p>
      <w:pPr>
        <w:spacing w:after="0" w:line="187" w:lineRule="exact"/>
        <w:rPr>
          <w:rFonts w:ascii="Times New Roman" w:cs="Times New Roman" w:eastAsia="Times New Roman" w:hAnsi="Times New Roman"/>
          <w:sz w:val="18"/>
          <w:szCs w:val="18"/>
          <w:color w:val="auto"/>
        </w:rPr>
      </w:pPr>
    </w:p>
    <w:p>
      <w:pPr>
        <w:jc w:val="both"/>
        <w:ind w:left="-1120" w:firstLine="2042"/>
        <w:spacing w:after="0" w:line="258" w:lineRule="auto"/>
        <w:tabs>
          <w:tab w:leader="none" w:pos="1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Judicial Enforcement</w:t>
      </w:r>
      <w:r>
        <w:rPr>
          <w:rFonts w:ascii="Times New Roman" w:cs="Times New Roman" w:eastAsia="Times New Roman" w:hAnsi="Times New Roman"/>
          <w:sz w:val="18"/>
          <w:szCs w:val="18"/>
          <w:color w:val="auto"/>
        </w:rPr>
        <w:t>. If any provision of this Agreement is adjudicated to be invalid or unenforceable under applicable law in any jurisdiction, the validity or enforceability of the remaining provisions thereof shall be unaffected as to such jurisdiction and such adjudication shall not affect the validity or enforceability of such provisions in any other jurisdiction. To the extent that any provision of this Agreement is adjudicated to be invalid or unenforceable because it is overbroad, that provision shall not be void but rather shall be limited only to the extent required by applicable law and enforced as so limited. The parties expressly acknowledge and agree that this Section is reasonable in view of the parties’ respective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351155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9" w:name="page40"/>
    <w:bookmarkEnd w:id="39"/>
    <w:p>
      <w:pPr>
        <w:jc w:val="both"/>
        <w:ind w:left="-1120" w:firstLine="2042"/>
        <w:spacing w:after="0" w:line="258" w:lineRule="auto"/>
        <w:tabs>
          <w:tab w:leader="none" w:pos="12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Representations</w:t>
      </w:r>
      <w:r>
        <w:rPr>
          <w:rFonts w:ascii="Times New Roman" w:cs="Times New Roman" w:eastAsia="Times New Roman" w:hAnsi="Times New Roman"/>
          <w:sz w:val="18"/>
          <w:szCs w:val="18"/>
          <w:color w:val="auto"/>
        </w:rPr>
        <w:t>. Employee represents that the execution and delivery of the Agreement and Employee’s employment with Company do not violate any previous employment agreement or other contractual obligation of Employee. Employee further represents and agrees that he will not, during his employment with Company, improperly use or disclose any proprietary information or trade secrets of former employers and will not bring on to the premises of Company any unpublished documents or any property belonging to his former employers unless consented to in writing by such employers.</w:t>
      </w:r>
    </w:p>
    <w:p>
      <w:pPr>
        <w:spacing w:after="0" w:line="183" w:lineRule="exact"/>
        <w:rPr>
          <w:rFonts w:ascii="Times New Roman" w:cs="Times New Roman" w:eastAsia="Times New Roman" w:hAnsi="Times New Roman"/>
          <w:sz w:val="18"/>
          <w:szCs w:val="18"/>
          <w:color w:val="auto"/>
        </w:rPr>
      </w:pPr>
    </w:p>
    <w:p>
      <w:pPr>
        <w:jc w:val="both"/>
        <w:ind w:left="-1120" w:firstLine="2042"/>
        <w:spacing w:after="0" w:line="266" w:lineRule="auto"/>
        <w:tabs>
          <w:tab w:leader="none" w:pos="1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modification, amendment or waiver of any of the provisions of this Agreement shall be effective unless in writing specifically referring hereto, and signed by the parties hereto. This Agreement supersedes all prior agreements and understandings between Employee and Company to the extent that any such agreements or understandings conflict with the terms of this Agreement.</w:t>
      </w:r>
    </w:p>
    <w:p>
      <w:pPr>
        <w:spacing w:after="0" w:line="175" w:lineRule="exact"/>
        <w:rPr>
          <w:rFonts w:ascii="Times New Roman" w:cs="Times New Roman" w:eastAsia="Times New Roman" w:hAnsi="Times New Roman"/>
          <w:sz w:val="18"/>
          <w:szCs w:val="18"/>
          <w:color w:val="auto"/>
        </w:rPr>
      </w:pPr>
    </w:p>
    <w:p>
      <w:pPr>
        <w:jc w:val="both"/>
        <w:ind w:left="-1120" w:firstLine="2042"/>
        <w:spacing w:after="0" w:line="266" w:lineRule="auto"/>
        <w:tabs>
          <w:tab w:leader="none" w:pos="11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This Agreement shall be freely assignable by Company to and shall inure to the benefit of, and be binding upon, Company, its affiliates, successors and assigns and/or any other entity which shall succeed to the business presently being conducted by Company. Being a contract for personal services, neither this Agreement nor any rights hereunder shall be assigned by Employee.</w:t>
      </w:r>
    </w:p>
    <w:p>
      <w:pPr>
        <w:spacing w:after="0" w:line="175" w:lineRule="exact"/>
        <w:rPr>
          <w:rFonts w:ascii="Times New Roman" w:cs="Times New Roman" w:eastAsia="Times New Roman" w:hAnsi="Times New Roman"/>
          <w:sz w:val="18"/>
          <w:szCs w:val="18"/>
          <w:color w:val="auto"/>
        </w:rPr>
      </w:pPr>
    </w:p>
    <w:p>
      <w:pPr>
        <w:jc w:val="both"/>
        <w:ind w:left="-1120" w:firstLine="2042"/>
        <w:spacing w:after="0" w:line="256" w:lineRule="auto"/>
        <w:tabs>
          <w:tab w:leader="none" w:pos="11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Forum and Governing Law</w:t>
      </w:r>
      <w:r>
        <w:rPr>
          <w:rFonts w:ascii="Times New Roman" w:cs="Times New Roman" w:eastAsia="Times New Roman" w:hAnsi="Times New Roman"/>
          <w:sz w:val="18"/>
          <w:szCs w:val="18"/>
          <w:color w:val="auto"/>
        </w:rPr>
        <w:t>. In light of Company’s substantial contacts with the State of Missouri, the parties’ interests in ensuring that disputes regarding the interpretation, validity and enforceability of this Agreement are resolved on a uniform basis, and Company’s execution of, and the making of, this Agreement in Missouri, the parties agree that: (i) any litigation involving any noncompliance with or breach of the Agreement, or regarding the interpretation, validity and/or enforceability of the Agreement, shall be filed and conducted in the state or federal courts in St. Louis City or County, Missouri; and (ii) the Agreement shall be interpreted in accordance with and governed by the laws of the State of Missouri, without regard for any conflict of law principles.</w:t>
      </w:r>
    </w:p>
    <w:p>
      <w:pPr>
        <w:spacing w:after="0" w:line="187" w:lineRule="exact"/>
        <w:rPr>
          <w:rFonts w:ascii="Times New Roman" w:cs="Times New Roman" w:eastAsia="Times New Roman" w:hAnsi="Times New Roman"/>
          <w:sz w:val="18"/>
          <w:szCs w:val="18"/>
          <w:color w:val="auto"/>
        </w:rPr>
      </w:pPr>
    </w:p>
    <w:p>
      <w:pPr>
        <w:ind w:left="-1120" w:firstLine="2042"/>
        <w:spacing w:after="0" w:line="282" w:lineRule="auto"/>
        <w:tabs>
          <w:tab w:leader="none" w:pos="1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provided for herein, any notices to be given by either party to the other shall be affected by personal delivery in writing or by mail, registered or certified, postage prepaid, with return receipt requested. Mailed notices shall be addressed as follows:</w:t>
      </w:r>
    </w:p>
    <w:p>
      <w:pPr>
        <w:spacing w:after="0" w:line="3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If to Company:</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Build-A-Bear Workshop, Inc.</w:t>
      </w:r>
    </w:p>
    <w:p>
      <w:pPr>
        <w:ind w:left="1320"/>
        <w:spacing w:after="0" w:line="181" w:lineRule="auto"/>
        <w:rPr>
          <w:sz w:val="20"/>
          <w:szCs w:val="20"/>
          <w:color w:val="auto"/>
        </w:rPr>
      </w:pPr>
      <w:r>
        <w:rPr>
          <w:rFonts w:ascii="Times New Roman" w:cs="Times New Roman" w:eastAsia="Times New Roman" w:hAnsi="Times New Roman"/>
          <w:sz w:val="16"/>
          <w:szCs w:val="16"/>
          <w:color w:val="auto"/>
        </w:rPr>
        <w:t>415 South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Suite 200</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St. Louis, MO 63103</w:t>
      </w:r>
    </w:p>
    <w:p>
      <w:pPr>
        <w:spacing w:after="0" w:line="2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Yevgeny Fundler</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Chief Legal Officer &amp; Secretary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Build-A-Bear Workshop, Inc.</w:t>
      </w:r>
    </w:p>
    <w:p>
      <w:pPr>
        <w:ind w:left="1320"/>
        <w:spacing w:after="0" w:line="181" w:lineRule="auto"/>
        <w:rPr>
          <w:sz w:val="20"/>
          <w:szCs w:val="20"/>
          <w:color w:val="auto"/>
        </w:rPr>
      </w:pPr>
      <w:r>
        <w:rPr>
          <w:rFonts w:ascii="Times New Roman" w:cs="Times New Roman" w:eastAsia="Times New Roman" w:hAnsi="Times New Roman"/>
          <w:sz w:val="16"/>
          <w:szCs w:val="16"/>
          <w:color w:val="auto"/>
        </w:rPr>
        <w:t>415 South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Suite 200</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St. Louis, MO 63103</w:t>
      </w: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 If to Employee:</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David Henderson, at the address shown on the records of Company.</w:t>
      </w:r>
    </w:p>
    <w:p>
      <w:pPr>
        <w:spacing w:after="0" w:line="225" w:lineRule="exact"/>
        <w:rPr>
          <w:sz w:val="20"/>
          <w:szCs w:val="20"/>
          <w:color w:val="auto"/>
        </w:rPr>
      </w:pPr>
    </w:p>
    <w:p>
      <w:pPr>
        <w:jc w:val="both"/>
        <w:ind w:left="-1120" w:firstLine="1304"/>
        <w:spacing w:after="0" w:line="254" w:lineRule="auto"/>
        <w:tabs>
          <w:tab w:leader="none" w:pos="4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controversy or claim arising out of, or relating to this Agreement, the breach thereof, or Employee’s employment by Company, shall, at Company’s sole option, be settled by binding arbitration in the County of St. Louis in accordance with the employment rules then in force of the American Arbitration Association, and judgment upon the award rendered may be entered and enforced in any court having jurisdiction thereof. The controversies or claims subject to arbitration at Company’s option under this Agreement include, without limitation, those arising under Title VII of the Civil Rights Act of 1964, 42 U.S.C. Section 1981, the Age Discrimination in Employment Act, the Americans with Disabilities Act, the Family and Medical Leave Act, the Worker Adjustment and Retraining Notification Act, the Missouri Human Rights Act, local laws governing employment, and the statutory and/or common law of contract and tort. In the event Employee commences any action in court which Company has the right to submit to binding arbitration, Company shall have sixty (60) days from the date of service of a summons and complaint upon Company to direct in writing that all or any part of the dispute be arbitrated. Any remedy available in any court action shall also be available in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40" w:name="page41"/>
    <w:bookmarkEnd w:id="40"/>
    <w:p>
      <w:pPr>
        <w:jc w:val="both"/>
        <w:ind w:firstLine="1304"/>
        <w:spacing w:after="0" w:line="270" w:lineRule="auto"/>
        <w:tabs>
          <w:tab w:leader="none" w:pos="1579"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Excise Taxes</w:t>
      </w:r>
      <w:r>
        <w:rPr>
          <w:rFonts w:ascii="Times New Roman" w:cs="Times New Roman" w:eastAsia="Times New Roman" w:hAnsi="Times New Roman"/>
          <w:sz w:val="17"/>
          <w:szCs w:val="17"/>
          <w:color w:val="auto"/>
        </w:rPr>
        <w:t>. Anything in this Agreement to the contrary notwithstanding and except as set forth below, in the event it shall be determined that any payment, benefit, vesting or distribution to or for the benefit of Employee (whether paid or payable or distributed or distributable pursuant to the terms of this Agreement or otherwise) (a “Payment”) would but for this Section 20 be subject to the excise tax imposed by Section 4999 of the Internal Revenue Code of 1986, as amended (the “Code”), or any comparable successor provisions (the “Excise Tax”), then the Payments shall be either</w:t>
      </w:r>
    </w:p>
    <w:p>
      <w:pPr>
        <w:spacing w:after="0" w:line="2" w:lineRule="exact"/>
        <w:rPr>
          <w:rFonts w:ascii="Times New Roman" w:cs="Times New Roman" w:eastAsia="Times New Roman" w:hAnsi="Times New Roman"/>
          <w:sz w:val="17"/>
          <w:szCs w:val="17"/>
          <w:color w:val="auto"/>
        </w:rPr>
      </w:pPr>
    </w:p>
    <w:p>
      <w:pPr>
        <w:jc w:val="both"/>
        <w:ind w:firstLine="8"/>
        <w:spacing w:after="0" w:line="251" w:lineRule="auto"/>
        <w:tabs>
          <w:tab w:leader="none" w:pos="22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to Employee in full, or (ii) provided to Employee as to such lesser extent which would result in no portion of such Payments being subject to the Excise Tax, whichever of the foregoing amounts, when taking into account applicable income and employment taxes, the Excise Tax, and any other applicable taxes, results in the receipt by Employee on an after-tax basis, of the greatest amount of Payments, notwithstanding that all or some portion of such Payments may be subject to the Excise Tax. Any determination required under this Section 20 shall be made in writing in good faith by the Company's independent certified public accountants, appointed prior to any change in ownership (as defined under Code Section 280G(b)(2), and/or tax counsel selected by such accountants (the “Accounting Firm”) in accordance with the principles of Section 280G of the Code. In the event of a reduction of Payments hereunder, the Payments shall be reduced as follows: (i) first from cash payments which are included in full as parachute payments, (ii) second from equity awards which are included in full as parachute payments, (iii) third from cash payments which are partially included as parachute payments, and (iv) fourth from equity awards that are partially included as parachute payments. In applying these principles, any reduction or elimination of the Payments shall be made in a manner consistent with the requirements of Code Section 409A and where two economically equivalent amounts are subject to reduction but payable at different times, such amounts shall be reduced on a pro rata basis but not below zero. For purposes of making the calculations required by this Section 20, the Accounting Firm may make reasonable assumptions and approximations concerning applicable taxes and may rely on reasonable, good faith interpretations concerning the application of the Code, and other applicable legal authority. The Company and Employee shall furnish to the Accounting Firm such information and documents as the Accounting Firm may reasonably request in order to make a determination under this Section 20. All fees and expenses of the Accounting Firm shall be borne solely by the Company.</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notwithstanding any reduction described in this Section 20, the Internal Revenue Service (the “IRS”) determines that Employee is liable for the Excise Tax as a result of the receipt of the Payments as described above, then Employee shall be obligated to pay back to the Company, within thirty (30) days after a final IRS determination or in the event that Employee challenges the final IRS determination, a final judicial determination, a portion of the Payments equal to the “Repayment Amount.” The Repayment Amount with respect to the Payments shall be the smallest such amount, if any, as shall be required to be paid to the Company so that Employee's net after-tax proceeds with respect to the Payments (after taking into account the payment of the Excise Tax and all other applicable taxes imposed on such payment) shall be maximized. The Repayment Amount with respect to the Payments shall be zero if a Repayment Amount of more than zero would not result in Employee’s net after-tax proceeds with respect to the Payments being maximized. If the Excise Tax is not eliminated pursuant to this paragraph, Employee shall pay the Excise Tax.</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Section 20, if (i) there is a reduction in the Payments as described in this Section 20, (ii) the IRS later determines that Employee is liable for the Excise Tax, the payment of which would result in the maximization of Employee’s net after-tax proceeds (calculated as if Employee’s Payments had not previously been reduced), and (iii) Employee pays the Excise Tax, then the Company shall pay to Employee those Payments which were reduced pursuant to this subsection as soon as administratively possible after Employee pays the Excise Tax so that Employee’s net after-tax proceeds with respect to the Payments are maximized.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Employee acknowledges she is solely responsible for the payment of any Excise Tax and that the Company will not reimburse or otherwise indemnify her for such amount. Any reimbursements or repayments provided under this subsection shall be made strictly in accordance with Section 409A of the Code, including Treasury Regulation 1.409A-3(i)(1)(v).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if any payments or benefits due to Employee hereunder would cause the application of an accelerated or additional tax under Section 409A of the Code (“Section 409A”), such payments or benefits shall be restructured in a manner which does not cause such an accelerated or additional tax.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six-month period immediately following Employee’s separation from service shall instead be paid on the first (1st) business day after the date that is six (6) months following Employee’s date of termination (or death, if earlier). In the event that Employee receives reduced payments and benefits as a result of the application of this paragraph, reduction shall be made from payments and benefits which are determined not to be nonqualified deferred compensation for purposes of Section 409A of the Code first, and then shall be made (to the extent necessary) out of payments and benefits which are subject to Section 409A of the Code and which are due at the latest future date, to the extent such reduction would not trigger adverse tax consequences under Section 409A of the Code.</w:t>
      </w:r>
    </w:p>
    <w:p>
      <w:pPr>
        <w:spacing w:after="0" w:line="194" w:lineRule="exact"/>
        <w:rPr>
          <w:sz w:val="20"/>
          <w:szCs w:val="20"/>
          <w:color w:val="auto"/>
        </w:rPr>
      </w:pPr>
    </w:p>
    <w:p>
      <w:pPr>
        <w:ind w:firstLine="1304"/>
        <w:spacing w:after="0" w:line="282" w:lineRule="auto"/>
        <w:tabs>
          <w:tab w:leader="none" w:pos="15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are provided in this Agreement for convenience only and shall not be deemed to substantively alter the content of such sections.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PLEASE NOTE</w:t>
      </w:r>
      <w:r>
        <w:rPr>
          <w:rFonts w:ascii="Times New Roman" w:cs="Times New Roman" w:eastAsia="Times New Roman" w:hAnsi="Times New Roman"/>
          <w:sz w:val="18"/>
          <w:szCs w:val="18"/>
          <w:b w:val="1"/>
          <w:bCs w:val="1"/>
          <w:color w:val="auto"/>
        </w:rPr>
        <w:t>: BY SIGNING THIS AGREEMENT, EMPLOYEE IS HEREBY CERTIFYING THAT EMPLOYEE (A) HAS RECEIVED A COPY OF THIS AGREEMENT FOR REVIEW AND STUDY BEFORE EXECUTING IT; (B) HAS READ THIS AGREEMENT CAREFULLY BEFORE SIGNING IT; (C) HAS HAD SUFFICIENT OPPORTUNITY BEFORE SIGNING THE AGREEMENT TO ASK ANY QUESTIONS EMPLOYEE HAS ABOUT THE AGREEMENT AND HAS RECEIVED SATISFACTORY ANSWERS TO ALL SUCH QUESTIONS; AND (D) UNDERSTANDS 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RIGHTS AND OBLIGATIONS UNDER THE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June 11, 2026.</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THIS AGREEMENT CONTAINS A BINDING ARBITRATION PROVISION WHICH MAY BE ENFORCED BY COMPANY.</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Henderson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Henderson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BUILD-A-BEAR WORKSHOP,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Yevgeny Fundler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Yevgeny Fundler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Legal Officer and Secretary</w:t>
      </w:r>
    </w:p>
    <w:p>
      <w:pPr>
        <w:sectPr>
          <w:pgSz w:w="11900" w:h="16838" w:orient="portrait"/>
          <w:cols w:equalWidth="0" w:num="1">
            <w:col w:w="11240"/>
          </w:cols>
          <w:pgMar w:left="320" w:top="58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May 2, 2026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May 2, 2026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lvl w:ilvl="1">
      <w:lvlJc w:val="left"/>
      <w:lvlText w:val="(%2)"/>
      <w:numFmt w:val="decimal"/>
      <w:start w:val="1"/>
    </w:lvl>
  </w:abstractNum>
  <w:abstractNum w:abstractNumId="5">
    <w:nsid w:val="189A769B"/>
    <w:multiLevelType w:val="hybridMultilevel"/>
    <w:lvl w:ilvl="0">
      <w:lvlJc w:val="left"/>
      <w:lvlText w:val="%1."/>
      <w:numFmt w:val="decimal"/>
      <w:start w:val="5"/>
    </w:lvl>
    <w:lvl w:ilvl="1">
      <w:lvlJc w:val="left"/>
      <w:lvlText w:val="%2"/>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lvl w:ilvl="1">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lvl w:ilvl="1">
      <w:lvlJc w:val="left"/>
      <w:lvlText w:val="(%2)"/>
      <w:numFmt w:val="lowerLetter"/>
      <w:start w:val="1"/>
    </w:lvl>
  </w:abstractNum>
  <w:abstractNum w:abstractNumId="20">
    <w:nsid w:val="614FD4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1">
    <w:nsid w:val="419AC241"/>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22">
    <w:nsid w:val="5577F8E1"/>
    <w:multiLevelType w:val="hybridMultilevel"/>
    <w:lvl w:ilvl="0">
      <w:lvlJc w:val="left"/>
      <w:lvlText w:val="(%1)"/>
      <w:numFmt w:val="lowerLetter"/>
      <w:start w:val="3"/>
    </w:lvl>
  </w:abstractNum>
  <w:abstractNum w:abstractNumId="23">
    <w:nsid w:val="440BADFC"/>
    <w:multiLevelType w:val="hybridMultilevel"/>
    <w:lvl w:ilvl="0">
      <w:lvlJc w:val="left"/>
      <w:lvlText w:val="%1."/>
      <w:numFmt w:val="decimal"/>
      <w:start w:val="4"/>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decimal"/>
      <w:start w:val="1"/>
    </w:lvl>
    <w:lvl w:ilvl="1">
      <w:lvlJc w:val="left"/>
      <w:lvlText w:val="(%2)"/>
      <w:numFmt w:val="lowerLetter"/>
      <w:start w:val="3"/>
    </w:lvl>
  </w:abstractNum>
  <w:abstractNum w:abstractNumId="26">
    <w:nsid w:val="77465F01"/>
    <w:multiLevelType w:val="hybridMultilevel"/>
    <w:lvl w:ilvl="0">
      <w:lvlJc w:val="left"/>
      <w:lvlText w:val="(%1)"/>
      <w:numFmt w:val="decimal"/>
      <w:start w:val="30"/>
    </w:lvl>
    <w:lvl w:ilvl="1">
      <w:lvlJc w:val="left"/>
      <w:lvlText w:val="(%2)"/>
      <w:numFmt w:val="lowerLetter"/>
      <w:start w:val="4"/>
    </w:lvl>
  </w:abstractNum>
  <w:abstractNum w:abstractNumId="27">
    <w:nsid w:val="7724C67E"/>
    <w:multiLevelType w:val="hybridMultilevel"/>
    <w:lvl w:ilvl="0">
      <w:lvlJc w:val="left"/>
      <w:lvlText w:val="%1"/>
      <w:numFmt w:val="upperLetter"/>
      <w:start w:val="1"/>
    </w:lvl>
    <w:lvl w:ilvl="1">
      <w:lvlJc w:val="left"/>
      <w:lvlText w:val="(%2)"/>
      <w:numFmt w:val="lowerLetter"/>
      <w:start w:val="1"/>
    </w:lvl>
  </w:abstractNum>
  <w:abstractNum w:abstractNumId="28">
    <w:nsid w:val="5C482A97"/>
    <w:multiLevelType w:val="hybridMultilevel"/>
    <w:lvl w:ilvl="0">
      <w:lvlJc w:val="left"/>
      <w:lvlText w:val="(%1)"/>
      <w:numFmt w:val="upperLetter"/>
      <w:start w:val="1"/>
    </w:lvl>
    <w:lvl w:ilvl="1">
      <w:lvlJc w:val="left"/>
      <w:lvlText w:val="%2"/>
      <w:numFmt w:val="lowerLetter"/>
      <w:start w:val="1"/>
    </w:lvl>
  </w:abstractNum>
  <w:abstractNum w:abstractNumId="29">
    <w:nsid w:val="2463B9EA"/>
    <w:multiLevelType w:val="hybridMultilevel"/>
    <w:lvl w:ilvl="0">
      <w:lvlJc w:val="left"/>
      <w:lvlText w:val="(%1)"/>
      <w:numFmt w:val="lowerLetter"/>
      <w:start w:val="3"/>
    </w:lvl>
    <w:lvl w:ilvl="1">
      <w:lvlJc w:val="left"/>
      <w:lvlText w:val="%2."/>
      <w:numFmt w:val="decimal"/>
      <w:start w:val="5"/>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2"/>
    </w:lvl>
    <w:lvl w:ilvl="1">
      <w:lvlJc w:val="left"/>
      <w:lvlText w:val="(%2)"/>
      <w:numFmt w:val="decimal"/>
      <w:start w:val="1"/>
    </w:lvl>
  </w:abstractNum>
  <w:abstractNum w:abstractNumId="32">
    <w:nsid w:val="2D517796"/>
    <w:multiLevelType w:val="hybridMultilevel"/>
    <w:lvl w:ilvl="0">
      <w:lvlJc w:val="left"/>
      <w:lvlText w:val="(%1)"/>
      <w:numFmt w:val="lowerLetter"/>
      <w:start w:val="3"/>
    </w:lvl>
  </w:abstractNum>
  <w:abstractNum w:abstractNumId="33">
    <w:nsid w:val="580BD78F"/>
    <w:multiLevelType w:val="hybridMultilevel"/>
    <w:lvl w:ilvl="0">
      <w:lvlJc w:val="left"/>
      <w:lvlText w:val="%1."/>
      <w:numFmt w:val="decimal"/>
      <w:start w:val="6"/>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decimal"/>
      <w:start w:val="7"/>
    </w:lvl>
    <w:lvl w:ilvl="1">
      <w:lvlJc w:val="left"/>
      <w:lvlText w:val="%2."/>
      <w:numFmt w:val="decimal"/>
      <w:start w:val="8"/>
    </w:lvl>
    <w:lvl w:ilvl="2">
      <w:lvlJc w:val="left"/>
      <w:lvlText w:val="(%3)"/>
      <w:numFmt w:val="lowerLetter"/>
      <w:start w:val="1"/>
    </w:lvl>
  </w:abstractNum>
  <w:abstractNum w:abstractNumId="36">
    <w:nsid w:val="70A64E2A"/>
    <w:multiLevelType w:val="hybridMultilevel"/>
    <w:lvl w:ilvl="0">
      <w:lvlJc w:val="left"/>
      <w:lvlText w:val="(%1)"/>
      <w:numFmt w:val="lowerLetter"/>
      <w:start w:val="2"/>
    </w:lvl>
  </w:abstractNum>
  <w:abstractNum w:abstractNumId="37">
    <w:nsid w:val="6A2342EC"/>
    <w:multiLevelType w:val="hybridMultilevel"/>
    <w:lvl w:ilvl="0">
      <w:lvlJc w:val="left"/>
      <w:lvlText w:val="%1."/>
      <w:numFmt w:val="decimal"/>
      <w:start w:val="9"/>
    </w:lvl>
  </w:abstractNum>
  <w:abstractNum w:abstractNumId="38">
    <w:nsid w:val="2A487CB0"/>
    <w:multiLevelType w:val="hybridMultilevel"/>
    <w:lvl w:ilvl="0">
      <w:lvlJc w:val="left"/>
      <w:lvlText w:val="%1."/>
      <w:numFmt w:val="decimal"/>
      <w:start w:val="14"/>
    </w:lvl>
  </w:abstractNum>
  <w:abstractNum w:abstractNumId="39">
    <w:nsid w:val="1D4ED43B"/>
    <w:multiLevelType w:val="hybridMultilevel"/>
    <w:lvl w:ilvl="0">
      <w:lvlJc w:val="left"/>
      <w:lvlText w:val="%1."/>
      <w:numFmt w:val="decimal"/>
      <w:start w:val="19"/>
    </w:lvl>
  </w:abstractNum>
  <w:abstractNum w:abstractNumId="40">
    <w:nsid w:val="725A06FB"/>
    <w:multiLevelType w:val="hybridMultilevel"/>
    <w:lvl w:ilvl="0">
      <w:lvlJc w:val="left"/>
      <w:lvlText w:val="%1"/>
      <w:numFmt w:val="lowerRoman"/>
      <w:start w:val="1"/>
    </w:lvl>
    <w:lvl w:ilvl="1">
      <w:lvlJc w:val="left"/>
      <w:lvlText w:val="%2."/>
      <w:numFmt w:val="decimal"/>
      <w:start w:val="20"/>
    </w:lvl>
  </w:abstractNum>
  <w:abstractNum w:abstractNumId="41">
    <w:nsid w:val="2CD89A32"/>
    <w:multiLevelType w:val="hybridMultilevel"/>
    <w:lvl w:ilvl="0">
      <w:lvlJc w:val="left"/>
      <w:lvlText w:val="(%1)"/>
      <w:numFmt w:val="lowerRoman"/>
      <w:start w:val="1"/>
    </w:lvl>
    <w:lvl w:ilvl="1">
      <w:lvlJc w:val="left"/>
      <w:lvlText w:val="%2"/>
      <w:numFmt w:val="decimal"/>
      <w:start w:val="1"/>
    </w:lvl>
  </w:abstractNum>
  <w:abstractNum w:abstractNumId="42">
    <w:nsid w:val="57E4CCAF"/>
    <w:multiLevelType w:val="hybridMultilevel"/>
    <w:lvl w:ilvl="0">
      <w:lvlJc w:val="left"/>
      <w:lvlText w:val="%1."/>
      <w:numFmt w:val="decimal"/>
      <w:start w:val="2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39" Type="http://schemas.openxmlformats.org/officeDocument/2006/relationships/hyperlink" Target="http://www.sec.gov/Archives/edgar/data/1113809/000095013704006634/c86750exv2w1.txt" TargetMode="External"/><Relationship Id="rId40" Type="http://schemas.openxmlformats.org/officeDocument/2006/relationships/hyperlink" Target="http://www.sec.gov/Archives/edgar/data/1113809/000095013804000748/exh3-1.htm" TargetMode="External"/><Relationship Id="rId41" Type="http://schemas.openxmlformats.org/officeDocument/2006/relationships/hyperlink" Target="http://www.sec.gov/Archives/edgar/data/1113809/000115752318000029/a51738867_ex31.htm#Exhibit31" TargetMode="External"/><Relationship Id="rId42" Type="http://schemas.openxmlformats.org/officeDocument/2006/relationships/hyperlink" Target="http://www.sec.gov/Archives/edgar/data/1113809/000095013704008227/c86750a3exv4w1.txt" TargetMode="External"/><Relationship Id="rId43" Type="http://schemas.openxmlformats.org/officeDocument/2006/relationships/hyperlink" Target="http://www.sec.gov/Archives/edgar/data/1113809/000143774926007825/ex_9313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2026-06-11T08:19:50Z</dcterms:created>
  <dcterms:modified xsi:type="dcterms:W3CDTF">2026-06-11T08:19:50Z</dcterms:modified>
</cp:coreProperties>
</file>