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245745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85725</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30,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-19050</wp:posOffset>
            </wp:positionV>
            <wp:extent cx="866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223520</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74295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68580</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10" w:right="239" w:bottom="1440" w:gutter="0" w:footer="0" w:header="0"/>
        </w:sectPr>
      </w:pPr>
    </w:p>
    <w:p>
      <w:pPr>
        <w:spacing w:after="0" w:line="9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6100" w:space="720"/>
            <w:col w:w="4600"/>
          </w:cols>
          <w:pgMar w:left="240" w:top="310" w:right="239" w:bottom="1440" w:gutter="0" w:footer="0" w:header="0"/>
          <w:type w:val="continuous"/>
        </w:sectPr>
      </w:pPr>
    </w:p>
    <w:p>
      <w:pPr>
        <w:spacing w:after="0" w:line="16"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100" w:space="720"/>
            <w:col w:w="4600"/>
          </w:cols>
          <w:pgMar w:left="240" w:top="310" w:right="239" w:bottom="1440" w:gutter="0" w:footer="0" w:header="0"/>
          <w:type w:val="continuous"/>
        </w:sect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2013, there were 17,080,701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78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Part I Financial Information</w:t>
            </w:r>
          </w:p>
        </w:tc>
        <w:tc>
          <w:tcPr>
            <w:tcW w:w="66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Financial Statements (Unaudited)</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Condensed Consolidated Balance Sheets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Condensed Consolidated Statements of Operations and Comprehensive (Loss) Income</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Condensed Consolidated Statements of Cash Flows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Notes to Condensed Consolidated Financial Statements</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Controls and Procedures</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Part II Other Information</w:t>
            </w:r>
          </w:p>
        </w:tc>
        <w:tc>
          <w:tcPr>
            <w:tcW w:w="66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Risk Factors</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Item 6.</w:t>
            </w:r>
          </w:p>
        </w:tc>
        <w:tc>
          <w:tcPr>
            <w:tcW w:w="97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Exhibits</w:t>
            </w: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0FFFF"/>
          </w:tcPr>
          <w:p>
            <w:pPr>
              <w:spacing w:after="0"/>
              <w:rPr>
                <w:sz w:val="20"/>
                <w:szCs w:val="20"/>
                <w:color w:val="auto"/>
              </w:rPr>
            </w:pPr>
            <w:r>
              <w:rPr>
                <w:rFonts w:ascii="Arial" w:cs="Arial" w:eastAsia="Arial" w:hAnsi="Arial"/>
                <w:sz w:val="18"/>
                <w:szCs w:val="18"/>
                <w:color w:val="auto"/>
              </w:rPr>
              <w:t>Signatures</w:t>
            </w:r>
          </w:p>
        </w:tc>
        <w:tc>
          <w:tcPr>
            <w:tcW w:w="9780" w:type="dxa"/>
            <w:vAlign w:val="bottom"/>
            <w:shd w:val="clear" w:color="auto" w:fill="C0FFFF"/>
          </w:tcPr>
          <w:p>
            <w:pPr>
              <w:spacing w:after="0"/>
              <w:rPr>
                <w:sz w:val="18"/>
                <w:szCs w:val="18"/>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780" w:type="dxa"/>
            <w:vAlign w:val="bottom"/>
          </w:tcPr>
          <w:p>
            <w:pPr>
              <w:ind w:left="46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7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29,</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5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40,826</w:t>
            </w: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45,171</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37,824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46,904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5,804</w:t>
            </w: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9,428</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14,216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Borders>
              <w:left w:val="single" w:sz="8" w:color="C0FFFF"/>
            </w:tcBorders>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116,706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w w:val="99"/>
              </w:rPr>
              <w:t>Property and equipment, net of accumulated depreciation of $186,500; $189,134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$179,357, respectively</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68,048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71,459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Borders>
              <w:left w:val="single" w:sz="8" w:color="C0FFFF"/>
            </w:tcBorders>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192,102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215,512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0FFFF"/>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0FFFF"/>
          </w:tcPr>
          <w:p>
            <w:pPr>
              <w:spacing w:after="0"/>
              <w:rPr>
                <w:sz w:val="18"/>
                <w:szCs w:val="18"/>
                <w:color w:val="auto"/>
              </w:rPr>
            </w:pP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25,918</w:t>
            </w: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38,984</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11,570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27,439</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30,849</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0FFFF"/>
          </w:tcPr>
          <w:p>
            <w:pPr>
              <w:spacing w:after="0"/>
              <w:rPr>
                <w:sz w:val="19"/>
                <w:szCs w:val="19"/>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67,072</w:t>
            </w:r>
          </w:p>
        </w:tc>
        <w:tc>
          <w:tcPr>
            <w:tcW w:w="140" w:type="dxa"/>
            <w:vAlign w:val="bottom"/>
            <w:tcBorders>
              <w:left w:val="single" w:sz="8" w:color="C0FFFF"/>
            </w:tcBorders>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86,203</w:t>
            </w:r>
          </w:p>
        </w:tc>
        <w:tc>
          <w:tcPr>
            <w:tcW w:w="160" w:type="dxa"/>
            <w:vAlign w:val="bottom"/>
            <w:shd w:val="clear" w:color="auto" w:fill="C0FFFF"/>
          </w:tcPr>
          <w:p>
            <w:pPr>
              <w:spacing w:after="0"/>
              <w:rPr>
                <w:sz w:val="19"/>
                <w:szCs w:val="19"/>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Arial" w:cs="Arial" w:eastAsia="Arial" w:hAnsi="Arial"/>
                <w:sz w:val="18"/>
                <w:szCs w:val="18"/>
                <w:color w:val="auto"/>
              </w:rPr>
              <w:t>Deferred franchise revenue</w:t>
            </w:r>
          </w:p>
        </w:tc>
        <w:tc>
          <w:tcPr>
            <w:tcW w:w="16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19,068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20,843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0FF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60"/>
              <w:spacing w:after="0" w:line="201" w:lineRule="exact"/>
              <w:rPr>
                <w:sz w:val="20"/>
                <w:szCs w:val="20"/>
                <w:color w:val="auto"/>
              </w:rPr>
            </w:pPr>
            <w:r>
              <w:rPr>
                <w:rFonts w:ascii="Arial" w:cs="Arial" w:eastAsia="Arial" w:hAnsi="Arial"/>
                <w:sz w:val="18"/>
                <w:szCs w:val="18"/>
                <w:color w:val="auto"/>
                <w:w w:val="96"/>
              </w:rPr>
              <w:t>Preferred stock, par value $0.01, Shares authorized: 15,000,000; No shares issued or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outstanding at March 30, 2013, December 29, 2012 and March 31, 2012</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92"/>
              </w:rPr>
              <w:t>Common stock, par value $0.01, Shares authorized: 50,000,000; Issued and outstanding:</w:t>
            </w:r>
          </w:p>
        </w:tc>
        <w:tc>
          <w:tcPr>
            <w:tcW w:w="16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140" w:type="dxa"/>
            <w:vAlign w:val="bottom"/>
            <w:tcBorders>
              <w:left w:val="single" w:sz="8" w:color="C0FFFF"/>
            </w:tcBorders>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24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17,085,121; 17,068,182 and 17,394,761 shares, respectively</w:t>
            </w:r>
          </w:p>
        </w:tc>
        <w:tc>
          <w:tcPr>
            <w:tcW w:w="160" w:type="dxa"/>
            <w:vAlign w:val="bottom"/>
            <w:shd w:val="clear" w:color="auto" w:fill="C0FFFF"/>
          </w:tcPr>
          <w:p>
            <w:pPr>
              <w:spacing w:after="0"/>
              <w:rPr>
                <w:sz w:val="20"/>
                <w:szCs w:val="20"/>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66,112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(9,016)</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(7,683)</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24,537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82,023</w:t>
            </w:r>
          </w:p>
        </w:tc>
        <w:tc>
          <w:tcPr>
            <w:tcW w:w="140" w:type="dxa"/>
            <w:vAlign w:val="bottom"/>
            <w:tcBorders>
              <w:left w:val="single" w:sz="8" w:color="C0FFFF"/>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83,137</w:t>
            </w:r>
          </w:p>
        </w:tc>
        <w:tc>
          <w:tcPr>
            <w:tcW w:w="16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130,470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Borders>
              <w:left w:val="single" w:sz="8" w:color="C0FFFF"/>
            </w:tcBorders>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192,102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215,512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30, 2013</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102,931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Commercial revenue</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revenues</w:t>
            </w:r>
          </w:p>
        </w:tc>
        <w:tc>
          <w:tcPr>
            <w:tcW w:w="208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104,265</w:t>
            </w:r>
          </w:p>
        </w:tc>
        <w:tc>
          <w:tcPr>
            <w:tcW w:w="8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96,373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Borders>
              <w:top w:val="single" w:sz="8" w:color="C0FFFF"/>
            </w:tcBorders>
          </w:tcPr>
          <w:p>
            <w:pPr>
              <w:spacing w:after="0"/>
              <w:rPr>
                <w:sz w:val="18"/>
                <w:szCs w:val="18"/>
                <w:color w:val="auto"/>
              </w:rPr>
            </w:pPr>
          </w:p>
        </w:tc>
        <w:tc>
          <w:tcPr>
            <w:tcW w:w="20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60,471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43,735</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costs and expenses</w:t>
            </w:r>
          </w:p>
        </w:tc>
        <w:tc>
          <w:tcPr>
            <w:tcW w:w="208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104,155</w:t>
            </w:r>
          </w:p>
        </w:tc>
        <w:tc>
          <w:tcPr>
            <w:tcW w:w="8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top w:val="single" w:sz="8" w:color="C0FFFF"/>
            </w:tcBorders>
          </w:tcPr>
          <w:p>
            <w:pPr>
              <w:spacing w:after="0"/>
              <w:rPr>
                <w:sz w:val="18"/>
                <w:szCs w:val="18"/>
                <w:color w:val="auto"/>
              </w:rPr>
            </w:pPr>
          </w:p>
        </w:tc>
        <w:tc>
          <w:tcPr>
            <w:tcW w:w="20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Income (loss) before income taxes</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Net income (loss)</w:t>
            </w:r>
          </w:p>
        </w:tc>
        <w:tc>
          <w:tcPr>
            <w:tcW w:w="2080" w:type="dxa"/>
            <w:vAlign w:val="bottom"/>
            <w:shd w:val="clear" w:color="auto" w:fill="C0FFFF"/>
          </w:tcPr>
          <w:p>
            <w:pPr>
              <w:spacing w:after="0"/>
              <w:rPr>
                <w:sz w:val="22"/>
                <w:szCs w:val="22"/>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0FFFF"/>
            </w:tcBorders>
          </w:tcPr>
          <w:p>
            <w:pPr>
              <w:spacing w:after="0"/>
              <w:rPr>
                <w:sz w:val="18"/>
                <w:szCs w:val="18"/>
                <w:color w:val="auto"/>
              </w:rPr>
            </w:pPr>
          </w:p>
        </w:tc>
        <w:tc>
          <w:tcPr>
            <w:tcW w:w="20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0FFFF"/>
          </w:tcPr>
          <w:p>
            <w:pPr>
              <w:spacing w:after="0"/>
              <w:rPr>
                <w:sz w:val="2"/>
                <w:szCs w:val="2"/>
                <w:color w:val="auto"/>
              </w:rPr>
            </w:pPr>
          </w:p>
        </w:tc>
        <w:tc>
          <w:tcPr>
            <w:tcW w:w="20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Comprehensive (loss) income</w:t>
            </w:r>
          </w:p>
        </w:tc>
        <w:tc>
          <w:tcPr>
            <w:tcW w:w="2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(1,320)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0FFFF"/>
          </w:tcPr>
          <w:p>
            <w:pPr>
              <w:spacing w:after="0"/>
              <w:rPr>
                <w:sz w:val="18"/>
                <w:szCs w:val="18"/>
                <w:color w:val="auto"/>
              </w:rPr>
            </w:pP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0FFFF"/>
          </w:tcPr>
          <w:p>
            <w:pPr>
              <w:spacing w:after="0"/>
              <w:rPr>
                <w:sz w:val="20"/>
                <w:szCs w:val="20"/>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0FFFF"/>
            </w:tcBorders>
            <w:shd w:val="clear" w:color="auto" w:fill="C0FFFF"/>
          </w:tcPr>
          <w:p>
            <w:pPr>
              <w:spacing w:after="0" w:line="20" w:lineRule="exact"/>
              <w:rPr>
                <w:sz w:val="1"/>
                <w:szCs w:val="1"/>
                <w:color w:val="auto"/>
              </w:rPr>
            </w:pPr>
          </w:p>
        </w:tc>
        <w:tc>
          <w:tcPr>
            <w:tcW w:w="20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0FFFF"/>
          </w:tcPr>
          <w:p>
            <w:pPr>
              <w:spacing w:after="0"/>
              <w:rPr>
                <w:sz w:val="18"/>
                <w:szCs w:val="18"/>
                <w:color w:val="auto"/>
              </w:rPr>
            </w:pP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16,231,291</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16,038,880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16,231,291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16,038,880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30, 2013</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income (loss) to net cash from operating activities:</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Loss from investment in affiliate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Store asset impairment</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Trade credit utilization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64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3,804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(14,834)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Lease related liabilities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640"/>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0FFFF"/>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0FFFF"/>
          </w:tcPr>
          <w:p>
            <w:pPr>
              <w:spacing w:after="0"/>
              <w:rPr>
                <w:sz w:val="19"/>
                <w:szCs w:val="19"/>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property and equipment, net</w:t>
            </w: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(3,738)</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Investment in unconsolidated affiliate</w:t>
            </w:r>
          </w:p>
        </w:tc>
        <w:tc>
          <w:tcPr>
            <w:tcW w:w="120" w:type="dxa"/>
            <w:vAlign w:val="bottom"/>
            <w:shd w:val="clear" w:color="auto" w:fill="C0FFFF"/>
          </w:tcPr>
          <w:p>
            <w:pPr>
              <w:spacing w:after="0"/>
              <w:rPr>
                <w:sz w:val="18"/>
                <w:szCs w:val="18"/>
                <w:color w:val="auto"/>
              </w:rPr>
            </w:pP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(3,807)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bottom w:val="single" w:sz="8" w:color="auto"/>
            </w:tcBorders>
            <w:shd w:val="clear" w:color="auto" w:fill="C0FFFF"/>
          </w:tcPr>
          <w:p>
            <w:pPr>
              <w:spacing w:after="0"/>
              <w:rPr>
                <w:sz w:val="19"/>
                <w:szCs w:val="19"/>
                <w:color w:val="auto"/>
              </w:rPr>
            </w:pPr>
          </w:p>
        </w:tc>
        <w:tc>
          <w:tcPr>
            <w:tcW w:w="1380" w:type="dxa"/>
            <w:vAlign w:val="bottom"/>
            <w:tcBorders>
              <w:top w:val="single" w:sz="8" w:color="auto"/>
              <w:bottom w:val="single" w:sz="8" w:color="auto"/>
            </w:tcBorders>
            <w:shd w:val="clear" w:color="auto" w:fill="C0FFFF"/>
          </w:tcPr>
          <w:p>
            <w:pPr>
              <w:spacing w:after="0"/>
              <w:rPr>
                <w:sz w:val="19"/>
                <w:szCs w:val="19"/>
                <w:color w:val="auto"/>
              </w:rPr>
            </w:pP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top w:val="single" w:sz="8" w:color="auto"/>
              <w:bottom w:val="single" w:sz="8" w:color="auto"/>
            </w:tcBorders>
            <w:shd w:val="clear" w:color="auto" w:fill="C0FFFF"/>
          </w:tcPr>
          <w:p>
            <w:pPr>
              <w:spacing w:after="0"/>
              <w:rPr>
                <w:sz w:val="19"/>
                <w:szCs w:val="19"/>
                <w:color w:val="auto"/>
              </w:rPr>
            </w:pPr>
          </w:p>
        </w:tc>
        <w:tc>
          <w:tcPr>
            <w:tcW w:w="1360" w:type="dxa"/>
            <w:vAlign w:val="bottom"/>
            <w:tcBorders>
              <w:top w:val="single" w:sz="8" w:color="auto"/>
              <w:bottom w:val="single" w:sz="8" w:color="auto"/>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w:t>
            </w:r>
          </w:p>
        </w:tc>
        <w:tc>
          <w:tcPr>
            <w:tcW w:w="12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0FFFF"/>
          </w:tcPr>
          <w:p>
            <w:pPr>
              <w:spacing w:after="0"/>
              <w:rPr>
                <w:sz w:val="19"/>
                <w:szCs w:val="19"/>
                <w:color w:val="auto"/>
              </w:rPr>
            </w:pPr>
          </w:p>
        </w:tc>
        <w:tc>
          <w:tcPr>
            <w:tcW w:w="13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45,171</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46,367</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40,826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29, 2012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29, 2012, which were included in the Company’s annual report on Form 10-K filed with the SEC on March 14, 2013.</w:t>
      </w: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first quarter of fiscal 2013, the Company adopted new accounting guidance with regard to the presentation and disclosure of accumulated other comprehensive income (loss), according to the provisions of Accounting Standards Update 2013-02. The adoption of this guidance impacted disclosure and presentation of accumulated other comprehensive income (loss) only.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0FFFF"/>
          </w:tcPr>
          <w:p>
            <w:pPr>
              <w:spacing w:after="0"/>
              <w:rPr>
                <w:sz w:val="20"/>
                <w:szCs w:val="20"/>
                <w:color w:val="auto"/>
              </w:rPr>
            </w:pPr>
            <w:r>
              <w:rPr>
                <w:rFonts w:ascii="Arial" w:cs="Arial" w:eastAsia="Arial" w:hAnsi="Arial"/>
                <w:sz w:val="18"/>
                <w:szCs w:val="18"/>
                <w:color w:val="auto"/>
              </w:rPr>
              <w:t>Prepaid rent</w:t>
            </w:r>
          </w:p>
        </w:tc>
        <w:tc>
          <w:tcPr>
            <w:tcW w:w="1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7,692</w:t>
            </w:r>
          </w:p>
        </w:tc>
        <w:tc>
          <w:tcPr>
            <w:tcW w:w="2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8,736</w:t>
            </w:r>
          </w:p>
        </w:tc>
        <w:tc>
          <w:tcPr>
            <w:tcW w:w="3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8,014</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Prepaid income taxes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0FFFF"/>
          </w:tcPr>
          <w:p>
            <w:pPr>
              <w:spacing w:after="0"/>
              <w:rPr>
                <w:sz w:val="20"/>
                <w:szCs w:val="20"/>
                <w:color w:val="auto"/>
              </w:rPr>
            </w:pPr>
            <w:r>
              <w:rPr>
                <w:rFonts w:ascii="Arial" w:cs="Arial" w:eastAsia="Arial" w:hAnsi="Arial"/>
                <w:sz w:val="18"/>
                <w:szCs w:val="18"/>
                <w:color w:val="auto"/>
              </w:rPr>
              <w:t>Short-term investments</w:t>
            </w:r>
          </w:p>
        </w:tc>
        <w:tc>
          <w:tcPr>
            <w:tcW w:w="15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260" w:type="dxa"/>
            <w:vAlign w:val="bottom"/>
            <w:shd w:val="clear" w:color="auto" w:fill="C0FFFF"/>
          </w:tcPr>
          <w:p>
            <w:pPr>
              <w:spacing w:after="0"/>
              <w:rPr>
                <w:sz w:val="20"/>
                <w:szCs w:val="20"/>
                <w:color w:val="auto"/>
              </w:rPr>
            </w:pPr>
          </w:p>
        </w:tc>
        <w:tc>
          <w:tcPr>
            <w:tcW w:w="1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13,168</w:t>
            </w:r>
          </w:p>
        </w:tc>
        <w:tc>
          <w:tcPr>
            <w:tcW w:w="2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14,216</w:t>
            </w:r>
          </w:p>
        </w:tc>
        <w:tc>
          <w:tcPr>
            <w:tcW w:w="3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15,926</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0FFFF"/>
            </w:tcBorders>
            <w:shd w:val="clear" w:color="auto" w:fill="C0FFFF"/>
          </w:tcPr>
          <w:p>
            <w:pPr>
              <w:spacing w:after="0" w:line="20" w:lineRule="exact"/>
              <w:rPr>
                <w:sz w:val="1"/>
                <w:szCs w:val="1"/>
                <w:color w:val="auto"/>
              </w:rPr>
            </w:pPr>
          </w:p>
        </w:tc>
        <w:tc>
          <w:tcPr>
            <w:tcW w:w="15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2012, the Company initiated a turnaround plan that includes the closure of a number of stores. The Company considers a more likely than not assessment that an individual location will close as a triggering event to review the store asset group for recoverability. As a result of this review for the first quarter of fiscal 2013,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$0.5 million were recorded in the thirteen weeks ended March 30, 2013, which are included in selling, general and administrative expenses as a component of income before income taxes in the Retail segment. The inputs used to determine the fair value of the assets are Level 3 inputs as defined by ASC section 820-10. Any remaining net book value is depreciated over the shortened expected life. There were no similar impairments in the thirteen weeks ended March 31, 2012.</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Plans related to restricted stock and stock options for the thirteen weeks ended March 30, 2013: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29, 2012</w:t>
            </w: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860,325</w:t>
            </w:r>
          </w:p>
        </w:tc>
        <w:tc>
          <w:tcPr>
            <w:tcW w:w="17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1,155,239</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140,940</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312,606</w:t>
            </w:r>
          </w:p>
        </w:tc>
        <w:tc>
          <w:tcPr>
            <w:tcW w:w="18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8,697</w:t>
            </w:r>
          </w:p>
        </w:tc>
        <w:tc>
          <w:tcPr>
            <w:tcW w:w="17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7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Outstanding, March 30, 2013</w:t>
            </w:r>
          </w:p>
        </w:tc>
        <w:tc>
          <w:tcPr>
            <w:tcW w:w="15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679,962</w:t>
            </w:r>
          </w:p>
        </w:tc>
        <w:tc>
          <w:tcPr>
            <w:tcW w:w="180" w:type="dxa"/>
            <w:vAlign w:val="bottom"/>
            <w:tcBorders>
              <w:bottom w:val="single" w:sz="8" w:color="C0FFFF"/>
            </w:tcBorders>
            <w:shd w:val="clear" w:color="auto" w:fill="C0FFFF"/>
          </w:tcPr>
          <w:p>
            <w:pPr>
              <w:spacing w:after="0"/>
              <w:rPr>
                <w:sz w:val="22"/>
                <w:szCs w:val="22"/>
                <w:color w:val="auto"/>
              </w:rPr>
            </w:pPr>
          </w:p>
        </w:tc>
        <w:tc>
          <w:tcPr>
            <w:tcW w:w="15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1,153,121</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0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For the thirteen weeks ended March 30, 2013 and March 31, 2012, selling, general and administrative expenses include $0.8 million and $1.1 million of stock-based compensation expense, respectively. As of March 30, 2013, there was $4.1 million of total unrecognized compensation expense related to nonvested restricted stock and option awards which is expected to be recognized over a weighted-average period of 1.6 years.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during the thirteen weeks ended March 30, 2013 and March 31, 2012 was $1.6 million and $4.0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prior years, the Company recorded a valuation allowance on substantially all of its deferred tax assets. The effective tax rate was 88.2% for the thirteen weeks ended March 30, 2013 compared to 10.2% for the thirteen weeks ended March 31,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or Loss per Share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or loss per common share. In periods of net loss, no effect is given to the Company’s participating securities as they do not contractually participate in losses of the Company. The following table sets forth the computation of basic and diluted loss per share (in thousands, except share and per share data):</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March 30, 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0FF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Net income (loss) before allocation of earnings to participating securities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0FFFF"/>
            </w:tcBorders>
            <w:shd w:val="clear" w:color="auto" w:fill="C0FFFF"/>
          </w:tcPr>
          <w:p>
            <w:pPr>
              <w:ind w:left="300"/>
              <w:spacing w:after="0"/>
              <w:rPr>
                <w:sz w:val="20"/>
                <w:szCs w:val="20"/>
                <w:color w:val="auto"/>
              </w:rPr>
            </w:pPr>
            <w:r>
              <w:rPr>
                <w:rFonts w:ascii="Arial" w:cs="Arial" w:eastAsia="Arial" w:hAnsi="Arial"/>
                <w:sz w:val="18"/>
                <w:szCs w:val="18"/>
                <w:color w:val="auto"/>
              </w:rPr>
              <w:t>Less: Earnings allocated to participating securities</w:t>
            </w:r>
          </w:p>
        </w:tc>
        <w:tc>
          <w:tcPr>
            <w:tcW w:w="38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4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Net income (loss) after allocation of earnings to participating securities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0FFFF"/>
          </w:tcPr>
          <w:p>
            <w:pPr>
              <w:ind w:left="140"/>
              <w:spacing w:after="0"/>
              <w:rPr>
                <w:sz w:val="20"/>
                <w:szCs w:val="20"/>
                <w:color w:val="auto"/>
              </w:rPr>
            </w:pPr>
            <w:r>
              <w:rPr>
                <w:rFonts w:ascii="Arial" w:cs="Arial" w:eastAsia="Arial" w:hAnsi="Arial"/>
                <w:sz w:val="18"/>
                <w:szCs w:val="18"/>
                <w:color w:val="auto"/>
              </w:rPr>
              <w:t>Weighted average number of common shares outstanding - basic</w:t>
            </w:r>
          </w:p>
        </w:tc>
        <w:tc>
          <w:tcPr>
            <w:tcW w:w="3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16,231,291</w:t>
            </w: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16,038,880</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00"/>
              <w:spacing w:after="0"/>
              <w:rPr>
                <w:sz w:val="20"/>
                <w:szCs w:val="20"/>
                <w:color w:val="auto"/>
              </w:rPr>
            </w:pPr>
            <w:r>
              <w:rPr>
                <w:rFonts w:ascii="Arial" w:cs="Arial" w:eastAsia="Arial" w:hAnsi="Arial"/>
                <w:sz w:val="18"/>
                <w:szCs w:val="18"/>
                <w:color w:val="auto"/>
              </w:rPr>
              <w:t>Dilutive effect of share-based awards</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8"/>
                <w:szCs w:val="18"/>
                <w:color w:val="auto"/>
              </w:rPr>
              <w:t>Weighted average number of common shares outstanding - dilutive</w:t>
            </w:r>
          </w:p>
        </w:tc>
        <w:tc>
          <w:tcPr>
            <w:tcW w:w="380" w:type="dxa"/>
            <w:vAlign w:val="bottom"/>
            <w:tcBorders>
              <w:bottom w:val="single" w:sz="8" w:color="C0FFFF"/>
            </w:tcBorders>
            <w:shd w:val="clear" w:color="auto" w:fill="C0FFFF"/>
          </w:tcPr>
          <w:p>
            <w:pPr>
              <w:spacing w:after="0"/>
              <w:rPr>
                <w:sz w:val="22"/>
                <w:szCs w:val="22"/>
                <w:color w:val="auto"/>
              </w:rPr>
            </w:pPr>
          </w:p>
        </w:tc>
        <w:tc>
          <w:tcPr>
            <w:tcW w:w="120" w:type="dxa"/>
            <w:vAlign w:val="bottom"/>
            <w:tcBorders>
              <w:bottom w:val="single" w:sz="8" w:color="auto"/>
            </w:tcBorders>
            <w:shd w:val="clear" w:color="auto" w:fill="C0FFFF"/>
          </w:tcPr>
          <w:p>
            <w:pPr>
              <w:spacing w:after="0"/>
              <w:rPr>
                <w:sz w:val="22"/>
                <w:szCs w:val="22"/>
                <w:color w:val="auto"/>
              </w:rPr>
            </w:pPr>
          </w:p>
        </w:tc>
        <w:tc>
          <w:tcPr>
            <w:tcW w:w="1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16,231,291</w:t>
            </w:r>
          </w:p>
        </w:tc>
        <w:tc>
          <w:tcPr>
            <w:tcW w:w="220" w:type="dxa"/>
            <w:vAlign w:val="bottom"/>
            <w:tcBorders>
              <w:bottom w:val="single" w:sz="8" w:color="C0FFFF"/>
            </w:tcBorders>
            <w:shd w:val="clear" w:color="auto" w:fill="C0FFFF"/>
          </w:tcPr>
          <w:p>
            <w:pPr>
              <w:spacing w:after="0"/>
              <w:rPr>
                <w:sz w:val="22"/>
                <w:szCs w:val="22"/>
                <w:color w:val="auto"/>
              </w:rPr>
            </w:pPr>
          </w:p>
        </w:tc>
        <w:tc>
          <w:tcPr>
            <w:tcW w:w="120" w:type="dxa"/>
            <w:vAlign w:val="bottom"/>
            <w:tcBorders>
              <w:bottom w:val="single" w:sz="8" w:color="auto"/>
            </w:tcBorders>
            <w:shd w:val="clear" w:color="auto" w:fill="C0FFFF"/>
          </w:tcPr>
          <w:p>
            <w:pPr>
              <w:spacing w:after="0"/>
              <w:rPr>
                <w:sz w:val="22"/>
                <w:szCs w:val="22"/>
                <w:color w:val="auto"/>
              </w:rPr>
            </w:pPr>
          </w:p>
        </w:tc>
        <w:tc>
          <w:tcPr>
            <w:tcW w:w="14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16,038,880</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w w:val="98"/>
              </w:rPr>
              <w:t>Basic income (loss) per common share attributable to Build-A-Bear Workshop, Inc.</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w w:val="96"/>
              </w:rPr>
              <w:t>Diluted income (loss) per common share attributable to Build-A-Bear Workshop, Inc.</w:t>
            </w:r>
          </w:p>
        </w:tc>
        <w:tc>
          <w:tcPr>
            <w:tcW w:w="3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42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4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00" w:type="dxa"/>
            <w:vAlign w:val="bottom"/>
            <w:shd w:val="clear" w:color="auto" w:fill="C0FFFF"/>
          </w:tcPr>
          <w:p>
            <w:pPr>
              <w:ind w:left="140"/>
              <w:spacing w:after="0"/>
              <w:rPr>
                <w:sz w:val="20"/>
                <w:szCs w:val="20"/>
                <w:color w:val="auto"/>
              </w:rPr>
            </w:pPr>
            <w:r>
              <w:rPr>
                <w:rFonts w:ascii="Arial" w:cs="Arial" w:eastAsia="Arial" w:hAnsi="Arial"/>
                <w:sz w:val="18"/>
                <w:szCs w:val="18"/>
                <w:color w:val="auto"/>
              </w:rPr>
              <w:t>stockholders</w:t>
            </w:r>
          </w:p>
        </w:tc>
        <w:tc>
          <w:tcPr>
            <w:tcW w:w="5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calculating diluted earnings per share for the thirteen week period ended March 30, 2013, options to purchase 1,153,121 shares of common shares that were outstanding at the end of the period were not included in the computation of diluted earnings per share due to their anti-dilutive effect.</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Due to the net loss for the thirteen week periods ended March 31, 2012, the denominator for diluted loss per common share is the same as the denominator for basic loss per common share for those periods because the inclusion of the 1,203,604 outstanding stock options would be anti-dilutive.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7. Comprehensive Income or Loss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March 30, 2013 and December 29, 2012 is comprised entirely of foreign currency translation. For the thirteen weeks ended March 30, 2013 and March 31, 2012,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commercial and international franchising. The retail segment includes the operating activities of company-owned stores in the United States, Canada, the United Kingdom and Ireland and other retail delivery operations, including the Company’s web store, pop-up stores and non-traditional store locations such as a baseball park.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and Ireland, Asia, Australia, the Middle East, Africa,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International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Retail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Franchising</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Thirteen Weeks ended March 30, 2013</w:t>
            </w:r>
          </w:p>
        </w:tc>
        <w:tc>
          <w:tcPr>
            <w:tcW w:w="240" w:type="dxa"/>
            <w:vAlign w:val="bottom"/>
            <w:tcBorders>
              <w:top w:val="single" w:sz="8" w:color="auto"/>
            </w:tcBorders>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102,931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4,871</w:t>
            </w: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Thirteen Weeks ended March 31, 2012</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95,200</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376</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797</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3,764</w:t>
            </w: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 as of:</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March 30, 2013</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160,404</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7,173</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2,296</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March 31, 2012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203,491</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9,522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2,499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20"/>
              <w:spacing w:after="0" w:line="234" w:lineRule="exact"/>
              <w:rPr>
                <w:sz w:val="20"/>
                <w:szCs w:val="20"/>
                <w:color w:val="auto"/>
              </w:rPr>
            </w:pPr>
            <w:r>
              <w:rPr>
                <w:rFonts w:ascii="Arial" w:cs="Arial" w:eastAsia="Arial" w:hAnsi="Arial"/>
                <w:sz w:val="18"/>
                <w:szCs w:val="18"/>
                <w:b w:val="1"/>
                <w:bCs w:val="1"/>
                <w:color w:val="auto"/>
                <w:w w:val="93"/>
              </w:rPr>
              <w:t xml:space="preserve">America </w:t>
            </w:r>
            <w:r>
              <w:rPr>
                <w:rFonts w:ascii="Arial" w:cs="Arial" w:eastAsia="Arial" w:hAnsi="Arial"/>
                <w:sz w:val="25"/>
                <w:szCs w:val="25"/>
                <w:b w:val="1"/>
                <w:bCs w:val="1"/>
                <w:color w:val="auto"/>
                <w:w w:val="93"/>
                <w:vertAlign w:val="superscript"/>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line="234"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5"/>
                <w:szCs w:val="25"/>
                <w:b w:val="1"/>
                <w:bCs w:val="1"/>
                <w:color w:val="auto"/>
                <w:vertAlign w:val="superscript"/>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line="234"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5"/>
                <w:szCs w:val="25"/>
                <w:b w:val="1"/>
                <w:bCs w:val="1"/>
                <w:color w:val="auto"/>
                <w:vertAlign w:val="superscript"/>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Thirteen weeks ended March 30, 2013</w:t>
            </w:r>
          </w:p>
        </w:tc>
        <w:tc>
          <w:tcPr>
            <w:tcW w:w="140" w:type="dxa"/>
            <w:vAlign w:val="bottom"/>
            <w:tcBorders>
              <w:top w:val="single" w:sz="8" w:color="auto"/>
            </w:tcBorders>
            <w:shd w:val="clear" w:color="auto" w:fill="C0FFFF"/>
          </w:tcPr>
          <w:p>
            <w:pPr>
              <w:spacing w:after="0"/>
              <w:rPr>
                <w:sz w:val="18"/>
                <w:szCs w:val="18"/>
                <w:color w:val="auto"/>
              </w:rPr>
            </w:pPr>
          </w:p>
        </w:tc>
        <w:tc>
          <w:tcPr>
            <w:tcW w:w="112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86,206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17,584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104,265</w:t>
            </w: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59,375</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8,673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68,048</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Thirteen weeks ended March 31, 2012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80,200</w:t>
            </w:r>
          </w:p>
        </w:tc>
        <w:tc>
          <w:tcPr>
            <w:tcW w:w="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15,710</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463</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96,373</w:t>
            </w: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63,364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11,407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74,771</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9. Contingencies</w:t>
      </w:r>
    </w:p>
    <w:p>
      <w:pPr>
        <w:spacing w:after="0" w:line="28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intends to assess approximately £1.2 million, or approximately USD$2 million, for unpaid taxes, penalties and interest. The Company intends to appeal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30, 2013, the Company amended its existing bank line of credit to reduce the minimum tangible net worth requirement and the fixed charge coverage ratio for the remainder of the agreement.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and we undertake no obligation to update these statements except as required by federal securities laws. These risks and uncertainties include, without limitation, those detailed under the captions “Risk Factors” and "Forward-Looking Statements" in our annual report on Form 10-K for the year ended December 29, 2012, as filed with the SEC on March 14, 2013, and the following:</w:t>
      </w:r>
    </w:p>
    <w:p>
      <w:pPr>
        <w:spacing w:after="0" w:line="242" w:lineRule="exact"/>
        <w:rPr>
          <w:sz w:val="20"/>
          <w:szCs w:val="20"/>
          <w:color w:val="auto"/>
        </w:rPr>
      </w:pPr>
    </w:p>
    <w:p>
      <w:pPr>
        <w:ind w:left="800" w:right="600" w:hanging="400"/>
        <w:spacing w:after="0" w:line="25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800" w:right="10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company-owned stores in the United Kingdom and Ireland profitably;</w:t>
      </w:r>
    </w:p>
    <w:p>
      <w:pPr>
        <w:spacing w:after="0" w:line="9" w:lineRule="exact"/>
        <w:rPr>
          <w:rFonts w:ascii="Arial" w:cs="Arial" w:eastAsia="Arial" w:hAnsi="Arial"/>
          <w:sz w:val="18"/>
          <w:szCs w:val="18"/>
          <w:color w:val="auto"/>
        </w:rPr>
      </w:pPr>
    </w:p>
    <w:p>
      <w:pPr>
        <w:ind w:left="800" w:right="38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800" w:right="34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800" w:right="50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adversely affect our profitability;</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800" w:right="84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800" w:hanging="400"/>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800" w:right="62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800" w:right="48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operate our company-owned distribution center efficiently or our third-party distribution center providers may perform poorly;</w:t>
      </w: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00" w:right="6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w:t>
      </w: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800" w:right="460" w:hanging="400"/>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 and</w:t>
      </w:r>
    </w:p>
    <w:p>
      <w:pPr>
        <w:ind w:left="800" w:hanging="400"/>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corporate structure and Delaware law may prevent or frustrate attempts to replace or remove our current management by our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Build-A-Bear Workshop is in a turnaround phase as we work to improve store productivity and profitability. We are taking actions to change our business dynamics with a reinvented store design, aggressive repositioning of our portfolio of stores, including closures and remodels that will reduce square footage, and a rebalancing of our marketing to include higher levels of brand advertising. We currently expect our optimal consolidated store count to be 285 to 320 company-owned stores. This includes 225 to 250 stores in North America and 60 to 70 in the United Kingdom and Ireland. We believe the actions we are taking will result in improvements in productivity and profitability and, ultimately, stakeholder value. We also believe there are additional international growth opportunities, primarily through existing and new franchises.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0" w:name="page11"/>
    <w:bookmarkEnd w:id="10"/>
    <w:p>
      <w:pPr>
        <w:ind w:right="400"/>
        <w:spacing w:after="0" w:line="276" w:lineRule="auto"/>
        <w:rPr>
          <w:sz w:val="20"/>
          <w:szCs w:val="20"/>
          <w:color w:val="auto"/>
        </w:rPr>
      </w:pPr>
      <w:r>
        <w:rPr>
          <w:rFonts w:ascii="Arial" w:cs="Arial" w:eastAsia="Arial" w:hAnsi="Arial"/>
          <w:sz w:val="17"/>
          <w:szCs w:val="17"/>
          <w:color w:val="auto"/>
        </w:rPr>
        <w:t>As of March 30, 2013, we operated 267 traditional stores and six non-traditional stores in United States, Canada and Puerto Rico (collectively, North America), 60 traditional stores in the United Kingdom and Ireland (collectively, Europe) and had 92 franchised stores operating internationally under the Build-A-Bear Workshop brand. Non-traditional store locations include stores in a Major League Baseball® ballpark, a zoo and an airport, as well as temporary pop-up locations. In order to capitalize on short-term opportunities in specific locations, we have selectively opened temporary, pop-up locations. In addition to our stores, we market our products and build our brand through our Web sites.</w:t>
      </w: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170" w:lineRule="exact"/>
        <w:rPr>
          <w:sz w:val="20"/>
          <w:szCs w:val="20"/>
          <w:color w:val="auto"/>
        </w:rPr>
      </w:pPr>
    </w:p>
    <w:p>
      <w:pPr>
        <w:ind w:left="820" w:right="66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Company-owned retail stores located in the United States, Canada, Puerto Rico, the United Kingdom and Ireland, webstores, pop-ups and seasonal, event-based locations;</w:t>
      </w:r>
    </w:p>
    <w:p>
      <w:pPr>
        <w:spacing w:after="0" w:line="170"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with other business partners, mainly comprised of licensing our intellectual property, including entertainment properties, for third-party use and wholesale product sales; and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stores operated under franchise agreements.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March 30, 2013 and March 31, 2012 are set forth in the notes to our condensed consolidated financial statements included elsewhere in this quarterly report on Form 10-Q.</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use comparable store sales as one of the performance measures for our business. Comparable store sales percentage changes are based on net retail sales, excluding our webstores, pop-up and seasonal and event-based locations. Stores are considered comparable beginning in their thirteenth full month of operation. The percentage change in comparable store sales for the periods presented below is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380" w:type="dxa"/>
            <w:vAlign w:val="bottom"/>
            <w:tcBorders>
              <w:bottom w:val="single" w:sz="8" w:color="auto"/>
            </w:tcBorders>
            <w:gridSpan w:val="3"/>
          </w:tcPr>
          <w:p>
            <w:pPr>
              <w:ind w:left="180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5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March 30, 2013</w:t>
            </w:r>
          </w:p>
        </w:tc>
        <w:tc>
          <w:tcPr>
            <w:tcW w:w="220" w:type="dxa"/>
            <w:vAlign w:val="bottom"/>
          </w:tcPr>
          <w:p>
            <w:pPr>
              <w:spacing w:after="0"/>
              <w:rPr>
                <w:sz w:val="19"/>
                <w:szCs w:val="19"/>
                <w:color w:val="auto"/>
              </w:rPr>
            </w:pPr>
          </w:p>
        </w:tc>
        <w:tc>
          <w:tcPr>
            <w:tcW w:w="25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March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2580" w:type="dxa"/>
            <w:vAlign w:val="bottom"/>
            <w:shd w:val="clear" w:color="auto" w:fill="C0FFFF"/>
          </w:tcPr>
          <w:p>
            <w:pPr>
              <w:jc w:val="center"/>
              <w:spacing w:after="0"/>
              <w:rPr>
                <w:sz w:val="20"/>
                <w:szCs w:val="20"/>
                <w:color w:val="auto"/>
              </w:rPr>
            </w:pPr>
            <w:r>
              <w:rPr>
                <w:rFonts w:ascii="Arial" w:cs="Arial" w:eastAsia="Arial" w:hAnsi="Arial"/>
                <w:sz w:val="18"/>
                <w:szCs w:val="18"/>
                <w:b w:val="1"/>
                <w:bCs w:val="1"/>
                <w:color w:val="auto"/>
                <w:w w:val="93"/>
              </w:rPr>
              <w:t>10.6%</w:t>
            </w:r>
          </w:p>
        </w:tc>
        <w:tc>
          <w:tcPr>
            <w:tcW w:w="2800" w:type="dxa"/>
            <w:vAlign w:val="bottom"/>
            <w:gridSpan w:val="2"/>
            <w:shd w:val="clear" w:color="auto" w:fill="C0FFFF"/>
          </w:tcPr>
          <w:p>
            <w:pPr>
              <w:jc w:val="center"/>
              <w:ind w:left="110"/>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Europe</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9.7%</w:t>
            </w:r>
          </w:p>
        </w:tc>
        <w:tc>
          <w:tcPr>
            <w:tcW w:w="22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(10.1)%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Consolidated</w:t>
            </w:r>
          </w:p>
        </w:tc>
        <w:tc>
          <w:tcPr>
            <w:tcW w:w="2580" w:type="dxa"/>
            <w:vAlign w:val="bottom"/>
            <w:tcBorders>
              <w:bottom w:val="single" w:sz="8" w:color="auto"/>
            </w:tcBorders>
            <w:shd w:val="clear" w:color="auto" w:fill="C0FFFF"/>
          </w:tcPr>
          <w:p>
            <w:pPr>
              <w:jc w:val="center"/>
              <w:spacing w:after="0"/>
              <w:rPr>
                <w:sz w:val="20"/>
                <w:szCs w:val="20"/>
                <w:color w:val="auto"/>
              </w:rPr>
            </w:pPr>
            <w:r>
              <w:rPr>
                <w:rFonts w:ascii="Arial" w:cs="Arial" w:eastAsia="Arial" w:hAnsi="Arial"/>
                <w:sz w:val="18"/>
                <w:szCs w:val="18"/>
                <w:b w:val="1"/>
                <w:bCs w:val="1"/>
                <w:color w:val="auto"/>
                <w:w w:val="93"/>
              </w:rPr>
              <w:t>10.4%</w:t>
            </w:r>
          </w:p>
        </w:tc>
        <w:tc>
          <w:tcPr>
            <w:tcW w:w="220" w:type="dxa"/>
            <w:vAlign w:val="bottom"/>
            <w:tcBorders>
              <w:bottom w:val="single" w:sz="8" w:color="C0FFFF"/>
            </w:tcBorders>
            <w:shd w:val="clear" w:color="auto" w:fill="C0FFFF"/>
          </w:tcPr>
          <w:p>
            <w:pPr>
              <w:spacing w:after="0"/>
              <w:rPr>
                <w:sz w:val="20"/>
                <w:szCs w:val="20"/>
                <w:color w:val="auto"/>
              </w:rPr>
            </w:pPr>
          </w:p>
        </w:tc>
        <w:tc>
          <w:tcPr>
            <w:tcW w:w="2580" w:type="dxa"/>
            <w:vAlign w:val="bottom"/>
            <w:tcBorders>
              <w:bottom w:val="single" w:sz="8" w:color="C0FFFF"/>
            </w:tcBorders>
            <w:shd w:val="clear" w:color="auto" w:fill="C0FFFF"/>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0FFFF"/>
            </w:tcBorders>
            <w:shd w:val="clear" w:color="auto" w:fill="C0FFFF"/>
          </w:tcPr>
          <w:p>
            <w:pPr>
              <w:spacing w:after="0" w:line="20" w:lineRule="exact"/>
              <w:rPr>
                <w:sz w:val="1"/>
                <w:szCs w:val="1"/>
                <w:color w:val="auto"/>
              </w:rPr>
            </w:pPr>
          </w:p>
        </w:tc>
        <w:tc>
          <w:tcPr>
            <w:tcW w:w="2580" w:type="dxa"/>
            <w:vAlign w:val="bottom"/>
            <w:tcBorders>
              <w:top w:val="single" w:sz="8" w:color="C0FFFF"/>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580" w:type="dxa"/>
            <w:vAlign w:val="bottom"/>
            <w:tcBorders>
              <w:top w:val="single" w:sz="8" w:color="C0FF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improvement in comparable store sales for the period presented is primarily attributable to the following factors:</w:t>
      </w:r>
    </w:p>
    <w:p>
      <w:pPr>
        <w:spacing w:after="0" w:line="225"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our brand building marketing campaign and intensified communication with moms along with a good balance of proprietary and licensed product drove improved comparable store sales across the Company,</w:t>
      </w:r>
    </w:p>
    <w:p>
      <w:pPr>
        <w:spacing w:after="0" w:line="22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our strategic closures, primarily in North American multi-store markets, have transferred approximately 20% of their sales to remaining stores in the market, and</w:t>
      </w:r>
    </w:p>
    <w:p>
      <w:pPr>
        <w:spacing w:after="0" w:line="224"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Additionally, the 30% increase in the issuance of gift cards on a consolidated basis during the 2012 fourth quarter contributed to increased retail sales in the 2013 first quarter as the cards were redeemed. We continued to gain momentum in the issuance of new gift cards in the first quarter with a 35% increase over the comparable prior period.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working to build on this positive trend in comparable store sales with the following key initiatives:</w:t>
      </w:r>
    </w:p>
    <w:p>
      <w:pPr>
        <w:spacing w:after="0" w:line="2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aggressively working to increase store traffic and the destination appeal of our stores by: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enhancing our experience with a new store design;</w:t>
      </w:r>
    </w:p>
    <w:p>
      <w:pPr>
        <w:spacing w:after="0" w:line="279" w:lineRule="exact"/>
        <w:rPr>
          <w:rFonts w:ascii="Arial" w:cs="Arial" w:eastAsia="Arial" w:hAnsi="Arial"/>
          <w:sz w:val="18"/>
          <w:szCs w:val="18"/>
          <w:color w:val="auto"/>
        </w:rPr>
      </w:pPr>
    </w:p>
    <w:p>
      <w:pPr>
        <w:ind w:left="980" w:right="1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increasing productivity and profitability of our existing stores through strategic closures, primarily in multi-store markets where we expect to transfer a portion of the closed stores sales to remaining stores in the market and the relocation of select other stores with a reduction in square footage thereby improving their productivity; and</w:t>
      </w:r>
    </w:p>
    <w:p>
      <w:pPr>
        <w:spacing w:after="0" w:line="23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increasing shopping frequency by increasing new guest traffic to our stores through a rebalanced marketing message to include both product and brand;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We plan to capitalize on our brand advertising to increase gift card purchases by reminding consumers about the gift of the experience.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sets forth the number of Build-A-Bear Workshop company-owned stores in the United States, Canada, the United Kingdom and Ireland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Thirteen Weeks</w:t>
            </w: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3"/>
              </w:rPr>
              <w:t>Fifty-two Weeks - Projected</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December</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40"/>
              <w:spacing w:after="0" w:line="198" w:lineRule="exact"/>
              <w:rPr>
                <w:sz w:val="20"/>
                <w:szCs w:val="20"/>
                <w:color w:val="auto"/>
              </w:rPr>
            </w:pPr>
            <w:r>
              <w:rPr>
                <w:rFonts w:ascii="Arial" w:cs="Arial" w:eastAsia="Arial" w:hAnsi="Arial"/>
                <w:sz w:val="18"/>
                <w:szCs w:val="18"/>
                <w:b w:val="1"/>
                <w:bCs w:val="1"/>
                <w:color w:val="auto"/>
                <w:w w:val="89"/>
              </w:rPr>
              <w:t>December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30,</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Closed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940" w:type="dxa"/>
            <w:vAlign w:val="bottom"/>
            <w:tcBorders>
              <w:top w:val="single" w:sz="8" w:color="auto"/>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tcBorders>
              <w:top w:val="single" w:sz="8" w:color="auto"/>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tcBorders>
              <w:top w:val="single" w:sz="8" w:color="auto"/>
            </w:tcBorders>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86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w:t>
            </w:r>
          </w:p>
        </w:tc>
        <w:tc>
          <w:tcPr>
            <w:tcW w:w="116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w:t>
            </w:r>
          </w:p>
        </w:tc>
        <w:tc>
          <w:tcPr>
            <w:tcW w:w="126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0FFFF"/>
          </w:tcPr>
          <w:p>
            <w:pPr>
              <w:spacing w:after="0"/>
              <w:rPr>
                <w:sz w:val="20"/>
                <w:szCs w:val="20"/>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(18)</w:t>
            </w:r>
          </w:p>
        </w:tc>
        <w:tc>
          <w:tcPr>
            <w:tcW w:w="116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333</w:t>
            </w:r>
          </w:p>
        </w:tc>
        <w:tc>
          <w:tcPr>
            <w:tcW w:w="9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351</w:t>
            </w:r>
          </w:p>
        </w:tc>
        <w:tc>
          <w:tcPr>
            <w:tcW w:w="126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Thirteen Weeks</w:t>
            </w: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Fifty-two Weeks</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December</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40"/>
              <w:spacing w:after="0" w:line="198" w:lineRule="exact"/>
              <w:rPr>
                <w:sz w:val="20"/>
                <w:szCs w:val="20"/>
                <w:color w:val="auto"/>
              </w:rPr>
            </w:pPr>
            <w:r>
              <w:rPr>
                <w:rFonts w:ascii="Arial" w:cs="Arial" w:eastAsia="Arial" w:hAnsi="Arial"/>
                <w:sz w:val="18"/>
                <w:szCs w:val="18"/>
                <w:b w:val="1"/>
                <w:bCs w:val="1"/>
                <w:color w:val="auto"/>
                <w:w w:val="89"/>
              </w:rPr>
              <w:t>December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4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Closed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940" w:type="dxa"/>
            <w:vAlign w:val="bottom"/>
            <w:tcBorders>
              <w:top w:val="single" w:sz="8" w:color="auto"/>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tcBorders>
              <w:top w:val="single" w:sz="8" w:color="auto"/>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tcBorders>
              <w:top w:val="single" w:sz="8" w:color="auto"/>
            </w:tcBorders>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86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11</w:t>
            </w:r>
          </w:p>
        </w:tc>
        <w:tc>
          <w:tcPr>
            <w:tcW w:w="126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spacing w:after="0"/>
              <w:rPr>
                <w:sz w:val="18"/>
                <w:szCs w:val="18"/>
                <w:color w:val="auto"/>
              </w:rPr>
            </w:pPr>
          </w:p>
        </w:tc>
        <w:tc>
          <w:tcPr>
            <w:tcW w:w="1180" w:type="dxa"/>
            <w:vAlign w:val="bottom"/>
            <w:gridSpan w:val="2"/>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60" w:type="dxa"/>
            <w:vAlign w:val="bottom"/>
            <w:tcBorders>
              <w:right w:val="single" w:sz="8" w:color="C0FFFF"/>
            </w:tcBorders>
            <w:gridSpan w:val="2"/>
            <w:shd w:val="clear" w:color="auto" w:fill="C0FFFF"/>
          </w:tcPr>
          <w:p>
            <w:pPr>
              <w:spacing w:after="0"/>
              <w:rPr>
                <w:sz w:val="18"/>
                <w:szCs w:val="18"/>
                <w:color w:val="auto"/>
              </w:rPr>
            </w:pPr>
          </w:p>
        </w:tc>
        <w:tc>
          <w:tcPr>
            <w:tcW w:w="940" w:type="dxa"/>
            <w:vAlign w:val="bottom"/>
            <w:gridSpan w:val="2"/>
            <w:shd w:val="clear" w:color="auto" w:fill="C0FFFF"/>
          </w:tcPr>
          <w:p>
            <w:pPr>
              <w:spacing w:after="0"/>
              <w:rPr>
                <w:sz w:val="18"/>
                <w:szCs w:val="18"/>
                <w:color w:val="auto"/>
              </w:rPr>
            </w:pPr>
          </w:p>
        </w:tc>
        <w:tc>
          <w:tcPr>
            <w:tcW w:w="1260" w:type="dxa"/>
            <w:vAlign w:val="bottom"/>
            <w:gridSpan w:val="3"/>
            <w:shd w:val="clear" w:color="auto" w:fill="C0FFFF"/>
          </w:tcPr>
          <w:p>
            <w:pPr>
              <w:spacing w:after="0"/>
              <w:rPr>
                <w:sz w:val="18"/>
                <w:szCs w:val="18"/>
                <w:color w:val="auto"/>
              </w:rPr>
            </w:pPr>
          </w:p>
        </w:tc>
        <w:tc>
          <w:tcPr>
            <w:tcW w:w="1120" w:type="dxa"/>
            <w:vAlign w:val="bottom"/>
            <w:gridSpan w:val="2"/>
            <w:shd w:val="clear" w:color="auto" w:fill="C0FFFF"/>
          </w:tcPr>
          <w:p>
            <w:pPr>
              <w:spacing w:after="0"/>
              <w:rPr>
                <w:sz w:val="18"/>
                <w:szCs w:val="18"/>
                <w:color w:val="auto"/>
              </w:rPr>
            </w:pPr>
          </w:p>
        </w:tc>
        <w:tc>
          <w:tcPr>
            <w:tcW w:w="1020" w:type="dxa"/>
            <w:vAlign w:val="bottom"/>
            <w:gridSpan w:val="2"/>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0FFFF"/>
          </w:tcPr>
          <w:p>
            <w:pPr>
              <w:spacing w:after="0"/>
              <w:rPr>
                <w:sz w:val="20"/>
                <w:szCs w:val="20"/>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357</w:t>
            </w:r>
          </w:p>
        </w:tc>
        <w:tc>
          <w:tcPr>
            <w:tcW w:w="9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356</w:t>
            </w:r>
          </w:p>
        </w:tc>
        <w:tc>
          <w:tcPr>
            <w:tcW w:w="126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long term store real estate goal is to bring our stores back to best in class productivity and profitability. Today we believe that the optimal number of Build-A-Bear Workshop stores in North America is between 225 to 250 and 60 to 70 in the United Kingdom and Ireland for a total of 285 to 320 stores. We currently expect to reach this level with the closure of 30 to 45 additional stores in fiscal 2013 and 2014, primarily in North America. Locations to close and the timing of the closures are subject to ongoing negotiations and overall economic considerations as we continually reevaluate our market repositioning and optimization plans.</w:t>
      </w:r>
    </w:p>
    <w:p>
      <w:pPr>
        <w:spacing w:after="0" w:line="24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Integral to the success of this strategy is the opening of our new store design which gives certain stores destination appeal and increases productivity in the market. The new design merges Build-A-Bear Workshop’s iconic hands-on bear-making process with the power of technology to provide a new, highly interactive experience for our guests. We opened the first store with the new design in the third quarter of fiscal 2012. As of May 6, 2013, we have opened nine of these stores. On average, sales at these locations have increased by approximately 25%. We plan to have approximately 30 locations in the new design operating by the end of 2013 with an additional 20 to 25 locations planned to open in 2014.</w:t>
      </w:r>
    </w:p>
    <w:p>
      <w:pPr>
        <w:spacing w:after="0" w:line="22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have transferred, on average, approximately 20% of the sales from closing stores to other locations in the same market. As of May 6, we have closed 22 stores in fiscal 2013.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fiscal 2004, we began offering merchandise in seasonal, event-based locations such as Major League Baseball® ballparks. As of March 30, 2013, we had one location each in a ballpark, a zoo and an airport. In 2010, we opened our first temporary stores, which generally have lease terms of six to eighteen months and are included in our non-traditional store count. These locations are intended to capitalize on short-term opportunities in specific locations. As of March 30, 2013, three pop-up stores were open.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follows:</w:t>
      </w:r>
    </w:p>
    <w:p>
      <w:pPr>
        <w:spacing w:after="0" w:line="275"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March 30, 2013</w:t>
            </w: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 2012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91</w:t>
            </w:r>
          </w:p>
        </w:tc>
        <w:tc>
          <w:tcPr>
            <w:tcW w:w="180" w:type="dxa"/>
            <w:vAlign w:val="bottom"/>
            <w:shd w:val="clear" w:color="auto" w:fill="C0FFFF"/>
          </w:tcPr>
          <w:p>
            <w:pPr>
              <w:spacing w:after="0"/>
              <w:rPr>
                <w:sz w:val="18"/>
                <w:szCs w:val="18"/>
                <w:color w:val="auto"/>
              </w:rPr>
            </w:pP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Closed</w:t>
            </w:r>
          </w:p>
        </w:tc>
        <w:tc>
          <w:tcPr>
            <w:tcW w:w="1380" w:type="dxa"/>
            <w:vAlign w:val="bottom"/>
            <w:shd w:val="clear" w:color="auto" w:fill="C0FFFF"/>
          </w:tcPr>
          <w:p>
            <w:pPr>
              <w:spacing w:after="0"/>
              <w:rPr>
                <w:sz w:val="19"/>
                <w:szCs w:val="19"/>
                <w:color w:val="auto"/>
              </w:rPr>
            </w:pPr>
          </w:p>
        </w:tc>
        <w:tc>
          <w:tcPr>
            <w:tcW w:w="3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b w:val="1"/>
                <w:bCs w:val="1"/>
                <w:color w:val="auto"/>
                <w:w w:val="99"/>
              </w:rPr>
              <w:t>(3)</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76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92</w:t>
            </w:r>
          </w:p>
        </w:tc>
        <w:tc>
          <w:tcPr>
            <w:tcW w:w="180" w:type="dxa"/>
            <w:vAlign w:val="bottom"/>
            <w:tcBorders>
              <w:top w:val="single" w:sz="8" w:color="C0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30, 2013, we had master franchise agreements, which typically grant franchise rights for a particular country or countries, covering an aggregate of 16 countries. In the ordinary course of business, we anticipate signing additional master franchise agreements in the future and terminating other such agreements. We expect our current and future franchisees to open eight to twelve stores in fiscal 2013. Our current focus is to facilitate the growth of our existing franchisees. In the long term, we believe there is a market potential for approximately 300 franchised stores outside of the United States, Canada, Puerto Rico, the United Kingdom and Ireland.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346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Thirteen weeks ended</w:t>
            </w:r>
          </w:p>
        </w:tc>
      </w:tr>
      <w:tr>
        <w:trPr>
          <w:trHeight w:val="198"/>
        </w:trPr>
        <w:tc>
          <w:tcPr>
            <w:tcW w:w="5660" w:type="dxa"/>
            <w:vAlign w:val="bottom"/>
          </w:tcPr>
          <w:p>
            <w:pPr>
              <w:spacing w:after="0"/>
              <w:rPr>
                <w:sz w:val="17"/>
                <w:szCs w:val="17"/>
                <w:color w:val="auto"/>
              </w:rPr>
            </w:pPr>
          </w:p>
        </w:tc>
        <w:tc>
          <w:tcPr>
            <w:tcW w:w="178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March 30,</w:t>
            </w:r>
          </w:p>
        </w:tc>
        <w:tc>
          <w:tcPr>
            <w:tcW w:w="15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r>
      <w:tr>
        <w:trPr>
          <w:trHeight w:val="241"/>
        </w:trPr>
        <w:tc>
          <w:tcPr>
            <w:tcW w:w="566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r>
      <w:tr>
        <w:trPr>
          <w:trHeight w:val="216"/>
        </w:trPr>
        <w:tc>
          <w:tcPr>
            <w:tcW w:w="5660" w:type="dxa"/>
            <w:vAlign w:val="bottom"/>
            <w:shd w:val="clear" w:color="auto" w:fill="C0FFFF"/>
          </w:tcPr>
          <w:p>
            <w:pPr>
              <w:ind w:left="40"/>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8"/>
                <w:szCs w:val="18"/>
                <w:color w:val="auto"/>
              </w:rPr>
              <w:t>Net retail sales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r>
      <w:tr>
        <w:trPr>
          <w:trHeight w:val="216"/>
        </w:trPr>
        <w:tc>
          <w:tcPr>
            <w:tcW w:w="5660" w:type="dxa"/>
            <w:vAlign w:val="bottom"/>
            <w:shd w:val="clear" w:color="auto" w:fill="C0FFFF"/>
          </w:tcPr>
          <w:p>
            <w:pPr>
              <w:ind w:left="300"/>
              <w:spacing w:after="0"/>
              <w:rPr>
                <w:sz w:val="20"/>
                <w:szCs w:val="20"/>
                <w:color w:val="auto"/>
              </w:rPr>
            </w:pPr>
            <w:r>
              <w:rPr>
                <w:rFonts w:ascii="Arial" w:cs="Arial" w:eastAsia="Arial" w:hAnsi="Arial"/>
                <w:sz w:val="18"/>
                <w:szCs w:val="18"/>
                <w:color w:val="auto"/>
              </w:rPr>
              <w:t>Commercial revenue</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0FFFF"/>
          </w:tcPr>
          <w:p>
            <w:pPr>
              <w:spacing w:after="0"/>
              <w:rPr>
                <w:sz w:val="18"/>
                <w:szCs w:val="18"/>
                <w:color w:val="auto"/>
              </w:rPr>
            </w:pPr>
          </w:p>
        </w:tc>
      </w:tr>
      <w:tr>
        <w:trPr>
          <w:trHeight w:val="223"/>
        </w:trPr>
        <w:tc>
          <w:tcPr>
            <w:tcW w:w="5660" w:type="dxa"/>
            <w:vAlign w:val="bottom"/>
          </w:tcPr>
          <w:p>
            <w:pPr>
              <w:ind w:left="300"/>
              <w:spacing w:after="0"/>
              <w:rPr>
                <w:sz w:val="20"/>
                <w:szCs w:val="20"/>
                <w:color w:val="auto"/>
              </w:rPr>
            </w:pPr>
            <w:r>
              <w:rPr>
                <w:rFonts w:ascii="Arial" w:cs="Arial" w:eastAsia="Arial" w:hAnsi="Arial"/>
                <w:sz w:val="18"/>
                <w:szCs w:val="18"/>
                <w:color w:val="auto"/>
              </w:rPr>
              <w:t>Franchise fees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r>
      <w:tr>
        <w:trPr>
          <w:trHeight w:val="223"/>
        </w:trPr>
        <w:tc>
          <w:tcPr>
            <w:tcW w:w="5660" w:type="dxa"/>
            <w:vAlign w:val="bottom"/>
            <w:tcBorders>
              <w:bottom w:val="single" w:sz="8" w:color="C0FFFF"/>
            </w:tcBorders>
            <w:shd w:val="clear" w:color="auto" w:fill="C0FFFF"/>
          </w:tcPr>
          <w:p>
            <w:pPr>
              <w:ind w:left="680"/>
              <w:spacing w:after="0"/>
              <w:rPr>
                <w:sz w:val="20"/>
                <w:szCs w:val="20"/>
                <w:color w:val="auto"/>
              </w:rPr>
            </w:pPr>
            <w:r>
              <w:rPr>
                <w:rFonts w:ascii="Arial" w:cs="Arial" w:eastAsia="Arial" w:hAnsi="Arial"/>
                <w:sz w:val="18"/>
                <w:szCs w:val="18"/>
                <w:color w:val="auto"/>
              </w:rPr>
              <w:t>Total revenues</w:t>
            </w:r>
          </w:p>
        </w:tc>
        <w:tc>
          <w:tcPr>
            <w:tcW w:w="15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0FFFF"/>
            </w:tcBorders>
            <w:shd w:val="clear" w:color="auto" w:fill="C0FFFF"/>
          </w:tcPr>
          <w:p>
            <w:pPr>
              <w:spacing w:after="0"/>
              <w:rPr>
                <w:sz w:val="19"/>
                <w:szCs w:val="19"/>
                <w:color w:val="auto"/>
              </w:rPr>
            </w:pPr>
          </w:p>
        </w:tc>
      </w:t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shd w:val="clear" w:color="auto" w:fill="C0FFFF"/>
          </w:tcPr>
          <w:p>
            <w:pPr>
              <w:ind w:left="40"/>
              <w:spacing w:after="0"/>
              <w:rPr>
                <w:sz w:val="20"/>
                <w:szCs w:val="20"/>
                <w:color w:val="auto"/>
              </w:rPr>
            </w:pPr>
            <w:r>
              <w:rPr>
                <w:rFonts w:ascii="Arial" w:cs="Arial" w:eastAsia="Arial" w:hAnsi="Arial"/>
                <w:sz w:val="18"/>
                <w:szCs w:val="18"/>
                <w:color w:val="auto"/>
              </w:rPr>
              <w:t>Costs and expenses:</w:t>
            </w:r>
          </w:p>
        </w:tc>
        <w:tc>
          <w:tcPr>
            <w:tcW w:w="15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8"/>
                <w:szCs w:val="18"/>
                <w:color w:val="auto"/>
              </w:rPr>
              <w:t>Cost of merchandise sold</w:t>
            </w:r>
          </w:p>
        </w:tc>
        <w:tc>
          <w:tcPr>
            <w:tcW w:w="1540" w:type="dxa"/>
            <w:vAlign w:val="bottom"/>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5660" w:type="dxa"/>
            <w:vAlign w:val="bottom"/>
            <w:shd w:val="clear" w:color="auto" w:fill="C0FFFF"/>
          </w:tcPr>
          <w:p>
            <w:pPr>
              <w:ind w:left="30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0FFFF"/>
          </w:tcPr>
          <w:p>
            <w:pPr>
              <w:spacing w:after="0"/>
              <w:rPr>
                <w:sz w:val="18"/>
                <w:szCs w:val="18"/>
                <w:color w:val="auto"/>
              </w:rPr>
            </w:pPr>
          </w:p>
        </w:tc>
      </w:tr>
      <w:tr>
        <w:trPr>
          <w:trHeight w:val="223"/>
        </w:trPr>
        <w:tc>
          <w:tcPr>
            <w:tcW w:w="5660" w:type="dxa"/>
            <w:vAlign w:val="bottom"/>
          </w:tcPr>
          <w:p>
            <w:pPr>
              <w:ind w:left="300"/>
              <w:spacing w:after="0"/>
              <w:rPr>
                <w:sz w:val="20"/>
                <w:szCs w:val="20"/>
                <w:color w:val="auto"/>
              </w:rPr>
            </w:pPr>
            <w:r>
              <w:rPr>
                <w:rFonts w:ascii="Arial" w:cs="Arial" w:eastAsia="Arial" w:hAnsi="Arial"/>
                <w:sz w:val="18"/>
                <w:szCs w:val="18"/>
                <w:color w:val="auto"/>
              </w:rPr>
              <w:t>Interest expense (income), net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23"/>
        </w:trPr>
        <w:tc>
          <w:tcPr>
            <w:tcW w:w="5660" w:type="dxa"/>
            <w:vAlign w:val="bottom"/>
            <w:tcBorders>
              <w:bottom w:val="single" w:sz="8" w:color="C0FFFF"/>
            </w:tcBorders>
            <w:shd w:val="clear" w:color="auto" w:fill="C0FFFF"/>
          </w:tcPr>
          <w:p>
            <w:pPr>
              <w:ind w:left="680"/>
              <w:spacing w:after="0"/>
              <w:rPr>
                <w:sz w:val="20"/>
                <w:szCs w:val="20"/>
                <w:color w:val="auto"/>
              </w:rPr>
            </w:pPr>
            <w:r>
              <w:rPr>
                <w:rFonts w:ascii="Arial" w:cs="Arial" w:eastAsia="Arial" w:hAnsi="Arial"/>
                <w:sz w:val="18"/>
                <w:szCs w:val="18"/>
                <w:color w:val="auto"/>
              </w:rPr>
              <w:t>Total costs and expenses</w:t>
            </w:r>
          </w:p>
        </w:tc>
        <w:tc>
          <w:tcPr>
            <w:tcW w:w="15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Borders>
              <w:bottom w:val="single" w:sz="8" w:color="C0FFFF"/>
            </w:tcBorders>
            <w:shd w:val="clear" w:color="auto" w:fill="C0FFFF"/>
          </w:tcPr>
          <w:p>
            <w:pPr>
              <w:spacing w:after="0"/>
              <w:rPr>
                <w:sz w:val="19"/>
                <w:szCs w:val="19"/>
                <w:color w:val="auto"/>
              </w:rPr>
            </w:pPr>
          </w:p>
        </w:tc>
        <w:tc>
          <w:tcPr>
            <w:tcW w:w="152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Borders>
              <w:bottom w:val="single" w:sz="8" w:color="C0FFFF"/>
            </w:tcBorders>
            <w:shd w:val="clear" w:color="auto" w:fill="C0FFFF"/>
          </w:tcPr>
          <w:p>
            <w:pPr>
              <w:spacing w:after="0"/>
              <w:rPr>
                <w:sz w:val="19"/>
                <w:szCs w:val="19"/>
                <w:color w:val="auto"/>
              </w:rPr>
            </w:pPr>
          </w:p>
        </w:tc>
      </w:t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shd w:val="clear" w:color="auto" w:fill="C0FFFF"/>
          </w:tcPr>
          <w:p>
            <w:pPr>
              <w:ind w:left="68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6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56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5660" w:type="dxa"/>
            <w:vAlign w:val="bottom"/>
            <w:shd w:val="clear" w:color="auto" w:fill="C0FFFF"/>
          </w:tcPr>
          <w:p>
            <w:pPr>
              <w:ind w:left="680"/>
              <w:spacing w:after="0"/>
              <w:rPr>
                <w:sz w:val="20"/>
                <w:szCs w:val="20"/>
                <w:color w:val="auto"/>
              </w:rPr>
            </w:pPr>
            <w:r>
              <w:rPr>
                <w:rFonts w:ascii="Arial" w:cs="Arial" w:eastAsia="Arial" w:hAnsi="Arial"/>
                <w:sz w:val="18"/>
                <w:szCs w:val="18"/>
                <w:color w:val="auto"/>
              </w:rPr>
              <w:t>Net income (loss)</w:t>
            </w:r>
          </w:p>
        </w:tc>
        <w:tc>
          <w:tcPr>
            <w:tcW w:w="1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0FFFF"/>
          </w:tcPr>
          <w:p>
            <w:pPr>
              <w:spacing w:after="0"/>
              <w:rPr>
                <w:sz w:val="22"/>
                <w:szCs w:val="22"/>
                <w:color w:val="auto"/>
              </w:rPr>
            </w:pPr>
          </w:p>
        </w:tc>
        <w:tc>
          <w:tcPr>
            <w:tcW w:w="1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5660" w:type="dxa"/>
            <w:vAlign w:val="bottom"/>
            <w:tcBorders>
              <w:top w:val="single" w:sz="8" w:color="C0FF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r>
      <w:tr>
        <w:trPr>
          <w:trHeight w:val="237"/>
        </w:trPr>
        <w:tc>
          <w:tcPr>
            <w:tcW w:w="5660" w:type="dxa"/>
            <w:vAlign w:val="bottom"/>
            <w:shd w:val="clear" w:color="auto" w:fill="C0FFFF"/>
          </w:tcPr>
          <w:p>
            <w:pPr>
              <w:ind w:left="40"/>
              <w:spacing w:after="0" w:line="216" w:lineRule="exact"/>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5"/>
                <w:szCs w:val="25"/>
                <w:color w:val="auto"/>
                <w:vertAlign w:val="superscript"/>
              </w:rPr>
              <w:t>% (2)</w:t>
            </w:r>
          </w:p>
        </w:tc>
        <w:tc>
          <w:tcPr>
            <w:tcW w:w="1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41.5%</w:t>
            </w:r>
          </w:p>
        </w:tc>
        <w:tc>
          <w:tcPr>
            <w:tcW w:w="16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39.9%</w:t>
            </w:r>
          </w:p>
        </w:tc>
      </w:tr>
      <w:tr>
        <w:trPr>
          <w:trHeight w:val="20"/>
        </w:trPr>
        <w:tc>
          <w:tcPr>
            <w:tcW w:w="5660" w:type="dxa"/>
            <w:vAlign w:val="bottom"/>
            <w:tcBorders>
              <w:top w:val="single" w:sz="8" w:color="C0FFFF"/>
            </w:tcBorders>
            <w:shd w:val="clear" w:color="auto" w:fill="C0FF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77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9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79" w:lineRule="exact"/>
        <w:rPr>
          <w:rFonts w:ascii="Arial" w:cs="Arial" w:eastAsia="Arial" w:hAnsi="Arial"/>
          <w:sz w:val="18"/>
          <w:szCs w:val="18"/>
          <w:color w:val="auto"/>
        </w:rPr>
      </w:pPr>
    </w:p>
    <w:p>
      <w:pPr>
        <w:ind w:left="400" w:right="360" w:hanging="392"/>
        <w:spacing w:after="0" w:line="26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$42.7 million and $38.0 million for the thirteen weeks ended March 30, 2013 and March 31, 2012, respectively. Retail gross margin percentage represents retail gross margin divided by net retail sales.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Thirteen weeks ended March 30, 2013 compared to thirteen weeks ended March 31, 2012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$104.3 million for the thirteen weeks ended March 30, 2013 as compared to $96.4 million for the thirteen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30, 2013, an increase of $7.9 million, or 8.2%. Net retail sales were $102.9 million for the thirteen weeks ended March 30, 2013 as compared to $95.2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thirteen weeks ended March 31, 2012, an increase of $7.7 million, or 8.1%. The increase in net retail sales was primarily attributable to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$8.9 million increase in comparable store sales, $0.5 million from new stores and a $0.2 million increase in e-commerce sales. These increases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$1.8 million decrease in sales from non-comparable store locations, primarily closures and relocations, and $0.1 million negative impact of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improvement in comparable store sales for the period presented is primarily attributable to the following factors:</w:t>
      </w:r>
    </w:p>
    <w:p>
      <w:pPr>
        <w:spacing w:after="0" w:line="279"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our brand building marketing campaign and intensified communication with moms along with a good balance of proprietary and licensed product drove improved comparable store sales across the Company,</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that our strategic closures, primarily in North American multi-store markets, have transferred approximately 20% of their sales to remaining stores in the market, and</w:t>
      </w:r>
    </w:p>
    <w:p>
      <w:pPr>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Additionally, the 30% increase in the issuance of gift cards on a consolidated basis during the 2012 fourth quarter contributed to increased retail sales in the 2013 first quarter as the cards were redeemed. We continued to gain momentum in the issuance of new gift cards in the first quarter with a 35% increase over the comparable prior period.</w:t>
      </w:r>
    </w:p>
    <w:p>
      <w:pPr>
        <w:spacing w:after="0" w:line="2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Commercial revenue increased to $0.5 million for the thirteen weeks ended March 30, 2013 from $0.4 million for the thirteen weeks ended March 31, 2012, an increase of $0.1 million. Revenue from international franchise fees was $0.9 million and $0.8 million for the thirteen weeks ended March 30, 2013 and March 31,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Total gross margin was $42.9 million for the thirteen weeks ended March 30, 2013 as compared to $38.1 million for the thirteen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March 31, 2012, an increase of $4.8 million, or 12.7%. Retail gross margin increased to $42.7 million for the thirteen weeks ended March 31, 2012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$38.0 million for the thirteen weeks ended March 31, 2012, an increase of $4.7 million, or 12.3%. As a percentage of net retail sales, retail gross margin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41.5% for the thirteen weeks ended March 30, 2013 as compared to 39.9% for the thirteen weeks ended March 31, 2012, an increase of 160 basis points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percentage of net retail sales (bps). Our retail gross margin improvement was primarily driven by the improved leverage of fixed occupancy costs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in promotional activity as compared to the first quarter of 2012. These improvements more than offset increases in product costs during the quarter.</w:t>
      </w:r>
    </w:p>
    <w:p>
      <w:pPr>
        <w:spacing w:after="0" w:line="23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$43.7 million for the thirteen weeks ended March 30, 2013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$40.1 million for the thirteen weeks ended March 31, 2012, an increase of $3.6 million, or 9.0%. As a percentage of total revenues, selling, general and administrative expenses were 41.9% for the thirteen weeks ended March 30, 2013 as compared to 41.6% for the thirteen weeks ended March 31, 2012, an increase of 30 bps. The dollar increase was primarily attributable to (i) $1.8 million in management transition costs, (ii) additional investment in marketing initiatives, (iii) $0.6 million in store closing costs, and (iv) transactional foreign currency losses related to foreign payables denominated in US dollars. As a percent of revenue, these costs were offset by improved leverage on increased revenue.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$51,000 for the thirteen weeks ended March 30, 2013 as compared to $86,000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March 31, 2012.</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The income tax expense was $0.1 million for the thirteen weeks ended March 30, 2013 as compared to an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$0.1 million for the thirteen weeks ended March 31, 2012. The effective tax rate was 88.2% for the thirteen weeks ended March 30, 2013 compared to 10.2% for the thirteen weeks ended March 31, 2012. The effective tax rate was primarily attributable to the impact of recording valuation allowances in prior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(1) changes in general economic conditions and consumer spending patterns; (2) increases or decreases in our comparable store sales;</w:t>
      </w: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the profitability of our stores; (4) changes in foreign currency exchange rates; (5) the timing and frequency of our marketing initiatives,</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including national media appearances and other public relations events; (6) the timing of our store closings and openings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2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quarterly results. Our European-based stores have historically been more heavily weighted in the fourth quarter as compared to our North American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stores. We cannot assure you that this will continue to be the case. In addition, for accounting purposes, the quarters of each fiscal year consist of 13 weeks,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although we will have a 14-week quarter approximately once every six years. The 2008 fiscal fourth quarter had 14 weeks.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was $0.2 million for the thirteen weeks ended March 30, 2013 as compared with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$9.4 million for the thirteen weeks ended March 31, 2012, an increase of $9.6 million. This increase in cash provided by operating activities over the year ago period was primarily due to increased store contribution and the timing of payments for inventory.</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Cash used in investing activities was $3.8 million for the thirteen weeks ended March 30, 2013 as compared to $4.3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thirteen weeks ended March 31, 2012. Cash used in investing activities during the thirteen weeks ended March 30, 2013 primarily relates to the purchase of equipment and fixtures for stores that will be relocated and remodeled in the new design in 2013 and upgrades and purchases of central office information technology systems and equipment. Cash used in investing activities during the thirteen weeks ended March 31, 2012 primarily relates to store construction and maintenance and upgrades and purchases of central office information technology systems and equipment.</w:t>
      </w:r>
    </w:p>
    <w:p>
      <w:pPr>
        <w:spacing w:after="0" w:line="173"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There were no cash flows from financing activities in the thirteen weeks ended March 30, 2013 or March 31, 2012. No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were made under our line of credit in either the thirteen weeks ended March 30, 2013 or March 31, 2012.</w:t>
      </w:r>
    </w:p>
    <w:p>
      <w:pPr>
        <w:spacing w:after="0" w:line="170"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March 30, 2013, we had a consolidated cash balance of $40.8 million approximately half of which was domiciled outside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We also have a line of credit, which we can use to finance capital expenditures and working capital needs throughout the year. The credit agreement is with U.S. Bank, National Association and was amended effective April 30, 2013. The bank line provides availability of $35</w:t>
      </w:r>
    </w:p>
    <w:p>
      <w:pPr>
        <w:spacing w:after="0" w:line="268" w:lineRule="auto"/>
        <w:rPr>
          <w:sz w:val="20"/>
          <w:szCs w:val="20"/>
          <w:color w:val="auto"/>
        </w:rPr>
      </w:pPr>
      <w:r>
        <w:rPr>
          <w:rFonts w:ascii="Arial" w:cs="Arial" w:eastAsia="Arial" w:hAnsi="Arial"/>
          <w:sz w:val="17"/>
          <w:szCs w:val="17"/>
          <w:color w:val="auto"/>
        </w:rPr>
        <w:t>million. Borrowings under the credit agreement are secured by our assets and a pledge of 65% of our ownership interest in our foreign subsidiaries. The credit agreement expires on December 31, 2014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March 30, 2013: (i) we were in compliance with these covenants as revised per the April 30, 2013 amendment;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Our leases in the U.K. and Ireland typically have terms of 10 to 15 years and generally contain a provision whereby every fifth year the rental rate can be adjusted upwards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2013, we expect to spend a total of $20 to $25 million on capital expenditures. Capital spending through the thirteen weeks ended March 30, 2013 totaled $3.8 million, on track with our full year plans. Capital spending in fiscal 2013 is primarily for the relocation or remodeling of approximately 25 stores in our new design, the opening of approximately four new stores and the continued installation and upgrades of central office information technology systems.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stock. On March 10, 2008, we announced an expansion of our share repurchase program to $50 million. On February 28, 2013, we announced that our share repurchase program had been extended to March 31, 2014.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May 6, 2013, approximately 5.9 million shares at an average price of $7.24 per share have been repurchased under this program for an aggregate amount of $42.6 million, leaving $7.4 million of availability under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14, 2013, which includes audited consolidated financial statements for our 2012, 2011 and 2010 fiscal years. There have been no material changes to the critical accounting estimates disclosed in the 2012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w:t>
      </w:r>
    </w:p>
    <w:p>
      <w:pPr>
        <w:ind w:right="120"/>
        <w:spacing w:after="0" w:line="271" w:lineRule="auto"/>
        <w:rPr>
          <w:sz w:val="20"/>
          <w:szCs w:val="20"/>
          <w:color w:val="auto"/>
        </w:rPr>
      </w:pPr>
      <w:r>
        <w:rPr>
          <w:rFonts w:ascii="Arial" w:cs="Arial" w:eastAsia="Arial" w:hAnsi="Arial"/>
          <w:sz w:val="17"/>
          <w:szCs w:val="17"/>
          <w:color w:val="auto"/>
        </w:rPr>
        <w:t>rates. Outstanding balances under our credit facility bear interest at LIBOR plus 1.8%. We had no borrowings outstanding during the fiscal 2013 first quarter.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and are shown that way on our balance sheet. If there are changes in interest rates, those changes would affect the investment income we earn on these investments and, therefore, impact our cash flows and results of operations.</w:t>
      </w:r>
    </w:p>
    <w:p>
      <w:pPr>
        <w:spacing w:after="0" w:line="1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6" w:name="page17"/>
    <w:bookmarkEnd w:id="16"/>
    <w:p>
      <w:pPr>
        <w:jc w:val="both"/>
        <w:ind w:right="12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with the participation of our Chief Executive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Bear and Chief Operations and Financial Bear, concluded that our disclosure controls and procedures were effective as of March 30, 2013, the end of the period covered by this Quarterly Report.</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should be noted that our management, including the Chief Executive Bear and the Chief Operations and Financial Bear,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Bear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29, 2012 as filed with the SEC on March 14, 2013.</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720" w:type="dxa"/>
            <w:vAlign w:val="bottom"/>
          </w:tcPr>
          <w:p>
            <w:pPr>
              <w:spacing w:after="0"/>
              <w:rPr>
                <w:sz w:val="24"/>
                <w:szCs w:val="24"/>
                <w:color w:val="auto"/>
              </w:rPr>
            </w:pPr>
          </w:p>
        </w:tc>
        <w:tc>
          <w:tcPr>
            <w:tcW w:w="3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3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(b)</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Maximum Number</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Number of</w:t>
            </w: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Average Price Paid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 (or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the Plan or</w:t>
            </w:r>
          </w:p>
        </w:tc>
      </w:tr>
      <w:tr>
        <w:trPr>
          <w:trHeight w:val="241"/>
        </w:trPr>
        <w:tc>
          <w:tcPr>
            <w:tcW w:w="37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20"/>
                <w:szCs w:val="20"/>
                <w:color w:val="auto"/>
              </w:rPr>
            </w:pPr>
          </w:p>
        </w:tc>
        <w:tc>
          <w:tcPr>
            <w:tcW w:w="1580" w:type="dxa"/>
            <w:vAlign w:val="bottom"/>
            <w:tcBorders>
              <w:bottom w:val="single" w:sz="8" w:color="auto"/>
            </w:tcBorders>
          </w:tcPr>
          <w:p>
            <w:pPr>
              <w:jc w:val="center"/>
              <w:ind w:right="10"/>
              <w:spacing w:after="0" w:line="234" w:lineRule="exact"/>
              <w:rPr>
                <w:sz w:val="20"/>
                <w:szCs w:val="20"/>
                <w:color w:val="auto"/>
              </w:rPr>
            </w:pPr>
            <w:r>
              <w:rPr>
                <w:rFonts w:ascii="Arial" w:cs="Arial" w:eastAsia="Arial" w:hAnsi="Arial"/>
                <w:sz w:val="18"/>
                <w:szCs w:val="18"/>
                <w:b w:val="1"/>
                <w:bCs w:val="1"/>
                <w:color w:val="auto"/>
                <w:w w:val="85"/>
              </w:rPr>
              <w:t xml:space="preserve">Purchased </w:t>
            </w:r>
            <w:r>
              <w:rPr>
                <w:rFonts w:ascii="Arial" w:cs="Arial" w:eastAsia="Arial" w:hAnsi="Arial"/>
                <w:sz w:val="25"/>
                <w:szCs w:val="25"/>
                <w:b w:val="1"/>
                <w:bCs w:val="1"/>
                <w:color w:val="auto"/>
                <w:w w:val="85"/>
                <w:vertAlign w:val="superscript"/>
              </w:rPr>
              <w:t>(1)</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7"/>
              </w:rPr>
              <w:t>Unit)</w:t>
            </w:r>
          </w:p>
        </w:tc>
        <w:tc>
          <w:tcPr>
            <w:tcW w:w="18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9"/>
              </w:rPr>
              <w:t xml:space="preserve">Plan or Program </w:t>
            </w:r>
            <w:r>
              <w:rPr>
                <w:rFonts w:ascii="Arial" w:cs="Arial" w:eastAsia="Arial" w:hAnsi="Arial"/>
                <w:sz w:val="25"/>
                <w:szCs w:val="25"/>
                <w:b w:val="1"/>
                <w:bCs w:val="1"/>
                <w:color w:val="auto"/>
                <w:w w:val="89"/>
                <w:vertAlign w:val="superscript"/>
              </w:rPr>
              <w:t>(2)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r>
      <w:tr>
        <w:trPr>
          <w:trHeight w:val="216"/>
        </w:trPr>
        <w:tc>
          <w:tcPr>
            <w:tcW w:w="3720" w:type="dxa"/>
            <w:vAlign w:val="bottom"/>
            <w:shd w:val="clear" w:color="auto" w:fill="C0FFFF"/>
          </w:tcPr>
          <w:p>
            <w:pPr>
              <w:ind w:left="180"/>
              <w:spacing w:after="0"/>
              <w:rPr>
                <w:sz w:val="20"/>
                <w:szCs w:val="20"/>
                <w:color w:val="auto"/>
              </w:rPr>
            </w:pPr>
            <w:r>
              <w:rPr>
                <w:rFonts w:ascii="Arial" w:cs="Arial" w:eastAsia="Arial" w:hAnsi="Arial"/>
                <w:sz w:val="18"/>
                <w:szCs w:val="18"/>
                <w:b w:val="1"/>
                <w:bCs w:val="1"/>
                <w:color w:val="auto"/>
              </w:rPr>
              <w:t>Dec. 30, 2013 – Jan. 26, 2013</w:t>
            </w:r>
          </w:p>
        </w:tc>
        <w:tc>
          <w:tcPr>
            <w:tcW w:w="25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0FF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4.22</w:t>
            </w:r>
          </w:p>
        </w:tc>
        <w:tc>
          <w:tcPr>
            <w:tcW w:w="1800" w:type="dxa"/>
            <w:vAlign w:val="bottom"/>
            <w:shd w:val="clear" w:color="auto" w:fill="C0FFFF"/>
          </w:tcPr>
          <w:p>
            <w:pPr>
              <w:ind w:left="1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7,364,562</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Jan. 27, 2013 – Feb. 23, 2013</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800" w:type="dxa"/>
            <w:vAlign w:val="bottom"/>
          </w:tcPr>
          <w:p>
            <w:pPr>
              <w:ind w:left="150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7,364,562</w:t>
            </w:r>
          </w:p>
        </w:tc>
      </w:tr>
      <w:tr>
        <w:trPr>
          <w:trHeight w:val="223"/>
        </w:trPr>
        <w:tc>
          <w:tcPr>
            <w:tcW w:w="3720" w:type="dxa"/>
            <w:vAlign w:val="bottom"/>
            <w:tcBorders>
              <w:bottom w:val="single" w:sz="8" w:color="C0FFFF"/>
            </w:tcBorders>
            <w:shd w:val="clear" w:color="auto" w:fill="C0FFFF"/>
          </w:tcPr>
          <w:p>
            <w:pPr>
              <w:ind w:left="180"/>
              <w:spacing w:after="0"/>
              <w:rPr>
                <w:sz w:val="20"/>
                <w:szCs w:val="20"/>
                <w:color w:val="auto"/>
              </w:rPr>
            </w:pPr>
            <w:r>
              <w:rPr>
                <w:rFonts w:ascii="Arial" w:cs="Arial" w:eastAsia="Arial" w:hAnsi="Arial"/>
                <w:sz w:val="18"/>
                <w:szCs w:val="18"/>
                <w:b w:val="1"/>
                <w:bCs w:val="1"/>
                <w:color w:val="auto"/>
              </w:rPr>
              <w:t>Feb. 24, 2013 – Mar. 30, 2013</w:t>
            </w:r>
          </w:p>
        </w:tc>
        <w:tc>
          <w:tcPr>
            <w:tcW w:w="940" w:type="dxa"/>
            <w:vAlign w:val="bottom"/>
            <w:tcBorders>
              <w:bottom w:val="single" w:sz="8" w:color="C0FFFF"/>
            </w:tcBorders>
            <w:shd w:val="clear" w:color="auto" w:fill="C0FFFF"/>
          </w:tcPr>
          <w:p>
            <w:pPr>
              <w:spacing w:after="0"/>
              <w:rPr>
                <w:sz w:val="19"/>
                <w:szCs w:val="19"/>
                <w:color w:val="auto"/>
              </w:rPr>
            </w:pPr>
          </w:p>
        </w:tc>
        <w:tc>
          <w:tcPr>
            <w:tcW w:w="158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114,963</w:t>
            </w:r>
          </w:p>
        </w:tc>
        <w:tc>
          <w:tcPr>
            <w:tcW w:w="260" w:type="dxa"/>
            <w:vAlign w:val="bottom"/>
            <w:tcBorders>
              <w:bottom w:val="single" w:sz="8" w:color="auto"/>
            </w:tcBorders>
            <w:shd w:val="clear" w:color="auto" w:fill="C0FFFF"/>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5.29</w:t>
            </w:r>
          </w:p>
        </w:tc>
        <w:tc>
          <w:tcPr>
            <w:tcW w:w="1800" w:type="dxa"/>
            <w:vAlign w:val="bottom"/>
            <w:tcBorders>
              <w:bottom w:val="single" w:sz="8" w:color="auto"/>
            </w:tcBorders>
            <w:shd w:val="clear" w:color="auto" w:fill="C0FFFF"/>
          </w:tcPr>
          <w:p>
            <w:pPr>
              <w:ind w:left="1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FFFF"/>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7,364,562</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color w:val="auto"/>
              </w:rPr>
              <w:t>115,031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800" w:type="dxa"/>
            <w:vAlign w:val="bottom"/>
          </w:tcPr>
          <w:p>
            <w:pPr>
              <w:ind w:left="1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377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20" w:right="100" w:hanging="512"/>
        <w:spacing w:after="0" w:line="271"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20" w:right="40" w:hanging="512"/>
        <w:spacing w:after="0" w:line="295"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February 28, 2013, we announced the further extension of our $50 million share repurchase program of our outstanding common stock until March 31, 2014.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12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filed on November 11, 2004)</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Amended and Restated Bylaws (incorporated by reference from Exhibit 3.4 to our Registration Statement on Form S-1, filed on August 12,</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2004, Registration No. 333-118142)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filed on October 1, 2004, Registration No. 333-118142)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Retirement, Separation Agreement and General Release by and between Maxine Clark and Build-A-Bear Workshop, Inc., dated January 28,</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2013 (incorporated by reference from Exhibit 10.1 to our Current Report on Form 8-K, filed on January 31, 2013)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Consulting Agreement by and between Maxine Clark and Build-A-Bear Workshop, Inc., dated January 28, 2013 (incorporated by reference</w:t>
            </w:r>
          </w:p>
        </w:tc>
      </w:tr>
      <w:tr>
        <w:trPr>
          <w:trHeight w:val="230"/>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from Exhibit 10.2 to our Current Report on Form 8-K, filed on January 31, 2013)</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Twelfth Amendment to Loan Documents between Build-A-Bear Workshop, Inc., Build-A-Bear Workshop Franchise Holdings, Inc., Build-</w:t>
            </w: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A-Bear Entertainment, LLC, Build-A-Bear Retail Management, Inc., as Borrowers, and U.S. Bank National Association, as Lender, entered</w:t>
            </w: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into effective as of February 13, 2013 (incorporated by reference from Exhibit 10.1 to our Current Report on Form 8-K, filed on February</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14, 2013)</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Bear)</w:t>
            </w:r>
          </w:p>
        </w:tc>
      </w:tr>
      <w:tr>
        <w:trPr>
          <w:trHeight w:val="608"/>
        </w:trPr>
        <w:tc>
          <w:tcPr>
            <w:tcW w:w="1180" w:type="dxa"/>
            <w:vAlign w:val="bottom"/>
          </w:tcPr>
          <w:p>
            <w:pPr>
              <w:spacing w:after="0"/>
              <w:rPr>
                <w:sz w:val="24"/>
                <w:szCs w:val="24"/>
                <w:color w:val="auto"/>
              </w:rPr>
            </w:pPr>
          </w:p>
        </w:tc>
        <w:tc>
          <w:tcPr>
            <w:tcW w:w="10240" w:type="dxa"/>
            <w:vAlign w:val="bottom"/>
            <w:gridSpan w:val="2"/>
          </w:tcPr>
          <w:p>
            <w:pPr>
              <w:jc w:val="right"/>
              <w:ind w:right="5530"/>
              <w:spacing w:after="0"/>
              <w:rPr>
                <w:sz w:val="20"/>
                <w:szCs w:val="20"/>
                <w:color w:val="auto"/>
              </w:rPr>
            </w:pPr>
            <w:r>
              <w:rPr>
                <w:rFonts w:ascii="Arial" w:cs="Arial" w:eastAsia="Arial" w:hAnsi="Arial"/>
                <w:sz w:val="18"/>
                <w:szCs w:val="18"/>
                <w:color w:val="auto"/>
              </w:rPr>
              <w:t>18</w:t>
            </w:r>
          </w:p>
        </w:tc>
      </w:tr>
      <w:tr>
        <w:trPr>
          <w:trHeight w:val="118"/>
        </w:trPr>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Operations and</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Financial Bear)</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Executive Bear)</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300"/>
              <w:spacing w:after="0"/>
              <w:rPr>
                <w:sz w:val="20"/>
                <w:szCs w:val="20"/>
                <w:color w:val="auto"/>
              </w:rPr>
            </w:pPr>
            <w:r>
              <w:rPr>
                <w:rFonts w:ascii="Arial" w:cs="Arial" w:eastAsia="Arial" w:hAnsi="Arial"/>
                <w:sz w:val="18"/>
                <w:szCs w:val="18"/>
                <w:color w:val="auto"/>
                <w:w w:val="93"/>
              </w:rPr>
              <w:t>Section 1350 Certification (pursuant to Section 906 of the Sarbanes-Oxley Act of 2002, executed by the Chief Operations and Financial</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Bear)</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Extension Schema</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Extension Calculation</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Extension Definition</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Extension Label</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Extension Presentation</w:t>
            </w:r>
          </w:p>
        </w:tc>
      </w:tr>
      <w:tr>
        <w:trPr>
          <w:trHeight w:val="581"/>
        </w:trPr>
        <w:tc>
          <w:tcPr>
            <w:tcW w:w="100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8"/>
                <w:szCs w:val="18"/>
                <w:color w:val="auto"/>
              </w:rPr>
              <w:t>19</w:t>
            </w:r>
          </w:p>
        </w:tc>
      </w:tr>
      <w:tr>
        <w:trPr>
          <w:trHeight w:val="118"/>
        </w:trPr>
        <w:tc>
          <w:tcPr>
            <w:tcW w:w="1000" w:type="dxa"/>
            <w:vAlign w:val="bottom"/>
            <w:tcBorders>
              <w:bottom w:val="single" w:sz="8" w:color="808080"/>
            </w:tcBorders>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(on behalf of the registrant and as principal executive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240" w:top="486"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80" w:hanging="481"/>
        <w:spacing w:after="0" w:line="26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80" w:right="140" w:hanging="481"/>
        <w:spacing w:after="0" w:line="26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80" w:right="300" w:hanging="481"/>
        <w:spacing w:after="0" w:line="342" w:lineRule="auto"/>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80" w:hanging="481"/>
        <w:spacing w:after="0" w:line="26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00" w:right="540" w:hanging="487"/>
        <w:spacing w:after="0" w:line="342" w:lineRule="auto"/>
        <w:tabs>
          <w:tab w:leader="none" w:pos="1400" w:val="left"/>
        </w:tabs>
        <w:numPr>
          <w:ilvl w:val="2"/>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400" w:right="220" w:hanging="487"/>
        <w:spacing w:after="0" w:line="277" w:lineRule="auto"/>
        <w:tabs>
          <w:tab w:leader="none" w:pos="1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8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80" w:right="14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80" w:right="300" w:hanging="481"/>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8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380" w:right="540" w:hanging="481"/>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80" w:right="240" w:hanging="481"/>
        <w:spacing w:after="0" w:line="277"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Chief Operations and Financial Bear, Treasurer and</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March 30, 2013 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Chief Executive Bear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March 30, 2013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7"/>
          <w:szCs w:val="17"/>
          <w:i w:val="1"/>
          <w:iCs w:val="1"/>
          <w:color w:val="auto"/>
        </w:rPr>
        <w:t>Chief Operations and Financial Bear, Treasurer and</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2019-12-07T00:30:42Z</dcterms:created>
  <dcterms:modified xsi:type="dcterms:W3CDTF">2019-12-07T00:30:42Z</dcterms:modified>
</cp:coreProperties>
</file>