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8, 2025, there were 12,945,819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20" w:type="dxa"/>
            <w:vAlign w:val="bottom"/>
            <w:gridSpan w:val="8"/>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2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80" w:type="dxa"/>
            <w:vAlign w:val="bottom"/>
            <w:gridSpan w:val="7"/>
          </w:tcPr>
          <w:p>
            <w:pPr>
              <w:ind w:left="180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0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2060" w:type="dxa"/>
            <w:vAlign w:val="bottom"/>
            <w:gridSpan w:val="5"/>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2060" w:type="dxa"/>
            <w:vAlign w:val="bottom"/>
            <w:gridSpan w:val="5"/>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7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2060" w:type="dxa"/>
            <w:vAlign w:val="bottom"/>
            <w:gridSpan w:val="5"/>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040" w:type="dxa"/>
            <w:vAlign w:val="bottom"/>
            <w:gridSpan w:val="2"/>
          </w:tcPr>
          <w:p>
            <w:pPr>
              <w:spacing w:after="0"/>
              <w:rPr>
                <w:sz w:val="15"/>
                <w:szCs w:val="15"/>
                <w:color w:val="auto"/>
              </w:rPr>
            </w:pPr>
          </w:p>
        </w:tc>
        <w:tc>
          <w:tcPr>
            <w:tcW w:w="2060" w:type="dxa"/>
            <w:vAlign w:val="bottom"/>
            <w:gridSpan w:val="5"/>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7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060" w:type="dxa"/>
            <w:vAlign w:val="bottom"/>
            <w:gridSpan w:val="5"/>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17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90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0"/>
              </w:rPr>
              <w:t>Item</w:t>
            </w:r>
          </w:p>
        </w:tc>
        <w:tc>
          <w:tcPr>
            <w:tcW w:w="40" w:type="dxa"/>
            <w:vAlign w:val="bottom"/>
            <w:shd w:val="clear" w:color="auto" w:fill="CCEEFF"/>
          </w:tcPr>
          <w:p>
            <w:pPr>
              <w:spacing w:after="0"/>
              <w:rPr>
                <w:sz w:val="17"/>
                <w:szCs w:val="17"/>
                <w:color w:val="auto"/>
              </w:rPr>
            </w:pPr>
          </w:p>
        </w:tc>
        <w:tc>
          <w:tcPr>
            <w:tcW w:w="85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shd w:val="clear" w:color="auto" w:fill="CCEEFF"/>
              </w:rPr>
              <w:t xml:space="preserve">1A.Risk </w:t>
            </w:r>
            <w:r>
              <w:rPr>
                <w:rFonts w:ascii="Times New Roman" w:cs="Times New Roman" w:eastAsia="Times New Roman" w:hAnsi="Times New Roman"/>
                <w:sz w:val="18"/>
                <w:szCs w:val="18"/>
                <w:color w:val="0000EE"/>
              </w:rPr>
              <w:t>Factors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6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3D85C6"/>
              </w:rPr>
              <w:t>Item 5.</w:t>
            </w:r>
          </w:p>
        </w:tc>
        <w:tc>
          <w:tcPr>
            <w:tcW w:w="8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3D85C6"/>
              </w:rPr>
              <w:t>Other Information</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3D85C6"/>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14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3D85C6"/>
            </w:tcBorders>
          </w:tcPr>
          <w:p>
            <w:pPr>
              <w:spacing w:after="0"/>
              <w:rPr>
                <w:sz w:val="18"/>
                <w:szCs w:val="18"/>
                <w:color w:val="auto"/>
              </w:rPr>
            </w:pPr>
          </w:p>
        </w:tc>
        <w:tc>
          <w:tcPr>
            <w:tcW w:w="20" w:type="dxa"/>
            <w:vAlign w:val="bottom"/>
            <w:tcBorders>
              <w:top w:val="single" w:sz="8" w:color="3D85C6"/>
            </w:tcBorders>
          </w:tcPr>
          <w:p>
            <w:pPr>
              <w:spacing w:after="0"/>
              <w:rPr>
                <w:sz w:val="18"/>
                <w:szCs w:val="18"/>
                <w:color w:val="auto"/>
              </w:rPr>
            </w:pPr>
          </w:p>
        </w:tc>
        <w:tc>
          <w:tcPr>
            <w:tcW w:w="120" w:type="dxa"/>
            <w:vAlign w:val="bottom"/>
            <w:tcBorders>
              <w:top w:val="single" w:sz="8" w:color="3D85C6"/>
            </w:tcBorders>
          </w:tcPr>
          <w:p>
            <w:pPr>
              <w:spacing w:after="0"/>
              <w:rPr>
                <w:sz w:val="18"/>
                <w:szCs w:val="18"/>
                <w:color w:val="auto"/>
              </w:rPr>
            </w:pPr>
          </w:p>
        </w:tc>
        <w:tc>
          <w:tcPr>
            <w:tcW w:w="300" w:type="dxa"/>
            <w:vAlign w:val="bottom"/>
            <w:tcBorders>
              <w:top w:val="single" w:sz="8" w:color="3D85C6"/>
            </w:tcBorders>
          </w:tcPr>
          <w:p>
            <w:pPr>
              <w:spacing w:after="0"/>
              <w:rPr>
                <w:sz w:val="18"/>
                <w:szCs w:val="18"/>
                <w:color w:val="auto"/>
              </w:rPr>
            </w:pPr>
          </w:p>
        </w:tc>
        <w:tc>
          <w:tcPr>
            <w:tcW w:w="420" w:type="dxa"/>
            <w:vAlign w:val="bottom"/>
            <w:tcBorders>
              <w:top w:val="single" w:sz="8" w:color="3D85C6"/>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3D85C6"/>
            </w:tcBorders>
          </w:tcPr>
          <w:p>
            <w:pPr>
              <w:spacing w:after="0"/>
              <w:rPr>
                <w:sz w:val="18"/>
                <w:szCs w:val="18"/>
                <w:color w:val="auto"/>
              </w:rPr>
            </w:pPr>
          </w:p>
        </w:tc>
        <w:tc>
          <w:tcPr>
            <w:tcW w:w="8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6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8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200" w:type="dxa"/>
            <w:vAlign w:val="bottom"/>
            <w:tcBorders>
              <w:top w:val="single" w:sz="8" w:color="CCEEFF"/>
            </w:tcBorders>
            <w:gridSpan w:val="13"/>
          </w:tcPr>
          <w:p>
            <w:pPr>
              <w:jc w:val="center"/>
              <w:ind w:left="33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November 1,</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r>
      <w:tr>
        <w:trPr>
          <w:trHeight w:val="238"/>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83,275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70,774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15,566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13,461</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138,146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125,172</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111,722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91,268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62,287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54,498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326,499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289,956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285,862</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16,538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19,853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27,271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14,163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15,697</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83,521</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86,424</w:t>
            </w:r>
          </w:p>
        </w:tc>
      </w:tr>
      <w:tr>
        <w:trPr>
          <w:trHeight w:val="216"/>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90,943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69,518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November 1, 2025, February 1, 2025 and November 2, 2024</w:t>
            </w: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12,992,650, 13,257,131, and 13,445,191 shares, respectively</w:t>
            </w:r>
          </w:p>
        </w:tc>
        <w:tc>
          <w:tcPr>
            <w:tcW w:w="16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61,339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62,511</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(11,548)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(11,811)</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77,738</w:t>
            </w:r>
          </w:p>
        </w:tc>
        <w:tc>
          <w:tcPr>
            <w:tcW w:w="100" w:type="dxa"/>
            <w:vAlign w:val="bottom"/>
          </w:tcPr>
          <w:p>
            <w:pPr>
              <w:spacing w:after="0"/>
              <w:rPr>
                <w:sz w:val="18"/>
                <w:szCs w:val="18"/>
                <w:color w:val="auto"/>
              </w:rPr>
            </w:pPr>
          </w:p>
        </w:tc>
      </w:tr>
      <w:tr>
        <w:trPr>
          <w:trHeight w:val="209"/>
        </w:trPr>
        <w:tc>
          <w:tcPr>
            <w:tcW w:w="6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150,617</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326,499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289,956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285,862</w:t>
            </w: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2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360" w:type="dxa"/>
            <w:vAlign w:val="bottom"/>
            <w:gridSpan w:val="6"/>
          </w:tcPr>
          <w:p>
            <w:pPr>
              <w:jc w:val="center"/>
              <w:ind w:left="225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23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Borders>
              <w:top w:val="single" w:sz="8" w:color="auto"/>
            </w:tcBorders>
            <w:gridSpan w:val="3"/>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November 1,</w:t>
            </w:r>
          </w:p>
        </w:tc>
        <w:tc>
          <w:tcPr>
            <w:tcW w:w="112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November 1,</w:t>
            </w:r>
          </w:p>
        </w:tc>
        <w:tc>
          <w:tcPr>
            <w:tcW w:w="112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21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112,268</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346,492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320,826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8,942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21,858</w:t>
            </w: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1,469</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375,321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51,778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50,116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147,138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9,210</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968</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55,314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51,668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165,268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148,442</w:t>
            </w: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2,607</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9,548</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19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2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36,814</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0.62</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gridSpan w:val="2"/>
            <w:vMerge w:val="continue"/>
          </w:tcPr>
          <w:p>
            <w:pPr>
              <w:spacing w:after="0"/>
              <w:rPr>
                <w:sz w:val="20"/>
                <w:szCs w:val="20"/>
                <w:color w:val="auto"/>
              </w:rPr>
            </w:pPr>
          </w:p>
        </w:tc>
        <w:tc>
          <w:tcPr>
            <w:tcW w:w="19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2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2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13,010,074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13,425,332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13,067,330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13,672,416</w:t>
            </w:r>
          </w:p>
        </w:tc>
        <w:tc>
          <w:tcPr>
            <w:tcW w:w="0" w:type="dxa"/>
            <w:vAlign w:val="bottom"/>
          </w:tcPr>
          <w:p>
            <w:pPr>
              <w:spacing w:after="0"/>
              <w:rPr>
                <w:sz w:val="1"/>
                <w:szCs w:val="1"/>
                <w:color w:val="auto"/>
              </w:rPr>
            </w:pP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13,051,523</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13,461,983</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13,108,377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13,712,461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November 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30,107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10,983</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(7,085)</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(4,891)</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(3,077)</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(2,438)</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(9,571)</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common stock for employee equity awards, net of tax</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(23,181)</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(33,386)</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(15,372)</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28,955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28,558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28,955</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696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United States Securities and Exchange Commission (“SEC”). Certain information and footnote disclosures normally included in financial statements prepared in accordance with United States ("U.S.") generally accepted accounting principles (“GAAP”) have been condensed or omitted pursuant to such rules and regulations. The condensed consolidated balance sheet of the Company as of February 1, 2025,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1, 2025, which were included in the Company’s Annual Report on Form 10-K filed with the SEC on April 17,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February 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direct-to-consumer ("DTC")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92% of consolidated revenue for the third quarter of fiscal 2025.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through three reportable segments.</w:t>
      </w:r>
    </w:p>
    <w:p>
      <w:pPr>
        <w:spacing w:after="0" w:line="227" w:lineRule="exact"/>
        <w:rPr>
          <w:sz w:val="20"/>
          <w:szCs w:val="20"/>
          <w:color w:val="auto"/>
        </w:rPr>
      </w:pPr>
    </w:p>
    <w:p>
      <w:pPr>
        <w:ind w:right="100" w:firstLine="8"/>
        <w:spacing w:after="0" w:line="274" w:lineRule="auto"/>
        <w:tabs>
          <w:tab w:leader="none" w:pos="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direct-to-consumer segment includes the operating activities of corporately-managed stores,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 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consumers.</w:t>
      </w:r>
    </w:p>
    <w:p>
      <w:pPr>
        <w:spacing w:after="0" w:line="17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consumers’ redemption pattern using an estimated breakage rate based on historical experience. Subsequent to stores reopening following shutdowns caused by the pandemic, the Company experienced lower redemptions of its gift cards for all periods of outstanding activated cards compared to pre-pandemic redemption patterns (fiscal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at other times if significant changes in consumer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2024 would have resulted in a change in breakage revenue of $1.1 million.</w:t>
      </w:r>
    </w:p>
    <w:p>
      <w:pPr>
        <w:spacing w:after="0" w:line="182"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United Kingdom (the "U.K.") with certificates historically expiring in four months if not redeemed. The Company assesses the redemption rates of its certifications on a quarterly basis to update the rate at which loyalty program points turn into certifications and the rate that certifications are redeemed. The Company classifies contract liabilities related to the loyalty program as deferred revenue and other on the consolidated balance sheet.</w:t>
      </w:r>
    </w:p>
    <w:p>
      <w:pPr>
        <w:spacing w:after="0" w:line="173" w:lineRule="exact"/>
        <w:rPr>
          <w:sz w:val="20"/>
          <w:szCs w:val="20"/>
          <w:color w:val="auto"/>
        </w:rPr>
      </w:pPr>
    </w:p>
    <w:p>
      <w:pPr>
        <w:ind w:right="20" w:firstLine="8"/>
        <w:spacing w:after="0" w:line="254"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 segment includes transactions with other businesses and is mainly comprised of licensing the Company’s intellectual properties for third-party use and wholesale sales of merchandise, including supplies and fixtures. The license agreements provide the customer with highly interrelated rights including the Build-A-Bear retail operations proprietary process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 Revenue for wholesale sales is recognized when control of the merchandise or fixtures is transferred to the customer, which generally occurs upon delivery to the customer.</w:t>
      </w:r>
    </w:p>
    <w:p>
      <w:pPr>
        <w:spacing w:after="0" w:line="1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and thirty-nine weeks ended November 1, 2025 are not material to the financial statements.</w:t>
      </w:r>
    </w:p>
    <w:p>
      <w:pPr>
        <w:spacing w:after="0" w:line="18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for “expected” credit losses on financial instruments and other commitments to extend credit rather than the “incurred loss” model. These expected credit losses for financial assets held at the reporting date are to be based on historical experience, current conditions and reasonable and supportable forecasts. For the thirty-nine weeks ended November 1, 2025 and November 2, 2024, the Company's accounts receivable are net of $7.1 million and $6.8 million, inclusive of the allowance for credit losses and the reserve for the UK's customs authority "HMRC" matter of $3.6 million and $3.4 million, respectively. See Note 12 for further discussion of the HMRC matter.</w:t>
      </w:r>
    </w:p>
    <w:p>
      <w:pPr>
        <w:sectPr>
          <w:pgSz w:w="11900" w:h="16838" w:orient="portrait"/>
          <w:cols w:equalWidth="0" w:num="1">
            <w:col w:w="11240"/>
          </w:cols>
          <w:pgMar w:left="320" w:top="121" w:right="339" w:bottom="362"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6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thirty-nine weeks ended November 1, 2025 and November 2, 2024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November 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32,337</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costs</w:t>
            </w:r>
          </w:p>
        </w:tc>
        <w:tc>
          <w:tcPr>
            <w:tcW w:w="1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680" w:hanging="47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thirty-nine weeks ended November 1, 2025 and November 2, 2024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November 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November 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r>
      <w:tr>
        <w:trPr>
          <w:trHeight w:val="238"/>
        </w:trPr>
        <w:tc>
          <w:tcPr>
            <w:tcW w:w="2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November 1, 2025 and November 2, 2024, the weighted-average remaining operating lease term was 6.1 years and 5.7 years, respectively, and the weighted-average discount rate was 7.0% and 7.2%, respectively, for operating leases recognized on the Company's condensed consolidated balance sheets.</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value of our operating lease asset was $111.7 million and $91.3 million as of November 1, 2025 and November 2, 2024, respectively. The increase was driven by the Company entering into leases for new stores as well as securing longer-term extensions for existing stores resulting in contracts with more favorable terms.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the thirteen and thirty-nine weeks ended November 1, 2025 and the thirteen and thirty-nine weeks ended November 2, 2024 the Company incurred no impairment charges against its right-of-use operating lease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15,168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32,273</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22,848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17,447</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13,852</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43,323</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144,911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(26,697)</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118,214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(27,271)</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90,943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1" w:right="419" w:bottom="592"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592"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1,</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r>
      <w:tr>
        <w:trPr>
          <w:trHeight w:val="238"/>
        </w:trPr>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2,626</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6,784</w:t>
            </w:r>
          </w:p>
        </w:tc>
      </w:tr>
      <w:tr>
        <w:trPr>
          <w:trHeight w:val="20"/>
        </w:trPr>
        <w:tc>
          <w:tcPr>
            <w:tcW w:w="3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11,982</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information technology maintenance contracts and software as a service.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1,</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r>
      <w:tr>
        <w:trPr>
          <w:trHeight w:val="238"/>
        </w:trPr>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Entertainment production asset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4,384</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1,684</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1,679</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3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6,286</w:t>
            </w:r>
          </w:p>
        </w:tc>
      </w:tr>
      <w:tr>
        <w:trPr>
          <w:trHeight w:val="20"/>
        </w:trPr>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line="261" w:lineRule="auto"/>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 asset includes the direct costs, production overhead and development costs in producing entertainment assets such as films or music.</w:t>
      </w:r>
    </w:p>
    <w:p>
      <w:pPr>
        <w:ind w:left="920" w:hanging="359"/>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1,</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8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15,310</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46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1,002</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19,994</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 - other consists of costs associated with legal accruals.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 April 14, 2020, the Company's Board of Directors (the “Board”) adopted, subject to stockholder approval, the Build-A-Bear Workshop, Inc. 2020 Omnibus Incentive Plan (the “2020 Incentive Plan”). On June 11, 2020, the Company’s stockholders approved the 2020 Incentive Plan. On</w:t>
      </w:r>
    </w:p>
    <w:p>
      <w:pPr>
        <w:spacing w:after="0" w:line="251" w:lineRule="auto"/>
        <w:rPr>
          <w:sz w:val="20"/>
          <w:szCs w:val="20"/>
          <w:color w:val="auto"/>
        </w:rPr>
      </w:pPr>
      <w:r>
        <w:rPr>
          <w:rFonts w:ascii="Times New Roman" w:cs="Times New Roman" w:eastAsia="Times New Roman" w:hAnsi="Times New Roman"/>
          <w:sz w:val="18"/>
          <w:szCs w:val="18"/>
          <w:color w:val="auto"/>
        </w:rPr>
        <w:t>April 11, 2023, the Board adopted, subject to stockholder approval, the Build-A-Bear Workshop, Inc. Amended and Restated 2020 Omnibus Incentive Plan (the “Restated 2020 Incentive Plan”). On June 8, 2023, at the Company’s 2023 Annual Meeting of Stockholders, the Company’s stockholders approved the Restated 2020 Incentive Plan. The Restated 2020 Incentive Plan, which is administered by the Compensation and Human Capital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9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November 1, 2025 and November 2, 2024, selling, general and administrative expense included stock-based compensation expense of $1.0 million and $0.7 million, respectively. For the thirty-nine weeks ended November 1, 2025 and November 2, 2024, selling, general, and administrative expense included stock-based compensation expense of $2.2 million and $1.7 million, respectively. As of November 1, 2025, there was $6.4 million of total unrecognized compensation expense related to unvested restricted stock awards which is expected to be recognized over a weighted-average period of 1.9 years.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1, 2025, and, February 1, 2025 the Company had no outstanding stock options.</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thirty-nine weeks ended November 1, 2025:</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10"/>
        </w:trPr>
        <w:tc>
          <w:tcPr>
            <w:tcW w:w="334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Outstanding, February 1, 2025 </w:t>
            </w:r>
            <w:r>
              <w:rPr>
                <w:rFonts w:ascii="Times New Roman" w:cs="Times New Roman" w:eastAsia="Times New Roman" w:hAnsi="Times New Roman"/>
                <w:sz w:val="24"/>
                <w:szCs w:val="24"/>
                <w:color w:val="auto"/>
                <w:vertAlign w:val="superscript"/>
              </w:rPr>
              <w:t>(1)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46,228</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51,263</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31.46</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(59,386)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(11,572)</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Earned and vested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(61,222)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6"/>
                <w:szCs w:val="26"/>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Outstanding, November 1, 2025 </w:t>
            </w:r>
            <w:r>
              <w:rPr>
                <w:rFonts w:ascii="Times New Roman" w:cs="Times New Roman" w:eastAsia="Times New Roman" w:hAnsi="Times New Roman"/>
                <w:sz w:val="25"/>
                <w:szCs w:val="25"/>
                <w:color w:val="auto"/>
                <w:vertAlign w:val="superscript"/>
              </w:rPr>
              <w:t>(1)</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Performance-based restricted stock outstanding, granted, and forfeited are presented at 100% of target.</w:t>
      </w:r>
    </w:p>
    <w:p>
      <w:pPr>
        <w:spacing w:after="0" w:line="225"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thirty-nine weeks ended November 1, 2025 and November 2, 2024 was $2.5 million and $2.2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November 1, 2025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 consolidated pre-tax income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36,309</w:t>
            </w:r>
          </w:p>
        </w:tc>
      </w:tr>
      <w:tr>
        <w:trPr>
          <w:trHeight w:val="229"/>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- 2025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19,551</w:t>
            </w: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42,418</w:t>
            </w:r>
          </w:p>
        </w:tc>
      </w:tr>
      <w:tr>
        <w:trPr>
          <w:trHeight w:val="230"/>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revenue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22,840</w:t>
            </w: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- 2027 consolidated revenue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50,624</w:t>
            </w: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November 1, 2025</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171,742</w:t>
            </w:r>
          </w:p>
        </w:tc>
      </w:tr>
      <w:tr>
        <w:trPr>
          <w:trHeight w:val="20"/>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Company has analyzed the legislation and expects that the OBBBA will have an immaterial impact on our FY25 and FY26 effective tax rate. The Company is continuing to evaluate the impacts as additional information is provided.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effective tax rate was 24.3% and 21.6% for the thirteen and thirty-nine weeks ended November 1, 2025 compared</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to 24.5% and 24.1% for the thirteen and thirty-nine weeks ended November 2, 2024. The fiscal 2025 effective tax rate differed from the statutory rate of 21% primarily due to state income tax expense offset by the tax impact of equity awards vesting, the foreign-derived intangible income deduction and discrete benefits related to settlement of a prior period tax position. The fiscal 2024 effective tax rate differed from the statutory rate of 21% primarily due to state income tax expense partially offset by the tax impact of equity awards vesting. In addition, in the third quarter of fiscal 2025 and 2024, the Company remains in a full valuation allowance in certain foreign jurisdictions.</w:t>
      </w:r>
    </w:p>
    <w:p>
      <w:pPr>
        <w:sectPr>
          <w:pgSz w:w="11900" w:h="16838" w:orient="portrait"/>
          <w:cols w:equalWidth="0" w:num="1">
            <w:col w:w="11240"/>
          </w:cols>
          <w:pgMar w:left="320" w:top="121" w:right="33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November 1, 2025 and November 2, 2024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1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thirteen weeks ended November 1, 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thirteen weeks ended November 2,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700" w:type="dxa"/>
            <w:vAlign w:val="bottom"/>
          </w:tcPr>
          <w:p>
            <w:pPr>
              <w:spacing w:after="0"/>
              <w:rPr>
                <w:sz w:val="24"/>
                <w:szCs w:val="24"/>
                <w:color w:val="auto"/>
              </w:rPr>
            </w:pPr>
          </w:p>
        </w:tc>
        <w:tc>
          <w:tcPr>
            <w:tcW w:w="122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8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100" w:type="dxa"/>
            <w:vAlign w:val="bottom"/>
          </w:tcPr>
          <w:p>
            <w:pPr>
              <w:spacing w:after="0"/>
              <w:rPr>
                <w:sz w:val="24"/>
                <w:szCs w:val="24"/>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vMerge w:val="restart"/>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$ 61,701</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(11,304)</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6"/>
              </w:rPr>
              <w:t>$ 104,866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$ 155,395</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$ 62,831</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(11,913)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74,737</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$ 125,791</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(9,405)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(4,166)</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(4,833)</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(2,887)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(2,704)</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(2,704)</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(244)</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8,122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9,871</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9,871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$ 61,339</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(11,548)</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6"/>
              </w:rPr>
              <w:t>$ 100,696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$ 150,617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$ 62,511</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(11,811)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77,738</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$ 128,573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thirty-nine weeks ended November 1, 2025 and November 2,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1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thirty-nine weeks ended November 1, 2025</w:t>
            </w:r>
          </w:p>
        </w:tc>
        <w:tc>
          <w:tcPr>
            <w:tcW w:w="100" w:type="dxa"/>
            <w:vAlign w:val="bottom"/>
          </w:tcPr>
          <w:p>
            <w:pPr>
              <w:spacing w:after="0"/>
              <w:rPr>
                <w:sz w:val="18"/>
                <w:szCs w:val="18"/>
                <w:color w:val="auto"/>
              </w:rPr>
            </w:pPr>
          </w:p>
        </w:tc>
        <w:tc>
          <w:tcPr>
            <w:tcW w:w="3920" w:type="dxa"/>
            <w:vAlign w:val="bottom"/>
            <w:gridSpan w:val="1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For the thirty-nine weeks ended November 2, 2024</w:t>
            </w:r>
          </w:p>
        </w:tc>
        <w:tc>
          <w:tcPr>
            <w:tcW w:w="0" w:type="dxa"/>
            <w:vAlign w:val="bottom"/>
          </w:tcPr>
          <w:p>
            <w:pPr>
              <w:spacing w:after="0"/>
              <w:rPr>
                <w:sz w:val="1"/>
                <w:szCs w:val="1"/>
                <w:color w:val="auto"/>
              </w:rPr>
            </w:pPr>
          </w:p>
        </w:tc>
      </w:tr>
      <w:tr>
        <w:trPr>
          <w:trHeight w:val="396"/>
        </w:trPr>
        <w:tc>
          <w:tcPr>
            <w:tcW w:w="3060" w:type="dxa"/>
            <w:vAlign w:val="bottom"/>
          </w:tcPr>
          <w:p>
            <w:pPr>
              <w:spacing w:after="0"/>
              <w:rPr>
                <w:sz w:val="24"/>
                <w:szCs w:val="24"/>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AOCI</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AOCI</w:t>
            </w:r>
          </w:p>
        </w:tc>
        <w:tc>
          <w:tcPr>
            <w:tcW w:w="92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6"/>
                <w:szCs w:val="16"/>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 w:type="dxa"/>
            <w:vAlign w:val="bottom"/>
          </w:tcPr>
          <w:p>
            <w:pPr>
              <w:spacing w:after="0"/>
              <w:rPr>
                <w:sz w:val="16"/>
                <w:szCs w:val="16"/>
                <w:color w:val="auto"/>
              </w:rPr>
            </w:pP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9"/>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40" w:type="dxa"/>
            <w:vAlign w:val="bottom"/>
            <w:gridSpan w:val="2"/>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40" w:type="dxa"/>
            <w:vAlign w:val="bottom"/>
            <w:gridSpan w:val="2"/>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$ 61,987</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6"/>
              </w:rPr>
              <w:t>$ (12,554)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89,516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$ 139,082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$ 66,330</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6"/>
              </w:rPr>
              <w:t>$ (12,082)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$ 129,662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1,103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1,094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1,085</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1,016</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(1,266)</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(2,089)</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(1,570)</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(15,944)</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(17,517)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(3,840)</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(19,333)</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(23,181)</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(8,684)</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(8,684)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(8,269)</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(8,269)</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35,808</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35,808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30,107</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$ 61,339</w:t>
            </w:r>
          </w:p>
        </w:tc>
        <w:tc>
          <w:tcPr>
            <w:tcW w:w="2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 (11,548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$ 150,617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$ 62,511</w:t>
            </w:r>
          </w:p>
        </w:tc>
        <w:tc>
          <w:tcPr>
            <w:tcW w:w="2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 (11,811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77,738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$ 128,573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18"/>
          <w:szCs w:val="18"/>
          <w:color w:val="auto"/>
        </w:rPr>
        <w:t>During the thirteen and thirty-nine weeks ended November 1, 2025, the Company utilized $10.1 million in cash to repurchase 168,456 shares and utilized $17.4 million in cash to repurchase 336,041 shares, respectively, under its $100 million dollar stock repurchase program that was authorized by the Board on September 11, 2024 (the "September 2024 Stock Repurchase Program"). Between the end of the third fiscal quarter of 2025 and December</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8, 2025, the Company utilized an additional $2.4 million in cash to repurchase 46,831 under the September 2024 Stock Repurchase Program, leaving the aggregate $71.8 million available for future repurchases under that plan. For the thirteen and thirty-nine weeks ended November 1, 2025,</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authorized cash dividends to shareholders of $2.9 million and $8.7 million, respectively. Additionally, on November 12, 2025, the Board declared a quarterly cash dividend of $0.22 per share on the issued and outstanding common stock of the company. The dividend will be paid on January 8, 2026, to all stockholders of record as of November 26, 2025.</w:t>
      </w:r>
    </w:p>
    <w:p>
      <w:pPr>
        <w:spacing w:after="0" w:line="18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During the thirteen and thirty-nine weeks ended November 2, 2024, the Company utilized $4.8 million in cash to repurchase 147,917 shares and utilized $23.0 million in cash to repurchase 832,944 shares, respectively. During that quarter, the Company repurchased shares under two separate stock repurchase programs. For the thirteen weeks ending November 2, 2024, the company repurchased 73,274 shares utilizing $2.0 million in ash under the Company's $50.0 million program authorized by its Board of Directors on August 31, 2022 (the "August 2022 Stock Repurchase Program"). For the thirteen and thirty-nine weeks ended November 2, 2024, the company utilized $2.8 million in cash to repurchase 74,643 shares under the September 2024 Stock Repurchase Program. For the thirteen and thirty-nine weeks ended November 2, 2024, the Company's Board of Directors authorized cash dividends to shareholders of $2.7 million and $8.3 million, respectively.</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data):</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November 1,</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November 1,</w:t>
            </w: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7"/>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13,010,074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13,425,332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13,067,330</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13,672,416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41,047</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13,051,523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13,461,983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13,108,377</w:t>
            </w: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13,712,461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and thirty-nine weeks ended November 1, 2025, respectively, there were no and 23,753 shares of common stock that were outstanding at the end of the period that were not included in the computation of diluted income per share due to their anti-dilutive effect. For the thirteen and thirty-nine weeks ended November 2, 2024, respectively, there were 1,141 and 29,288 shares of common stock that were outstanding at the end of the period that were not included in the computation of diluted income per share due to their anti-dilutive effect.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loss balance on November 1, 2025 and November 2, 2024 was comprised entirely of foreign currency translation. For the thirteen weeks ended November 1, 2025 and November 2, 2024, the Company had no reclassifications out of accumulated other comprehensive loss.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the Republic of Ireland and the U.K., including the Company’s e-commerce sites and temporary stores. The commercial segment includes the Company’s transactions with other businesses, mainly comprised of licensing the Company’s intellectual properties for third-party use and wholesale sales to our partner-operated locations.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November 1, 2025</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122,679</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56,857</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65,822</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36,183</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29,639</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400" w:type="dxa"/>
            <w:vAlign w:val="bottom"/>
            <w:shd w:val="clear" w:color="auto" w:fill="CCEEFF"/>
          </w:tcPr>
          <w:p>
            <w:pPr>
              <w:ind w:left="180"/>
              <w:spacing w:after="0" w:line="210" w:lineRule="exact"/>
              <w:rPr>
                <w:sz w:val="20"/>
                <w:szCs w:val="20"/>
                <w:color w:val="auto"/>
              </w:rPr>
            </w:pPr>
            <w:r>
              <w:rPr>
                <w:rFonts w:ascii="Times New Roman" w:cs="Times New Roman" w:eastAsia="Times New Roman" w:hAnsi="Times New Roman"/>
                <w:sz w:val="15"/>
                <w:szCs w:val="15"/>
                <w:color w:val="auto"/>
              </w:rPr>
              <w:t>Overhead Expenses</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19,131</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10,729</w:t>
            </w:r>
          </w:p>
        </w:tc>
      </w:tr>
      <w:tr>
        <w:trPr>
          <w:trHeight w:val="197"/>
        </w:trPr>
        <w:tc>
          <w:tcPr>
            <w:tcW w:w="3400" w:type="dxa"/>
            <w:vAlign w:val="bottom"/>
            <w:tcBorders>
              <w:top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Thirteen weeks ended November 2, 2024</w:t>
            </w:r>
          </w:p>
        </w:tc>
        <w:tc>
          <w:tcPr>
            <w:tcW w:w="1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109,503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119,430</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1,005</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54,790</w:t>
            </w: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64,640</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32,199</w:t>
            </w: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32,441</w:t>
            </w:r>
          </w:p>
        </w:tc>
      </w:tr>
      <w:tr>
        <w:trPr>
          <w:trHeight w:val="216"/>
        </w:trPr>
        <w:tc>
          <w:tcPr>
            <w:tcW w:w="34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Overhead Expenses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19,469</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13,081</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Thirty-nine weeks ended November 1, 2025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346,492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375,321</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2,557</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165,002</w:t>
            </w: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14,648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210,319</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104,911</w:t>
            </w: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14,352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105,408</w:t>
            </w:r>
          </w:p>
        </w:tc>
      </w:tr>
      <w:tr>
        <w:trPr>
          <w:trHeight w:val="216"/>
        </w:trPr>
        <w:tc>
          <w:tcPr>
            <w:tcW w:w="34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Overhead Expenses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60,357</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45,678</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Thirty-nine weeks ended November 2, 2024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320,826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345,958</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158,584</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187,374</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95,139</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92,235</w:t>
            </w:r>
          </w:p>
        </w:tc>
      </w:tr>
      <w:tr>
        <w:trPr>
          <w:trHeight w:val="216"/>
        </w:trPr>
        <w:tc>
          <w:tcPr>
            <w:tcW w:w="34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Overhead Expenses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53,303</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39,655</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Overhead expenses contain selling, general and administrative expenses not attributable to a segment.</w:t>
      </w:r>
    </w:p>
    <w:p>
      <w:pPr>
        <w:sectPr>
          <w:pgSz w:w="11900" w:h="16838" w:orient="portrait"/>
          <w:cols w:equalWidth="0" w:num="1">
            <w:col w:w="11080"/>
          </w:cols>
          <w:pgMar w:left="320" w:top="121" w:right="499" w:bottom="1440" w:gutter="0" w:footer="0" w:header="0"/>
        </w:sect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 depreciation and amortization, and capital expenditures for the Company's segments, as well as for Corporate and support,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16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8"/>
        </w:trPr>
        <w:tc>
          <w:tcPr>
            <w:tcW w:w="19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Thirteen weeks ended</w:t>
            </w: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2025</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1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2,632</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1,035</w:t>
            </w: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3,699</w:t>
            </w: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6,544</w:t>
            </w:r>
          </w:p>
        </w:tc>
      </w:tr>
      <w:tr>
        <w:trPr>
          <w:trHeight w:val="198"/>
        </w:trPr>
        <w:tc>
          <w:tcPr>
            <w:tcW w:w="1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Thirteen weeks ended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 2024</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2,637</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996</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3,688</w:t>
            </w:r>
          </w:p>
        </w:tc>
      </w:tr>
      <w:tr>
        <w:trPr>
          <w:trHeight w:val="216"/>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2,618</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1,253</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3,871</w:t>
            </w:r>
          </w:p>
        </w:tc>
      </w:tr>
      <w:tr>
        <w:trPr>
          <w:trHeight w:val="216"/>
        </w:trPr>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1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Thirty-nine weeks ended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2025</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221,198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14,364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88,961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326,499</w:t>
            </w:r>
          </w:p>
        </w:tc>
      </w:tr>
      <w:tr>
        <w:trPr>
          <w:trHeight w:val="198"/>
        </w:trPr>
        <w:tc>
          <w:tcPr>
            <w:tcW w:w="1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8,057</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2,904</w:t>
            </w: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11,067</w:t>
            </w: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12,871</w:t>
            </w:r>
          </w:p>
        </w:tc>
      </w:tr>
      <w:tr>
        <w:trPr>
          <w:trHeight w:val="198"/>
        </w:trPr>
        <w:tc>
          <w:tcPr>
            <w:tcW w:w="1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Thirty-nine weeks ended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 2024</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197,080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74,611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285,862</w:t>
            </w:r>
          </w:p>
        </w:tc>
      </w:tr>
      <w:tr>
        <w:trPr>
          <w:trHeight w:val="198"/>
        </w:trPr>
        <w:tc>
          <w:tcPr>
            <w:tcW w:w="1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7,844</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2,978</w:t>
            </w: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10,983</w:t>
            </w: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9,571</w:t>
            </w: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America </w:t>
            </w:r>
            <w:r>
              <w:rPr>
                <w:rFonts w:ascii="Times New Roman" w:cs="Times New Roman" w:eastAsia="Times New Roman" w:hAnsi="Times New Roman"/>
                <w:sz w:val="27"/>
                <w:szCs w:val="27"/>
                <w:b w:val="1"/>
                <w:bCs w:val="1"/>
                <w:color w:val="auto"/>
                <w:vertAlign w:val="superscript"/>
              </w:rPr>
              <w:t>(1)</w:t>
            </w:r>
          </w:p>
        </w:tc>
        <w:tc>
          <w:tcPr>
            <w:tcW w:w="160" w:type="dxa"/>
            <w:vAlign w:val="bottom"/>
          </w:tcPr>
          <w:p>
            <w:pPr>
              <w:spacing w:after="0"/>
              <w:rPr>
                <w:sz w:val="20"/>
                <w:szCs w:val="20"/>
                <w:color w:val="auto"/>
              </w:rPr>
            </w:pPr>
          </w:p>
        </w:tc>
        <w:tc>
          <w:tcPr>
            <w:tcW w:w="1260" w:type="dxa"/>
            <w:vAlign w:val="bottom"/>
            <w:gridSpan w:val="2"/>
          </w:tcPr>
          <w:p>
            <w:pPr>
              <w:jc w:val="right"/>
              <w:ind w:right="4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Europe </w:t>
            </w:r>
            <w:r>
              <w:rPr>
                <w:rFonts w:ascii="Times New Roman" w:cs="Times New Roman" w:eastAsia="Times New Roman" w:hAnsi="Times New Roman"/>
                <w:sz w:val="27"/>
                <w:szCs w:val="27"/>
                <w:b w:val="1"/>
                <w:bCs w:val="1"/>
                <w:color w:val="auto"/>
                <w:vertAlign w:val="superscript"/>
              </w:rPr>
              <w:t>(2)</w:t>
            </w:r>
          </w:p>
        </w:tc>
        <w:tc>
          <w:tcPr>
            <w:tcW w:w="180" w:type="dxa"/>
            <w:vAlign w:val="bottom"/>
          </w:tcPr>
          <w:p>
            <w:pPr>
              <w:spacing w:after="0"/>
              <w:rPr>
                <w:sz w:val="20"/>
                <w:szCs w:val="20"/>
                <w:color w:val="auto"/>
              </w:rPr>
            </w:pPr>
          </w:p>
        </w:tc>
        <w:tc>
          <w:tcPr>
            <w:tcW w:w="1220" w:type="dxa"/>
            <w:vAlign w:val="bottom"/>
            <w:gridSpan w:val="2"/>
          </w:tcPr>
          <w:p>
            <w:pPr>
              <w:jc w:val="right"/>
              <w:ind w:right="4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November 1, 2025</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18,143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122,679</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November 2, 2024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100,835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16,080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119,430</w:t>
            </w: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Thirty-nine weeks ended November 1, 2025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321,029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49,545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375,321</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57,587</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62,287</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Thirty-nine weeks ended November 2, 2024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297,052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44,541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345,958</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50,585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54,498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and sales to wholesale customers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the Republic of Ireland and sales to wholesale customers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wholesale and franchise businesses outside of North America and Europe.</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November 1, 2025, the Company had a gross receivable balance of $4.6 million and a reserve of $3.6 million, leaving a net receivable of $1.0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February 1, 2025, as filed with the SEC, and include the following:</w:t>
      </w:r>
    </w:p>
    <w:p>
      <w:pPr>
        <w:spacing w:after="0" w:line="180" w:lineRule="exact"/>
        <w:rPr>
          <w:sz w:val="20"/>
          <w:szCs w:val="20"/>
          <w:color w:val="auto"/>
        </w:rPr>
      </w:pPr>
    </w:p>
    <w:p>
      <w:pPr>
        <w:ind w:left="480" w:right="240" w:hanging="175"/>
        <w:spacing w:after="0" w:line="257"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22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impact of tariffs on countries from which we import is expected to have an impact on our business, mainly our cost of goods and profit margin;</w:t>
      </w:r>
    </w:p>
    <w:p>
      <w:pPr>
        <w:ind w:left="480" w:right="66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various significant competitive threats;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pandemics or epidemics could negatively impact our business, financial position and results of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 prices;</w:t>
      </w:r>
    </w:p>
    <w:p>
      <w:pPr>
        <w:spacing w:after="0" w:line="9" w:lineRule="exact"/>
        <w:rPr>
          <w:rFonts w:ascii="Times New Roman" w:cs="Times New Roman" w:eastAsia="Times New Roman" w:hAnsi="Times New Roman"/>
          <w:sz w:val="18"/>
          <w:szCs w:val="18"/>
          <w:color w:val="auto"/>
        </w:rPr>
      </w:pPr>
    </w:p>
    <w:p>
      <w:pPr>
        <w:ind w:left="480" w:right="8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14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renew, renegotiate or replace our store leases or enter into leases for new stores on favorable terms, or if we violate any of the terms of our current leases, our revenue and profitability could be harmed;</w:t>
      </w:r>
    </w:p>
    <w:p>
      <w:pPr>
        <w:ind w:left="480" w:right="96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formats and business</w:t>
      </w:r>
    </w:p>
    <w:p>
      <w:pPr>
        <w:spacing w:after="0" w:line="9" w:lineRule="exact"/>
        <w:rPr>
          <w:rFonts w:ascii="Times New Roman" w:cs="Times New Roman" w:eastAsia="Times New Roman" w:hAnsi="Times New Roman"/>
          <w:sz w:val="18"/>
          <w:szCs w:val="18"/>
          <w:color w:val="auto"/>
        </w:rPr>
      </w:pPr>
    </w:p>
    <w:p>
      <w:pPr>
        <w:ind w:left="48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models in accordance with our strategic goals or otherwise effectively manage our overall portfolio of stores which could adversely affect our ability to grow and could significantly harm our profitability;</w:t>
      </w:r>
    </w:p>
    <w:p>
      <w:pPr>
        <w:ind w:left="480" w:right="32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40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ind w:left="480" w:right="26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480" w:right="14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effectively manage our international partner-operated locations, attract new partners or if the laws relating to our international partners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jc w:val="both"/>
        <w:ind w:left="460" w:right="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60" w:right="14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60" w:right="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jc w:val="both"/>
        <w:ind w:left="4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cause us to be unable to repurchase shares at all, at the times or in the amounts we desire, cause the results of our share repurchase program may not be as beneficial as we would like, or cause us to discontinue our quarterly dividend program;</w:t>
      </w:r>
    </w:p>
    <w:p>
      <w:pPr>
        <w:spacing w:after="0" w:line="1" w:lineRule="exact"/>
        <w:rPr>
          <w:rFonts w:ascii="Times New Roman" w:cs="Times New Roman" w:eastAsia="Times New Roman" w:hAnsi="Times New Roman"/>
          <w:sz w:val="18"/>
          <w:szCs w:val="18"/>
          <w:color w:val="auto"/>
        </w:rPr>
      </w:pPr>
    </w:p>
    <w:p>
      <w:pPr>
        <w:ind w:left="460" w:hanging="169"/>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low market capitalization can cause the market price of our common stock to become volatile;</w:t>
      </w:r>
    </w:p>
    <w:p>
      <w:pPr>
        <w:spacing w:after="0" w:line="9" w:lineRule="exact"/>
        <w:rPr>
          <w:rFonts w:ascii="Times New Roman" w:cs="Times New Roman" w:eastAsia="Times New Roman" w:hAnsi="Times New Roman"/>
          <w:sz w:val="18"/>
          <w:szCs w:val="18"/>
          <w:color w:val="auto"/>
        </w:rPr>
      </w:pPr>
    </w:p>
    <w:p>
      <w:pPr>
        <w:ind w:left="460" w:right="42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60" w:right="140" w:hanging="169"/>
        <w:spacing w:after="0" w:line="26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1" w:right="339" w:bottom="771"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71"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were formed in 1997 as a mall-based, experiential specialty retailer. Build-A-Bear has since evolved to become a beloved multi-generational brand focused on its mission to “add a little more heart to life” where guests of all ages make their own “furry friends” in celebration and commemoration of life moments. Guests create their own stuffed animals by participating in the stuffing, dressing, accessorizing, and naming of their own teddy bears and other plush toys based on the Company’s own intellectual property and in conjunction with a variety of best-in-class licenses. The hands-on and interactive nature of our more than 600 company-owned, partner-operated and franchise experience locations around the world, combined with Build-A-Bear’s pop-culture appeal, often fosters a lasting and emotional brand connection with consumers, and has enabled the Company to expand beyond its retail stores to include e-commerce sales on www.buildabear.com and non-plush branded consumer categories via out-bound licensing agreements with leading manufacturers, as well as the creation of engaging content via Build-A-Bear Entertainment (a subsidiary of Build-A-Bear Workshop, Inc.). Over the last</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28 years, Build-A-Bear has become a brand with high consumer awareness, positive affinity, and strong retail influence by leveraging our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partner-operated and franchised locations, particularly for our international expansion. Our ongoing digital transformation, which touches our e-commerce business, consumer loyalty program and digital marketing and content, has led to omni-channel growth over the past several years. Build-A-Bear's pop-culture appeal has played a key role in growing our total addressable market beyond children by adding teens and adults with entertainment and sports licensing, collectible and gifting offerings, as well as by introducing new products and adding categories beyond plush.</w:t>
      </w:r>
    </w:p>
    <w:p>
      <w:pPr>
        <w:spacing w:after="0" w:line="194"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primarily operate through a vertical retail channel with corporately-managed, partner-operated, and franchise locations that feature a unique combination of experience and product in which guests can “make their own stuffed animals.” We also operate buildabear.com and buildaber.co.uk, which both serves as an information and communications tool to plan a store visit as well as an e-commerce site that focuses on gift-giving, collectible merchandise, and licensed products that appeal to consumers that have an affinity for characters from a range of entertainment, sports, art, and gaming properties. Our retail stores also act as mini distribution centers that provide efficient omnichannel fulfillment for our digital demand. The primary consumer target for our brick-and-mortar locations is families with children, while our e-commerce sites focus on collectors and gift givers that are primarily tweens, teens, and adults. Additionally, we offer products in non-plush consumer categories via outbound licensing agreements with leading manufacturers.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strategy includes leveraging our brand strength to continue to evolve our brick-and-mortar retail footprint with a versatile range of formats and locations, including tourist destinations, expanding into international markets primarily via our partner-operated and franchise store models, and growing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with tweens, teens and adults.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November 1, 2025, we had 375 corporately-managed stores globally, 168 partner-operated locations operating through our partner-operated model in which we sell our products on a wholesale basis to other companies that execute our retail experience, and 108 international franchised stores, all under the Build-A-Bear Workshop brand. We also operate a limited number of seasonal locations. In addition to these locations,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460" w:right="180" w:hanging="155"/>
        <w:spacing w:after="0" w:line="234" w:lineRule="auto"/>
        <w:tabs>
          <w:tab w:leader="none" w:pos="4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Direct-to-Consumer (“DTC”) – Corporately-managed retail stores located in the United States (the "U.S."), Canada, the United Kingdom ("U.K."), and the Republic of Ireland and two e-commerce sites;</w:t>
      </w:r>
    </w:p>
    <w:p>
      <w:pPr>
        <w:spacing w:after="0" w:line="1" w:lineRule="exact"/>
        <w:rPr>
          <w:rFonts w:ascii="Times New Roman" w:cs="Times New Roman" w:eastAsia="Times New Roman" w:hAnsi="Times New Roman"/>
          <w:sz w:val="22"/>
          <w:szCs w:val="22"/>
          <w:color w:val="auto"/>
        </w:rPr>
      </w:pPr>
    </w:p>
    <w:p>
      <w:pPr>
        <w:ind w:left="460" w:right="480" w:hanging="155"/>
        <w:spacing w:after="0" w:line="225" w:lineRule="auto"/>
        <w:tabs>
          <w:tab w:leader="none" w:pos="4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partner-operated locations and licensing our intellectual property, including entertainment properties, for third-party manufacturing and sales; and</w:t>
      </w:r>
    </w:p>
    <w:p>
      <w:pPr>
        <w:ind w:left="460" w:hanging="155"/>
        <w:spacing w:after="0" w:line="204" w:lineRule="auto"/>
        <w:tabs>
          <w:tab w:leader="none" w:pos="4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products and fixtures sales from other international operations under franchise agreements.</w:t>
      </w:r>
    </w:p>
    <w:p>
      <w:pPr>
        <w:spacing w:after="0" w:line="22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thirty-nine weeks ended November 1, 2025 and November 2, 2024 are set forth in the notes to our condensed consolidated financial statements included elsewhere in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experience locations that feature a unique combination of interactivity and product in which guests can “make their own stuffed animals” by participating in the stuffing, dressing, accessorizing and naming of their own teddy bears and other stuffed animals along with the now-famous "Heart Ceremony" that helps to make the experience memorable by bringing the furry friend to "life."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an age-gated adult-focused “Bear Cave” microsite. Our retail stores also act as “mini distribution centers” that provide efficient omnichannel support for our digital demand. The primary consumer target for our retail stores is families with children while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there are opportunities to extend the reach and size of our diverse consumer segments through expanded products and licensing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w:t>
      </w:r>
    </w:p>
    <w:p>
      <w:pPr>
        <w:spacing w:after="0" w:line="180"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initiatives and investments that were put in place prior to the pandemic, and in many cases, we accelerated during the pandemic, are driving improved results, as we delivered growth in total revenues and pretax profit in fiscal 2022, 2023 and 2024. To continue to drive revenue and profit growth, we remain focused on our strategic priorities, which are centered primarily on three key areas:</w:t>
      </w:r>
    </w:p>
    <w:p>
      <w:pPr>
        <w:spacing w:after="0" w:line="176" w:lineRule="exact"/>
        <w:rPr>
          <w:sz w:val="20"/>
          <w:szCs w:val="20"/>
          <w:color w:val="auto"/>
        </w:rPr>
      </w:pPr>
    </w:p>
    <w:p>
      <w:pPr>
        <w:ind w:left="580" w:right="160" w:hanging="235"/>
        <w:spacing w:after="0" w:line="254"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global expansion of our unique experience locations.</w:t>
      </w:r>
      <w:r>
        <w:rPr>
          <w:rFonts w:ascii="Times New Roman" w:cs="Times New Roman" w:eastAsia="Times New Roman" w:hAnsi="Times New Roman"/>
          <w:sz w:val="18"/>
          <w:szCs w:val="18"/>
          <w:color w:val="auto"/>
        </w:rPr>
        <w:t xml:space="preserve"> During the first thirty-nine weeks of fiscal 2025, we opened a net 52 Build-A-Bear Workshop retail experience locations, through a combination of corporately-managed, partner operated, and franchise business models. In fiscal 2025, we expect net new unit growth of at least 60 locations in North America and internationally through our three business models. We have made a concerted effort to shift to non-traditional locations, including family-centric tourist and hospitality sites, as well as asset-light partner-operated and franchise locations, and now have more than a third of total stores in non-traditional settings. While tourist sites have been and will remain a critical part of our location expansion strategy, recent research data supports our opportunity to reengage in profitable expansion in traditional locations on a more localized level, particularly given the numerous and flexible corporate store models we have developed in the past few years.</w:t>
      </w:r>
    </w:p>
    <w:p>
      <w:pPr>
        <w:spacing w:after="0" w:line="191" w:lineRule="exact"/>
        <w:rPr>
          <w:rFonts w:ascii="Times New Roman" w:cs="Times New Roman" w:eastAsia="Times New Roman" w:hAnsi="Times New Roman"/>
          <w:sz w:val="18"/>
          <w:szCs w:val="18"/>
          <w:color w:val="auto"/>
        </w:rPr>
      </w:pPr>
    </w:p>
    <w:p>
      <w:pPr>
        <w:ind w:left="580" w:right="360" w:hanging="235"/>
        <w:spacing w:after="0" w:line="258"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 our comprehensive digital transformation.</w:t>
      </w:r>
      <w:r>
        <w:rPr>
          <w:rFonts w:ascii="Times New Roman" w:cs="Times New Roman" w:eastAsia="Times New Roman" w:hAnsi="Times New Roman"/>
          <w:sz w:val="18"/>
          <w:szCs w:val="18"/>
          <w:color w:val="auto"/>
        </w:rPr>
        <w:t xml:space="preserve"> In addition to systems upgrades and e-commerce evolution, we have been enhancing our marketing and loyalty programs as well as creating digital content and entertainment initiatives to increase consumer engagement. Our digital transformation is also designed to elevate our business efficiency, integrate our consumer communications to acquire new guests and increase purchase occasions while expanding our total addressable market beyond our core kid base and to acquire tween, teen and adults with new offerings including gifting, personalization and licensed options.</w:t>
      </w:r>
    </w:p>
    <w:p>
      <w:pPr>
        <w:spacing w:after="0" w:line="183" w:lineRule="exact"/>
        <w:rPr>
          <w:rFonts w:ascii="Times New Roman" w:cs="Times New Roman" w:eastAsia="Times New Roman" w:hAnsi="Times New Roman"/>
          <w:sz w:val="18"/>
          <w:szCs w:val="18"/>
          <w:color w:val="auto"/>
        </w:rPr>
      </w:pPr>
    </w:p>
    <w:p>
      <w:pPr>
        <w:ind w:left="580" w:right="40" w:hanging="235"/>
        <w:spacing w:after="0" w:line="256"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Drive profitable growth through investment initiatives while maintaining a commitment to return capital to shareholders.</w:t>
      </w:r>
      <w:r>
        <w:rPr>
          <w:rFonts w:ascii="Times New Roman" w:cs="Times New Roman" w:eastAsia="Times New Roman" w:hAnsi="Times New Roman"/>
          <w:sz w:val="18"/>
          <w:szCs w:val="18"/>
          <w:color w:val="auto"/>
        </w:rPr>
        <w:t xml:space="preserve"> As corporate store operating margins have remained robust from higher levels of revenue combined with disciplined expense management, particularly considering recent inflationary pressures, wage and tariff increases and supply chain challenges, and as we continue to evolve our real estate portfolio with new locations and formats, plus shift to asset-light business models, our cash flows have meaningfully improved. This higher-level of cash flows has been used to increase support for key initiatives to deliver long-term profitable growth, while also returning capital to shareholders through dividends and share repurchases.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Corporately-Managed Locations:</w:t>
      </w:r>
    </w:p>
    <w:p>
      <w:pPr>
        <w:spacing w:after="0" w:line="229"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and Europe for the periods presented: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24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November 1, 2025</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80" w:type="dxa"/>
            <w:vAlign w:val="bottom"/>
          </w:tcPr>
          <w:p>
            <w:pPr>
              <w:spacing w:after="0"/>
              <w:rPr>
                <w:sz w:val="16"/>
                <w:szCs w:val="16"/>
                <w:color w:val="auto"/>
              </w:rPr>
            </w:pPr>
          </w:p>
        </w:tc>
        <w:tc>
          <w:tcPr>
            <w:tcW w:w="120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firstLine="648"/>
        <w:spacing w:after="0" w:line="261" w:lineRule="auto"/>
        <w:rPr>
          <w:sz w:val="20"/>
          <w:szCs w:val="20"/>
          <w:color w:val="auto"/>
        </w:rPr>
      </w:pPr>
      <w:r>
        <w:rPr>
          <w:rFonts w:ascii="Times New Roman" w:cs="Times New Roman" w:eastAsia="Times New Roman" w:hAnsi="Times New Roman"/>
          <w:sz w:val="18"/>
          <w:szCs w:val="18"/>
          <w:color w:val="auto"/>
        </w:rPr>
        <w:t>As of November 1, 2025, 53%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Partner-Operated Locations: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third-party retail locations opened and closed for the periods presented below is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09"/>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40" w:firstLine="648"/>
        <w:spacing w:after="0" w:line="258" w:lineRule="auto"/>
        <w:rPr>
          <w:sz w:val="20"/>
          <w:szCs w:val="20"/>
          <w:color w:val="auto"/>
        </w:rPr>
      </w:pPr>
      <w:r>
        <w:rPr>
          <w:rFonts w:ascii="Times New Roman" w:cs="Times New Roman" w:eastAsia="Times New Roman" w:hAnsi="Times New Roman"/>
          <w:sz w:val="18"/>
          <w:szCs w:val="18"/>
          <w:color w:val="auto"/>
        </w:rPr>
        <w:t>Through our partner-operated model, there were 168 stores in operation at the end of the third quarter of 2025 with relationships that included Carnival Cruise Line, Great Wolf Lodge Resorts, Landry's and Girl Scouts of the USA. The partner-operated model is capital light for us, with the partner company building out and operating the workshops including providing the real estate location and covering the cost of labor and inventory, which is purchased from us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November 1, 2025, we had five master franchise agreements, which typically grant franchise rights for a particular country or group of countries, covering a total of eight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periods(1)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 Count for both years include nine shop-in-shop locations in Australia not previously reported.</w:t>
      </w:r>
    </w:p>
    <w:p>
      <w:pPr>
        <w:spacing w:after="0" w:line="225" w:lineRule="exact"/>
        <w:rPr>
          <w:sz w:val="20"/>
          <w:szCs w:val="20"/>
          <w:color w:val="auto"/>
        </w:rPr>
      </w:pPr>
    </w:p>
    <w:p>
      <w:pPr>
        <w:ind w:lef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ectPr>
          <w:pgSz w:w="11900" w:h="16838" w:orient="portrait"/>
          <w:cols w:equalWidth="0" w:num="1">
            <w:col w:w="11140"/>
          </w:cols>
          <w:pgMar w:left="300" w:top="121" w:right="459" w:bottom="1440" w:gutter="0" w:footer="0" w:header="0"/>
        </w:sectPr>
      </w:pP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121"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8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November 1,</w:t>
            </w:r>
          </w:p>
        </w:tc>
        <w:tc>
          <w:tcPr>
            <w:tcW w:w="118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26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November 1,</w:t>
            </w:r>
          </w:p>
        </w:tc>
        <w:tc>
          <w:tcPr>
            <w:tcW w:w="122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retail sales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revenue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6"/>
                <w:szCs w:val="26"/>
                <w:color w:val="auto"/>
                <w:vertAlign w:val="superscript"/>
              </w:rPr>
              <w:t>(1)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40" w:hanging="372"/>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00" w:hanging="372"/>
        <w:spacing w:after="0" w:line="26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November 1, 2025 compared to thirteen weeks ended November 2, 2024</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$3.2 million or 2.7%, primarily driven by a $2.8 million or 2.5% increase in Net Retail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$0.4 million or 4% increase in Commercial revenue when compared to the third fiscal quarter of 2024. The increase in net retail sales was driven primarily by growth at existing stores and sales at new stores. The increased commercial revenue was due to higher sales to our wholesale customers, including sales to new wholesale customers resulting from the opening of 45 partner-operated locations since the third quarter of 2024.</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retail sales for the thirteen weeks ended November 1, 2025 were $112.3 million, compared to $109.5 million for the thirteen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2024. The components of the improved performance are as follows (dollars in thousands):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higher retail revenue performance was primarily the result of increased sales at existing stores and sales at new stores partially offset by the effect of store closures.</w:t>
      </w:r>
    </w:p>
    <w:p>
      <w:pPr>
        <w:sectPr>
          <w:pgSz w:w="11900" w:h="16838" w:orient="portrait"/>
          <w:cols w:equalWidth="0" w:num="1">
            <w:col w:w="11140"/>
          </w:cols>
          <w:pgMar w:left="320" w:top="121" w:right="439" w:bottom="1149" w:gutter="0" w:footer="0" w:header="0"/>
        </w:sectPr>
      </w:pP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149"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$8.9 million for the thirteen weeks ended November 1, 2025 compared to $8.6 million for the thirteen weeks ended November 2, 2024. The $0.4 million increase is primarily due to increased sales volume from our wholesale accounts through our partner-operated retail model.</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$1.5 million for the thirteen weeks ended November 1, 2025 compared to $1.3 million for the thirteen weeks ended November 2, 2024. The $0.2 million increase is primarily due to timing of product shipments.</w:t>
      </w:r>
    </w:p>
    <w:p>
      <w:pPr>
        <w:spacing w:after="0" w:line="160"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$1.1 million to $60.5 million from $59.4 million for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 2024. The retail gross margin rate decreased 30 basis points compared to the prior year driven primarily by improved merchandise margin compared to the third quarter of fiscal 2024.</w:t>
      </w:r>
    </w:p>
    <w:p>
      <w:pPr>
        <w:spacing w:after="0" w:line="17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$55.3 million, or 45.1% of consolidated revenue, for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 2025, compared to $51.7 million, or 43.3% of consolidated revenue, for the thirteen weeks ended November 2, 2024. The increase was driven by higher store-level compensation, corporate costs and general inflationary pressures. These increases were partially offset by favorable marketing expense timing.</w:t>
      </w:r>
    </w:p>
    <w:p>
      <w:pPr>
        <w:spacing w:after="0" w:line="180" w:lineRule="exact"/>
        <w:rPr>
          <w:sz w:val="20"/>
          <w:szCs w:val="20"/>
          <w:color w:val="auto"/>
        </w:rPr>
      </w:pPr>
    </w:p>
    <w:p>
      <w:pPr>
        <w:ind w:right="9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$0.2 million for the thirteen weeks ended November 1, 2025, compared to interest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for the thirteen weeks ended November 2, 2024.</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$2.6 million with a tax rate of 24.3% for the thirteen weeks ended November 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$3.2 million with a tax rate of 24.5% for the thirteen weeks ended November 2, 2024. The third quarter of fiscal 2025 effective tax rate differed from the statutory rate of 21% primarily due to state income tax expense offset by the tax impact of equity awards vesting and the foreign-derived intangible income deduction. The third quarter of fiscal 2024 effective tax rate differed from the statutory rate of 21% primarily due to state income tax expense. In addition, in the third quarter of fiscal 2025 and 2024, the Company remains in a full valuation allowance in certain foreign jurisdictions.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November 1, 2025 compared to thirty-nine weeks ended November 2, 2024</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$29.4 million or 8.5%, primarily driven by a $25.7 million or 8.0% increase in Net Retail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$3.3 million or 15% increase in Commercial revenue when compared to the third fiscal quarter of 2024. The increase in net retail sales was driven primarily by growth at existing stores and sales at new stores. The increased commercial revenue was due to higher sales to our wholesale customers, including sales to new wholesale customers resulting from the opening of 45 partner-operated locations since the third quarter of 2024.</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thirty-nine weeks ended November 1, 2025 were $346.5 million, compared to $320.8 million for the thirty-nine weeks ended November 2, 2024. The components of the improved performance are as follows (dollars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Thirty-nine weeks</w:t>
            </w:r>
          </w:p>
        </w:tc>
      </w:tr>
      <w:tr>
        <w:trPr>
          <w:trHeight w:val="230"/>
        </w:trPr>
        <w:tc>
          <w:tcPr>
            <w:tcW w:w="7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7380" w:type="dxa"/>
            <w:vAlign w:val="bottom"/>
          </w:tcPr>
          <w:p>
            <w:pPr>
              <w:spacing w:after="0"/>
              <w:rPr>
                <w:sz w:val="20"/>
                <w:szCs w:val="20"/>
                <w:color w:val="auto"/>
              </w:rPr>
            </w:pPr>
          </w:p>
        </w:tc>
        <w:tc>
          <w:tcPr>
            <w:tcW w:w="16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November 1, 2025</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17,155</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11,353</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3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(2,036)</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1,173</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3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(2,143)</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higher retail revenue performance was primarily the result of increased sales at existing stores and sales at new stores partially offset by the effect of store closures.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$25.2 million for the thirty-nine weeks ended November 1, 2025 compared to $21.9 million for the thirty-nine weeks ended November 2, 2024. The $3.3 million increase is primarily due to increased sales volume from our wholesale accounts through our partner-operated retail model.</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International franchising revenue was $3.6 million for the thirty-nine weeks ended November 1, 2025 compared to $3.3 million for the thirty-nine weeks ended November 2, 2024. The change is primarily the result of the timing of product shipments and the opening of 19 franchise stores since the third quarter 2024.</w:t>
      </w:r>
    </w:p>
    <w:p>
      <w:pPr>
        <w:spacing w:after="0" w:line="174"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$20.9 million to $194.6 million from $173.7 million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 2024. The retail gross margin rate increased 210 basis points compared to the prior year driven primarily by improved merchandise margin compared to the first three quarters of fiscal 2024.</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$165.3 million, or 44.0% of consolidated revenue,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 2025, compared to $148.4 million, or 42.9% of consolidated revenue, for the thirty-nine weeks ended November 2, 2024. The increase was driven by higher store-level compensation, corporate costs and general inflationary pressures. These increases were partially offset by favorable marketing expense timing.</w:t>
      </w:r>
    </w:p>
    <w:p>
      <w:pPr>
        <w:spacing w:after="0" w:line="180" w:lineRule="exact"/>
        <w:rPr>
          <w:sz w:val="20"/>
          <w:szCs w:val="20"/>
          <w:color w:val="auto"/>
        </w:rPr>
      </w:pPr>
    </w:p>
    <w:p>
      <w:pPr>
        <w:ind w:right="7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$0.6 million for the thirty-nine weeks ended November 1, 2025 compared to interest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$0.7 million for the thirty-nine weeks ended November 2, 2024.</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$9.9 million with a tax rate of 21.6% for the thirty-nine weeks ended November 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$9.5 million with a tax rate of 24.1% for the thirty-nine weeks ended November 2, 2024. The fiscal 2025 effective tax rate differed from the statutory rate of 21% primarily due to state income tax expense offset by the tax impact of equity awards vesting, the foreign-derived intangible income deduction and discrete benefits related to settlement of a prior period tax position. The fiscal 2024 effective tax rate differed from the statutory rate of 21% primarily due to state income tax expense partially offset by the tax impact of equity awards vesting. In addition, in the third quarter of fiscal 2025 and 2024, the Company remains in a full valuation allowance in certain foreign jurisdictions.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1,</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November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Earnings before interest, taxes, depreciation, and</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14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2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56,118</w:t>
            </w:r>
          </w:p>
        </w:tc>
        <w:tc>
          <w:tcPr>
            <w:tcW w:w="200" w:type="dxa"/>
            <w:vAlign w:val="bottom"/>
          </w:tcPr>
          <w:p>
            <w:pPr>
              <w:spacing w:after="0"/>
              <w:rPr>
                <w:sz w:val="15"/>
                <w:szCs w:val="15"/>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thirteen weeks ended November 1, 2025 decreased $2.5 million, or 14.7% to $14.2 million from $16.7 million for the thirteen weeks ended November 2, 2024. The decrease was driven by gross profit resulting from increased retail and commercial margins partially offset by higher SG&amp;A expenses.</w:t>
      </w:r>
    </w:p>
    <w:p>
      <w:pPr>
        <w:spacing w:after="0" w:line="39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thirty-nine weeks ended November 1, 2025 increased $6.2 million, or 12.4% to $56.1 million from $49.9 million for the thirty-nine weeks ended November 2, 2024. The increase was driven by gross profit resulting from increased retail and commercial margins partially offset by higher SG&amp;A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existing store and e-commerce sales; (3) fluctuations in the profitability of our stores; (4)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(5) changes in foreign currency exchange rates; (6) the timing of new store openings, closings, relocations and remodeling and related expenses; (7) changes in consumer preferences; (8) the effectiveness of our inventory management; (9) the actions of our competitors or mall anchors and co-tenants; (10) seasonal shopping patterns and holiday and vacation schedules; (11) disruptions in store operations due to civil unrest; and (12) weather conditions.</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Our most recent 14-week quarter was the 2023 fiscal fourth quarter.</w:t>
      </w:r>
    </w:p>
    <w:p>
      <w:pPr>
        <w:sectPr>
          <w:pgSz w:w="11900" w:h="16855" w:orient="portrait"/>
          <w:cols w:equalWidth="0" w:num="1">
            <w:col w:w="11240"/>
          </w:cols>
          <w:pgMar w:left="320" w:top="121" w:right="339" w:bottom="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November 1, 2025, we had a consolidated cash balance of $27.7 million, 79%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Additionally, during 2025 we have used cash on-hand to invest in short-term, highly liquid investments with original maturities of three months or less resulting in interest income of $0.6 million during the thirty-nine weeks ended November 1,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56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November 1,</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27,576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(12,871)</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(9,571)</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(27,489)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(33,386)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(15,372)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increased $12.7 million for the thirty-nine weeks ended November 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thirty-nine weeks ended November 2, 2024. This increase in cash from operating activities was primarily the result of increased net income, decreased accounts receivable driven by lower receivables from commercial accounts and an increase in accounts payable and accrued expenses. These increases were partially offset by higher cash used for inventory purchases as a result of additional tariff costs and accelerated purchases of core products as part of the Company's tariff-mitigation plans.</w:t>
      </w:r>
    </w:p>
    <w:p>
      <w:pPr>
        <w:spacing w:after="0" w:line="18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$3.3 million for the thirty-nine weeks ended November 1, 2025,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thirty-nine weeks ended November 2, 2024. The increase in cash used in investing activities was primarily driven by increased spending on capital expenditures.</w:t>
      </w:r>
    </w:p>
    <w:p>
      <w:pPr>
        <w:spacing w:after="0" w:line="389"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decreased $5.9 million for the thirty-nine weeks ended November 1,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thirty-nine weeks ended November 2, 2024. This decrease in cash used in financing activities during the first thirty-nine weeks of fiscal 2025 was driven by a decrease in the amount utilized to repurchase shares compared to the prior year.</w:t>
      </w:r>
    </w:p>
    <w:p>
      <w:pPr>
        <w:spacing w:after="0" w:line="173"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As of November 1, 2025, borrowings under the agreement would bear interest at (a) a base rate determined under the agreement, or (b) the borrower's option, at a rate based on SOFR, plus in either case a margin based on average undrawn availability as determined in accordance with the agreement. As of November 1, 2025, our borrowing base was $25.0 million and the Company had no outstanding borrowings as of the end of the quarter.</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corporately-managed retail stores are located within shopping malls and all are operated under leases classified as operating leases. Our leases in North America tend to be shorter term leases to provide flexibility in aligning stores with market trends. Beginning in fiscal 2023, lease extensions began to have longer terms as we have secured longer contracts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leases in the U.K. and the Republic of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cannot do so, our results of operations and financial condition could be harmed, and we may be required to record significant additional impairment charges.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thirty-nine weeks ended November 1, 2025 totaled $12.9 million for information technology projects and new store openings, and we expect to spend approximately $20 to $25 million on capital expenditures in fiscal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inventory at quarter end was $83.3 million, an increase of $12.5 million or 18% from the end of the fiscal 2024 third quarter. The increase in inventory was the result of additional tariff costs and accelerated purchases of core products that began in the second half of fiscal 2024 and continued into the first quarter of fiscal 2025 as part of the Company's tariff-mitigation plans. We are comfortable with the level and composition of our inventory.</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November 1, 2025, we had purchase obligations totaling approximately $119.7 million, of which $27.4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utilized $17.4 million in cash to repurchase 336,041 shares during the thirty-nine weeks ended November 1, 2025under our current September 2024 Stock Repurchase Program, compared to using $23.0 million in cash to repurchase 832,944 shares during the thirty-nine weeks ended November 2, 2024 under our September 2024 Stock Repurchase plan and completed August 2022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Inflation continued to impact the Company’s operations during fiscal years 2024 and 2025, most notably through higher store labor costs and increased input prices. We implemented certain mitigating actions such as further cost reductions and process efficiencies, in addition to selective strategic price adjustments. We anticipate inflationary pressures to persist throughout fiscal 2025 and beyond, driven by wage growth, tariff and tariff-related costs that extend beyond inventory purchases to broader supply chain and other operational areas. In August 2025, the U.S. Court of Appeals for the Federal Circuit ruled that several tariffs imposed under the Trump Administration exceeded presidential authority and were therefore invalid, although the decision remains stayed pending U.S. Supreme Court review. This ruling introduces uncertainty regarding the scope and durability of current and future tariff measures. Even if certain tariffs affecting our Company are ultimately invalidated, we may not be able to fully recover increased costs associated with product delivery and related services from international vendors. We continue to monitor the impact of inflation on our business operations and may need to adjust pricing strategies as needed to offset cost increases during fiscal 2025 and beyond. Fluctuations in general price inflation could negatively affect our financial results by adversely impacting material availability, shipping and warehousing expenses, and other operational overhead. Inflationary pressures may be compounded by elevated transportation costs linked to geopolitical conflicts, including the Russia-Ukraine war, tensions between China and Taiwan, and the Israel-Hamas conflict. We cannot provide an estimate or range of impact that such inflation may have on our future results of operations. However, failure to recover increased costs through pricing adjustments or a decline in consumer spending could negatively affect our business, results of operations, financial condition, and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February 1, 2025 as filed with the SEC on April 17, 2025, which includes audited consolidated financial statements for our 2023 and 2022 fiscal years. There have been no material changes to the critical accounting estimates disclosed in the 2024 Form 10-K.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November 1, 2025,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reasonable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3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 Total Number</w:t>
            </w: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(b) Average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3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Price Paid Per</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3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Units) Purchased</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(3)</w:t>
            </w:r>
          </w:p>
        </w:tc>
        <w:tc>
          <w:tcPr>
            <w:tcW w:w="80" w:type="dxa"/>
            <w:vAlign w:val="bottom"/>
          </w:tcPr>
          <w:p>
            <w:pPr>
              <w:spacing w:after="0"/>
              <w:rPr>
                <w:sz w:val="20"/>
                <w:szCs w:val="20"/>
                <w:color w:val="auto"/>
              </w:rPr>
            </w:pPr>
          </w:p>
        </w:tc>
      </w:tr>
      <w:tr>
        <w:trPr>
          <w:trHeight w:val="223"/>
        </w:trPr>
        <w:tc>
          <w:tcPr>
            <w:tcW w:w="33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August 3, 2025 - August 30, 2025</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54.26</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80,081,954</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2025 - October 4, 2025</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57,054</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57,054</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76,446,634</w:t>
            </w:r>
          </w:p>
        </w:tc>
      </w:tr>
      <w:tr>
        <w:trPr>
          <w:trHeight w:val="216"/>
        </w:trPr>
        <w:tc>
          <w:tcPr>
            <w:tcW w:w="33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5, 2025 - November 1, 2025</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77,883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77,883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71,806,703</w:t>
            </w:r>
          </w:p>
        </w:tc>
      </w:tr>
      <w:tr>
        <w:trPr>
          <w:trHeight w:val="20"/>
        </w:trPr>
        <w:tc>
          <w:tcPr>
            <w:tcW w:w="3300" w:type="dxa"/>
            <w:vAlign w:val="bottom"/>
            <w:tcBorders>
              <w:right w:val="single" w:sz="8" w:color="CCEEFF"/>
            </w:tcBorders>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168,456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59.92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168,456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71,806,703</w:t>
            </w:r>
          </w:p>
        </w:tc>
      </w:tr>
      <w:tr>
        <w:trPr>
          <w:trHeight w:val="20"/>
        </w:trPr>
        <w:tc>
          <w:tcPr>
            <w:tcW w:w="3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020" w:hanging="349"/>
        <w:spacing w:after="0" w:line="255"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if any.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Times New Roman" w:cs="Times New Roman" w:eastAsia="Times New Roman" w:hAnsi="Times New Roman"/>
          <w:sz w:val="18"/>
          <w:szCs w:val="18"/>
          <w:color w:val="auto"/>
        </w:rPr>
      </w:pPr>
    </w:p>
    <w:p>
      <w:pPr>
        <w:ind w:left="1480" w:hanging="349"/>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commissions</w:t>
      </w:r>
    </w:p>
    <w:p>
      <w:pPr>
        <w:spacing w:after="0" w:line="9" w:lineRule="exact"/>
        <w:rPr>
          <w:rFonts w:ascii="Times New Roman" w:cs="Times New Roman" w:eastAsia="Times New Roman" w:hAnsi="Times New Roman"/>
          <w:sz w:val="18"/>
          <w:szCs w:val="18"/>
          <w:color w:val="auto"/>
        </w:rPr>
      </w:pPr>
    </w:p>
    <w:p>
      <w:pPr>
        <w:ind w:left="1480" w:right="1220" w:hanging="349"/>
        <w:spacing w:after="0" w:line="253"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2024, we announced that our Board of Directors authorized a share repurchase program of up to $100 million (replacing the previous stock repurchase program which was terminated). This program authorizes the Company to repurchase shares through September 30, 2028, and does not require the Company to repurchase any specific number of shares, and may be modified, suspended or terminated at any time without prior notice. Shares repurchased under the program will be subsequently retired.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Trading Plans of Directors and Executive Officers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Company's fiscal quarter ended November 1, 2025, none of our directors or officers informed us of the adoption or termination of a “Rule 10b5-1 trading arrangement” or “non-Rule 10b5-1 trading arrangement”, as such terms are defined under Item 408(a) of Regulation S-K.</w:t>
      </w: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filed on November 11, 2004)</w:t>
              </w:r>
            </w:hyperlink>
          </w:p>
        </w:tc>
        <w:tc>
          <w:tcPr>
            <w:tcW w:w="2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Amended and Restated Bylaws, as amended through January 4, 2018 (incorporated by reference from Exhibit 3.1 to our Current Report on</w:t>
              </w:r>
            </w:hyperlink>
          </w:p>
        </w:tc>
        <w:tc>
          <w:tcPr>
            <w:tcW w:w="22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8-K, filed on January 4, 2018)</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6"/>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7"/>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(on behalf of the registrant and as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2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November 1, 2025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November 1, 2025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lvl w:ilvl="1">
      <w:lvlJc w:val="left"/>
      <w:lvlText w:val="(%2)"/>
      <w:numFmt w:val="decimal"/>
      <w:start w:val="1"/>
    </w:lvl>
  </w:abstractNum>
  <w:abstractNum w:abstractNumId="7">
    <w:nsid w:val="41A7C4C9"/>
    <w:multiLevelType w:val="hybridMultilevel"/>
    <w:lvl w:ilvl="0">
      <w:lvlJc w:val="left"/>
      <w:lvlText w:val="%1."/>
      <w:numFmt w:val="decimal"/>
      <w:start w:val="5"/>
    </w:lvl>
    <w:lvl w:ilvl="1">
      <w:lvlJc w:val="left"/>
      <w:lvlText w:val="%2"/>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40" Type="http://schemas.openxmlformats.org/officeDocument/2006/relationships/hyperlink" Target="http://www.sec.gov/Archives/edgar/data/1113809/000095013704006634/c86750exv2w1.txt" TargetMode="External"/><Relationship Id="rId41" Type="http://schemas.openxmlformats.org/officeDocument/2006/relationships/hyperlink" Target="http://www.sec.gov/Archives/edgar/data/1113809/000095013804000748/exh3-1.htm" TargetMode="External"/><Relationship Id="rId42" Type="http://schemas.openxmlformats.org/officeDocument/2006/relationships/hyperlink" Target="http://www.sec.gov/Archives/edgar/data/1113809/000115752318000029/a51738867_ex31.htm#Exhibit31" TargetMode="External"/><Relationship Id="rId43"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2025-12-11T08:21:14Z</dcterms:created>
  <dcterms:modified xsi:type="dcterms:W3CDTF">2025-12-11T08:21:14Z</dcterms:modified>
</cp:coreProperties>
</file>