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245110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273050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660" w:right="3800" w:hanging="652"/>
        <w:spacing w:after="0" w:line="553"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29, 2012</w:t>
      </w: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79" w:lineRule="exact"/>
        <w:rPr>
          <w:sz w:val="24"/>
          <w:szCs w:val="24"/>
          <w:color w:val="auto"/>
        </w:rPr>
      </w:pPr>
    </w:p>
    <w:p>
      <w:pPr>
        <w:ind w:left="6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1922780</wp:posOffset>
            </wp:positionH>
            <wp:positionV relativeFrom="paragraph">
              <wp:posOffset>-7620</wp:posOffset>
            </wp:positionV>
            <wp:extent cx="866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257810</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BUILD-A-BEAR WORKSHOP, INC.</w:t>
      </w:r>
    </w:p>
    <w:p>
      <w:pPr>
        <w:spacing w:after="0" w:line="6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245110</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520" w:type="dxa"/>
            <w:vAlign w:val="bottom"/>
          </w:tcPr>
          <w:p>
            <w:pPr>
              <w:jc w:val="center"/>
              <w:ind w:right="337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(Zip Code)</w:t>
            </w:r>
          </w:p>
        </w:tc>
      </w:tr>
      <w:tr>
        <w:trPr>
          <w:trHeight w:val="468"/>
        </w:trPr>
        <w:tc>
          <w:tcPr>
            <w:tcW w:w="6520" w:type="dxa"/>
            <w:vAlign w:val="bottom"/>
          </w:tcPr>
          <w:p>
            <w:pPr>
              <w:jc w:val="right"/>
              <w:ind w:right="147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240030</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38" w:lineRule="exact"/>
        <w:rPr>
          <w:sz w:val="24"/>
          <w:szCs w:val="24"/>
          <w:color w:val="auto"/>
        </w:rPr>
      </w:pPr>
    </w:p>
    <w:p>
      <w:pPr>
        <w:ind w:right="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38"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180"/>
          </w:cols>
          <w:pgMar w:left="240" w:top="314" w:right="479" w:bottom="370" w:gutter="0" w:footer="0" w:header="0"/>
        </w:sect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3">
            <w:col w:w="1620" w:space="100"/>
            <w:col w:w="5400" w:space="720"/>
            <w:col w:w="3340"/>
          </w:cols>
          <w:pgMar w:left="240" w:top="314" w:right="479" w:bottom="370" w:gutter="0" w:footer="0" w:header="0"/>
          <w:type w:val="continuous"/>
        </w:sectPr>
      </w:pPr>
    </w:p>
    <w:p>
      <w:pPr>
        <w:spacing w:after="0" w:line="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7120" w:space="720"/>
            <w:col w:w="3340"/>
          </w:cols>
          <w:pgMar w:left="240" w:top="314" w:right="479" w:bottom="370" w:gutter="0" w:footer="0" w:header="0"/>
          <w:type w:val="continuous"/>
        </w:sectPr>
      </w:pPr>
    </w:p>
    <w:p>
      <w:pPr>
        <w:spacing w:after="0" w:line="54" w:lineRule="exact"/>
        <w:rPr>
          <w:sz w:val="24"/>
          <w:szCs w:val="24"/>
          <w:color w:val="auto"/>
        </w:rPr>
      </w:pPr>
    </w:p>
    <w:p>
      <w:pPr>
        <w:ind w:left="500"/>
        <w:spacing w:after="0" w:line="207" w:lineRule="exact"/>
        <w:tabs>
          <w:tab w:leader="none" w:pos="882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31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November 6, 2012, there were 17,281,699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wp:posOffset>
            </wp:positionV>
            <wp:extent cx="7246620" cy="4763"/>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180"/>
          </w:cols>
          <w:pgMar w:left="240" w:top="314" w:right="479" w:bottom="37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100" w:type="dxa"/>
            <w:vAlign w:val="bottom"/>
            <w:gridSpan w:val="2"/>
          </w:tcPr>
          <w:p>
            <w:pPr>
              <w:ind w:left="17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Part I Financial Information</w:t>
            </w:r>
          </w:p>
        </w:tc>
        <w:tc>
          <w:tcPr>
            <w:tcW w:w="208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1.</w:t>
            </w:r>
          </w:p>
        </w:tc>
        <w:tc>
          <w:tcPr>
            <w:tcW w:w="8220" w:type="dxa"/>
            <w:vAlign w:val="bottom"/>
            <w:shd w:val="clear" w:color="auto" w:fill="C0FFFF"/>
          </w:tcPr>
          <w:p>
            <w:pPr>
              <w:ind w:left="40"/>
              <w:spacing w:after="0"/>
              <w:rPr>
                <w:sz w:val="20"/>
                <w:szCs w:val="20"/>
                <w:color w:val="auto"/>
              </w:rPr>
            </w:pPr>
            <w:r>
              <w:rPr>
                <w:rFonts w:ascii="Arial" w:cs="Arial" w:eastAsia="Arial" w:hAnsi="Arial"/>
                <w:sz w:val="18"/>
                <w:szCs w:val="18"/>
                <w:color w:val="auto"/>
              </w:rPr>
              <w:t>Financial Statements (Unaudited)</w:t>
            </w:r>
          </w:p>
        </w:tc>
        <w:tc>
          <w:tcPr>
            <w:tcW w:w="2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20" w:type="dxa"/>
            <w:vAlign w:val="bottom"/>
          </w:tcPr>
          <w:p>
            <w:pPr>
              <w:ind w:left="520"/>
              <w:spacing w:after="0"/>
              <w:rPr>
                <w:sz w:val="20"/>
                <w:szCs w:val="20"/>
                <w:color w:val="auto"/>
              </w:rPr>
            </w:pPr>
            <w:r>
              <w:rPr>
                <w:rFonts w:ascii="Arial" w:cs="Arial" w:eastAsia="Arial" w:hAnsi="Arial"/>
                <w:sz w:val="18"/>
                <w:szCs w:val="18"/>
                <w:color w:val="auto"/>
              </w:rPr>
              <w:t>Consolidated Balance Sheets</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8220" w:type="dxa"/>
            <w:vAlign w:val="bottom"/>
            <w:shd w:val="clear" w:color="auto" w:fill="C0FFFF"/>
          </w:tcPr>
          <w:p>
            <w:pPr>
              <w:ind w:left="520"/>
              <w:spacing w:after="0"/>
              <w:rPr>
                <w:sz w:val="20"/>
                <w:szCs w:val="20"/>
                <w:color w:val="auto"/>
              </w:rPr>
            </w:pPr>
            <w:r>
              <w:rPr>
                <w:rFonts w:ascii="Arial" w:cs="Arial" w:eastAsia="Arial" w:hAnsi="Arial"/>
                <w:sz w:val="18"/>
                <w:szCs w:val="18"/>
                <w:color w:val="auto"/>
              </w:rPr>
              <w:t>Consolidated Statements of Operations</w:t>
            </w:r>
          </w:p>
        </w:tc>
        <w:tc>
          <w:tcPr>
            <w:tcW w:w="2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20" w:type="dxa"/>
            <w:vAlign w:val="bottom"/>
          </w:tcPr>
          <w:p>
            <w:pPr>
              <w:ind w:left="520"/>
              <w:spacing w:after="0"/>
              <w:rPr>
                <w:sz w:val="20"/>
                <w:szCs w:val="20"/>
                <w:color w:val="auto"/>
              </w:rPr>
            </w:pPr>
            <w:r>
              <w:rPr>
                <w:rFonts w:ascii="Arial" w:cs="Arial" w:eastAsia="Arial" w:hAnsi="Arial"/>
                <w:sz w:val="18"/>
                <w:szCs w:val="18"/>
                <w:color w:val="auto"/>
              </w:rPr>
              <w:t>Consolidated Statements of Cash Flows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8220" w:type="dxa"/>
            <w:vAlign w:val="bottom"/>
            <w:shd w:val="clear" w:color="auto" w:fill="C0FFFF"/>
          </w:tcPr>
          <w:p>
            <w:pPr>
              <w:ind w:left="520"/>
              <w:spacing w:after="0"/>
              <w:rPr>
                <w:sz w:val="20"/>
                <w:szCs w:val="20"/>
                <w:color w:val="auto"/>
              </w:rPr>
            </w:pPr>
            <w:r>
              <w:rPr>
                <w:rFonts w:ascii="Arial" w:cs="Arial" w:eastAsia="Arial" w:hAnsi="Arial"/>
                <w:sz w:val="18"/>
                <w:szCs w:val="18"/>
                <w:color w:val="auto"/>
              </w:rPr>
              <w:t>Notes to Consolidated Financial Statements</w:t>
            </w:r>
          </w:p>
        </w:tc>
        <w:tc>
          <w:tcPr>
            <w:tcW w:w="2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2.</w:t>
            </w:r>
          </w:p>
        </w:tc>
        <w:tc>
          <w:tcPr>
            <w:tcW w:w="8220" w:type="dxa"/>
            <w:vAlign w:val="bottom"/>
            <w:shd w:val="clear" w:color="auto" w:fill="C0FFFF"/>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3.</w:t>
            </w:r>
          </w:p>
        </w:tc>
        <w:tc>
          <w:tcPr>
            <w:tcW w:w="8220" w:type="dxa"/>
            <w:vAlign w:val="bottom"/>
            <w:shd w:val="clear" w:color="auto" w:fill="C0FFFF"/>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2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4.</w:t>
            </w:r>
          </w:p>
        </w:tc>
        <w:tc>
          <w:tcPr>
            <w:tcW w:w="8220" w:type="dxa"/>
            <w:vAlign w:val="bottom"/>
            <w:shd w:val="clear" w:color="auto" w:fill="C0FFFF"/>
          </w:tcPr>
          <w:p>
            <w:pPr>
              <w:ind w:left="40"/>
              <w:spacing w:after="0"/>
              <w:rPr>
                <w:sz w:val="20"/>
                <w:szCs w:val="20"/>
                <w:color w:val="auto"/>
              </w:rPr>
            </w:pPr>
            <w:r>
              <w:rPr>
                <w:rFonts w:ascii="Arial" w:cs="Arial" w:eastAsia="Arial" w:hAnsi="Arial"/>
                <w:sz w:val="18"/>
                <w:szCs w:val="18"/>
                <w:color w:val="auto"/>
              </w:rPr>
              <w:t>Controls and Procedures</w:t>
            </w:r>
          </w:p>
        </w:tc>
        <w:tc>
          <w:tcPr>
            <w:tcW w:w="2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Part II Other Information</w:t>
            </w:r>
          </w:p>
        </w:tc>
        <w:tc>
          <w:tcPr>
            <w:tcW w:w="208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1A.</w:t>
            </w:r>
          </w:p>
        </w:tc>
        <w:tc>
          <w:tcPr>
            <w:tcW w:w="8220" w:type="dxa"/>
            <w:vAlign w:val="bottom"/>
            <w:shd w:val="clear" w:color="auto" w:fill="C0FFFF"/>
          </w:tcPr>
          <w:p>
            <w:pPr>
              <w:ind w:left="40"/>
              <w:spacing w:after="0"/>
              <w:rPr>
                <w:sz w:val="20"/>
                <w:szCs w:val="20"/>
                <w:color w:val="auto"/>
              </w:rPr>
            </w:pPr>
            <w:r>
              <w:rPr>
                <w:rFonts w:ascii="Arial" w:cs="Arial" w:eastAsia="Arial" w:hAnsi="Arial"/>
                <w:sz w:val="18"/>
                <w:szCs w:val="18"/>
                <w:color w:val="auto"/>
              </w:rPr>
              <w:t>Risk Factors</w:t>
            </w:r>
          </w:p>
        </w:tc>
        <w:tc>
          <w:tcPr>
            <w:tcW w:w="2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Item 2.</w:t>
            </w:r>
          </w:p>
        </w:tc>
        <w:tc>
          <w:tcPr>
            <w:tcW w:w="8220" w:type="dxa"/>
            <w:vAlign w:val="bottom"/>
          </w:tcPr>
          <w:p>
            <w:pPr>
              <w:ind w:left="40"/>
              <w:spacing w:after="0"/>
              <w:rPr>
                <w:sz w:val="20"/>
                <w:szCs w:val="20"/>
                <w:color w:val="auto"/>
              </w:rPr>
            </w:pPr>
            <w:r>
              <w:rPr>
                <w:rFonts w:ascii="Arial" w:cs="Arial" w:eastAsia="Arial" w:hAnsi="Arial"/>
                <w:sz w:val="18"/>
                <w:szCs w:val="18"/>
                <w:color w:val="auto"/>
              </w:rPr>
              <w:t>Unregistered Sales of Equity Securities and Use of Proceeds</w:t>
            </w:r>
          </w:p>
        </w:tc>
        <w:tc>
          <w:tcPr>
            <w:tcW w:w="20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6.</w:t>
            </w:r>
          </w:p>
        </w:tc>
        <w:tc>
          <w:tcPr>
            <w:tcW w:w="8220" w:type="dxa"/>
            <w:vAlign w:val="bottom"/>
            <w:shd w:val="clear" w:color="auto" w:fill="C0FFFF"/>
          </w:tcPr>
          <w:p>
            <w:pPr>
              <w:ind w:left="40"/>
              <w:spacing w:after="0"/>
              <w:rPr>
                <w:sz w:val="20"/>
                <w:szCs w:val="20"/>
                <w:color w:val="auto"/>
              </w:rPr>
            </w:pPr>
            <w:r>
              <w:rPr>
                <w:rFonts w:ascii="Arial" w:cs="Arial" w:eastAsia="Arial" w:hAnsi="Arial"/>
                <w:sz w:val="18"/>
                <w:szCs w:val="18"/>
                <w:color w:val="auto"/>
              </w:rPr>
              <w:t>Exhibits</w:t>
            </w:r>
          </w:p>
        </w:tc>
        <w:tc>
          <w:tcPr>
            <w:tcW w:w="2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0FFFF"/>
          </w:tcPr>
          <w:p>
            <w:pPr>
              <w:ind w:left="320"/>
              <w:spacing w:after="0"/>
              <w:rPr>
                <w:sz w:val="20"/>
                <w:szCs w:val="20"/>
                <w:color w:val="auto"/>
              </w:rPr>
            </w:pPr>
            <w:r>
              <w:rPr>
                <w:rFonts w:ascii="Arial" w:cs="Arial" w:eastAsia="Arial" w:hAnsi="Arial"/>
                <w:sz w:val="18"/>
                <w:szCs w:val="18"/>
                <w:color w:val="auto"/>
                <w:w w:val="88"/>
              </w:rPr>
              <w:t>Signatures</w:t>
            </w:r>
          </w:p>
        </w:tc>
        <w:tc>
          <w:tcPr>
            <w:tcW w:w="8220" w:type="dxa"/>
            <w:vAlign w:val="bottom"/>
            <w:shd w:val="clear" w:color="auto" w:fill="C0FFFF"/>
          </w:tcPr>
          <w:p>
            <w:pPr>
              <w:spacing w:after="0"/>
              <w:rPr>
                <w:sz w:val="18"/>
                <w:szCs w:val="18"/>
                <w:color w:val="auto"/>
              </w:rPr>
            </w:pPr>
          </w:p>
        </w:tc>
        <w:tc>
          <w:tcPr>
            <w:tcW w:w="2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82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9"/>
              </w:rPr>
              <w:t>September 29,</w:t>
            </w:r>
          </w:p>
        </w:tc>
        <w:tc>
          <w:tcPr>
            <w:tcW w:w="10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October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ind w:left="53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22,145</w:t>
            </w:r>
          </w:p>
        </w:tc>
        <w:tc>
          <w:tcPr>
            <w:tcW w:w="34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46,367</w:t>
            </w:r>
          </w:p>
        </w:tc>
        <w:tc>
          <w:tcPr>
            <w:tcW w:w="2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54,885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51,860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7,878</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17,854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Deferred tax assets</w:t>
            </w:r>
          </w:p>
        </w:tc>
        <w:tc>
          <w:tcPr>
            <w:tcW w:w="120" w:type="dxa"/>
            <w:vAlign w:val="bottom"/>
            <w:tcBorders>
              <w:bottom w:val="single" w:sz="8" w:color="auto"/>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auto"/>
            </w:tcBorders>
            <w:shd w:val="clear" w:color="auto" w:fill="C0FFFF"/>
          </w:tcPr>
          <w:p>
            <w:pPr>
              <w:spacing w:after="0"/>
              <w:rPr>
                <w:sz w:val="19"/>
                <w:szCs w:val="19"/>
                <w:color w:val="auto"/>
              </w:rPr>
            </w:pPr>
          </w:p>
        </w:tc>
        <w:tc>
          <w:tcPr>
            <w:tcW w:w="114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95,807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124,378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114,523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7"/>
              </w:rPr>
              <w:t>Property and equipment, net of accumulated depreciation of $184,606; $175,018 and $173,862,</w:t>
            </w:r>
          </w:p>
        </w:tc>
        <w:tc>
          <w:tcPr>
            <w:tcW w:w="12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24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0FFFF"/>
          </w:tcPr>
          <w:p>
            <w:pPr>
              <w:spacing w:after="0"/>
              <w:rPr>
                <w:sz w:val="20"/>
                <w:szCs w:val="20"/>
                <w:color w:val="auto"/>
              </w:rPr>
            </w:pP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73,754</w:t>
            </w:r>
          </w:p>
        </w:tc>
        <w:tc>
          <w:tcPr>
            <w:tcW w:w="10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10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77,445</w:t>
            </w:r>
          </w:p>
        </w:tc>
        <w:tc>
          <w:tcPr>
            <w:tcW w:w="12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78,965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33,876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32,306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 net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7,218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6,787</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211,165</w:t>
            </w:r>
          </w:p>
        </w:tc>
        <w:tc>
          <w:tcPr>
            <w:tcW w:w="100" w:type="dxa"/>
            <w:vAlign w:val="bottom"/>
            <w:shd w:val="clear" w:color="auto" w:fill="C0FFFF"/>
          </w:tcPr>
          <w:p>
            <w:pPr>
              <w:spacing w:after="0"/>
              <w:rPr>
                <w:sz w:val="22"/>
                <w:szCs w:val="22"/>
                <w:color w:val="auto"/>
              </w:rPr>
            </w:pP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241,571</w:t>
            </w:r>
          </w:p>
        </w:tc>
        <w:tc>
          <w:tcPr>
            <w:tcW w:w="2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242,563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0FFFF"/>
            </w:tcBorders>
          </w:tcPr>
          <w:p>
            <w:pPr>
              <w:spacing w:after="0"/>
              <w:rPr>
                <w:sz w:val="18"/>
                <w:szCs w:val="18"/>
                <w:color w:val="auto"/>
              </w:rPr>
            </w:pPr>
          </w:p>
        </w:tc>
        <w:tc>
          <w:tcPr>
            <w:tcW w:w="128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0FFFF"/>
          </w:tcPr>
          <w:p>
            <w:pPr>
              <w:jc w:val="right"/>
              <w:ind w:right="101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35,151</w:t>
            </w:r>
          </w:p>
        </w:tc>
        <w:tc>
          <w:tcPr>
            <w:tcW w:w="34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41,032</w:t>
            </w:r>
          </w:p>
        </w:tc>
        <w:tc>
          <w:tcPr>
            <w:tcW w:w="2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38,544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Gift cards and customer deposits</w:t>
            </w: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21,180</w:t>
            </w: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28,323</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21,670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67,767</w:t>
            </w:r>
          </w:p>
        </w:tc>
        <w:tc>
          <w:tcPr>
            <w:tcW w:w="10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86,768</w:t>
            </w:r>
          </w:p>
        </w:tc>
        <w:tc>
          <w:tcPr>
            <w:tcW w:w="12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auto"/>
            </w:tcBorders>
            <w:shd w:val="clear" w:color="auto" w:fill="C0FFFF"/>
          </w:tcPr>
          <w:p>
            <w:pPr>
              <w:spacing w:after="0"/>
              <w:rPr>
                <w:sz w:val="19"/>
                <w:szCs w:val="19"/>
                <w:color w:val="auto"/>
              </w:rPr>
            </w:pPr>
          </w:p>
        </w:tc>
        <w:tc>
          <w:tcPr>
            <w:tcW w:w="114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73,056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Deferred franchise revenue</w:t>
            </w: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20,955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0"/>
              </w:rPr>
              <w:t>Preferred stock, par value $0.01, Shares authorized: 15,000,000; No shares issued or outstanding at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September 29, 2012, December 31, 2011 and October 1, 2011</w:t>
            </w: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0FFFF"/>
          </w:tcPr>
          <w:p>
            <w:pPr>
              <w:ind w:left="160"/>
              <w:spacing w:after="0" w:line="201" w:lineRule="exact"/>
              <w:rPr>
                <w:sz w:val="20"/>
                <w:szCs w:val="20"/>
                <w:color w:val="auto"/>
              </w:rPr>
            </w:pPr>
            <w:r>
              <w:rPr>
                <w:rFonts w:ascii="Arial" w:cs="Arial" w:eastAsia="Arial" w:hAnsi="Arial"/>
                <w:sz w:val="18"/>
                <w:szCs w:val="18"/>
                <w:color w:val="auto"/>
              </w:rPr>
              <w:t>Common stock, par value $0.01, Shares authorized: 50,000,000; Issued and outstanding:</w:t>
            </w:r>
          </w:p>
        </w:tc>
        <w:tc>
          <w:tcPr>
            <w:tcW w:w="12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24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17,351,904; 17,405,270 and 18,157,318 shares, respectively</w:t>
            </w:r>
          </w:p>
        </w:tc>
        <w:tc>
          <w:tcPr>
            <w:tcW w:w="120" w:type="dxa"/>
            <w:vAlign w:val="bottom"/>
            <w:shd w:val="clear" w:color="auto" w:fill="C0FFFF"/>
          </w:tcPr>
          <w:p>
            <w:pPr>
              <w:spacing w:after="0"/>
              <w:rPr>
                <w:sz w:val="20"/>
                <w:szCs w:val="20"/>
                <w:color w:val="auto"/>
              </w:rPr>
            </w:pP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10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66,782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65,402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(7,020)</w:t>
            </w: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(10,165)</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73,832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120,948</w:t>
            </w:r>
          </w:p>
        </w:tc>
        <w:tc>
          <w:tcPr>
            <w:tcW w:w="10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129,243</w:t>
            </w:r>
          </w:p>
        </w:tc>
        <w:tc>
          <w:tcPr>
            <w:tcW w:w="12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auto"/>
            </w:tcBorders>
            <w:shd w:val="clear" w:color="auto" w:fill="C0FFFF"/>
          </w:tcPr>
          <w:p>
            <w:pPr>
              <w:spacing w:after="0"/>
              <w:rPr>
                <w:sz w:val="19"/>
                <w:szCs w:val="19"/>
                <w:color w:val="auto"/>
              </w:rPr>
            </w:pPr>
          </w:p>
        </w:tc>
        <w:tc>
          <w:tcPr>
            <w:tcW w:w="114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142,498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211,165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241,571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242,563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Thirteen weeks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4"/>
              </w:rPr>
              <w:t>Thirty-nine weeks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w w:val="89"/>
              </w:rPr>
              <w:t>September 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w w:val="92"/>
              </w:rPr>
              <w:t>October 1,</w:t>
            </w:r>
          </w:p>
        </w:tc>
        <w:tc>
          <w:tcPr>
            <w:tcW w:w="100" w:type="dxa"/>
            <w:vAlign w:val="bottom"/>
          </w:tcPr>
          <w:p>
            <w:pPr>
              <w:spacing w:after="0"/>
              <w:rPr>
                <w:sz w:val="17"/>
                <w:szCs w:val="17"/>
                <w:color w:val="auto"/>
              </w:rPr>
            </w:pPr>
          </w:p>
        </w:tc>
        <w:tc>
          <w:tcPr>
            <w:tcW w:w="12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7"/>
              </w:rPr>
              <w:t>September 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w w:val="92"/>
              </w:rPr>
              <w:t>October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84,263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95,378</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258,452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269,929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Commercial revenue</w:t>
            </w: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1,989</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Franchise fees</w:t>
            </w: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85,971</w:t>
            </w:r>
          </w:p>
        </w:tc>
        <w:tc>
          <w:tcPr>
            <w:tcW w:w="12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97,410</w:t>
            </w:r>
          </w:p>
        </w:tc>
        <w:tc>
          <w:tcPr>
            <w:tcW w:w="10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auto"/>
            </w:tcBorders>
            <w:shd w:val="clear" w:color="auto" w:fill="C0FFFF"/>
          </w:tcPr>
          <w:p>
            <w:pPr>
              <w:spacing w:after="0"/>
              <w:rPr>
                <w:sz w:val="19"/>
                <w:szCs w:val="19"/>
                <w:color w:val="auto"/>
              </w:rPr>
            </w:pPr>
          </w:p>
        </w:tc>
        <w:tc>
          <w:tcPr>
            <w:tcW w:w="104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262,754</w:t>
            </w:r>
          </w:p>
        </w:tc>
        <w:tc>
          <w:tcPr>
            <w:tcW w:w="12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275,243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0FFFF"/>
          </w:tcPr>
          <w:p>
            <w:pPr>
              <w:spacing w:after="0"/>
              <w:rPr>
                <w:sz w:val="20"/>
                <w:szCs w:val="20"/>
                <w:color w:val="auto"/>
              </w:rPr>
            </w:pPr>
            <w:r>
              <w:rPr>
                <w:rFonts w:ascii="Arial" w:cs="Arial" w:eastAsia="Arial" w:hAnsi="Arial"/>
                <w:sz w:val="18"/>
                <w:szCs w:val="18"/>
                <w:color w:val="auto"/>
              </w:rPr>
              <w:t>Costs and expenses:</w:t>
            </w: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Cost of merchandise sold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53,887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57,572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163,057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36,573</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38,013</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113,774</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120,011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Total costs and expenses</w:t>
            </w:r>
          </w:p>
        </w:tc>
        <w:tc>
          <w:tcPr>
            <w:tcW w:w="10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90,424</w:t>
            </w:r>
          </w:p>
        </w:tc>
        <w:tc>
          <w:tcPr>
            <w:tcW w:w="12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95,545</w:t>
            </w:r>
          </w:p>
        </w:tc>
        <w:tc>
          <w:tcPr>
            <w:tcW w:w="10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auto"/>
            </w:tcBorders>
            <w:shd w:val="clear" w:color="auto" w:fill="C0FFFF"/>
          </w:tcPr>
          <w:p>
            <w:pPr>
              <w:spacing w:after="0"/>
              <w:rPr>
                <w:sz w:val="19"/>
                <w:szCs w:val="19"/>
                <w:color w:val="auto"/>
              </w:rPr>
            </w:pPr>
          </w:p>
        </w:tc>
        <w:tc>
          <w:tcPr>
            <w:tcW w:w="104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276,646</w:t>
            </w:r>
          </w:p>
        </w:tc>
        <w:tc>
          <w:tcPr>
            <w:tcW w:w="12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287,693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Income (loss) before income taxes</w:t>
            </w: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(4,453)</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(13,892)</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Net income (loss)</w:t>
            </w:r>
          </w:p>
        </w:tc>
        <w:tc>
          <w:tcPr>
            <w:tcW w:w="130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(4,252)</w:t>
            </w:r>
          </w:p>
        </w:tc>
        <w:tc>
          <w:tcPr>
            <w:tcW w:w="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854</w:t>
            </w:r>
          </w:p>
        </w:tc>
        <w:tc>
          <w:tcPr>
            <w:tcW w:w="30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(12,820)</w:t>
            </w:r>
          </w:p>
        </w:tc>
        <w:tc>
          <w:tcPr>
            <w:tcW w:w="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(8,073)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0FFFF"/>
            </w:tcBorders>
          </w:tcPr>
          <w:p>
            <w:pPr>
              <w:spacing w:after="0"/>
              <w:rPr>
                <w:sz w:val="18"/>
                <w:szCs w:val="18"/>
                <w:color w:val="auto"/>
              </w:rPr>
            </w:pPr>
          </w:p>
        </w:tc>
        <w:tc>
          <w:tcPr>
            <w:tcW w:w="108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0FFFF"/>
          </w:tcPr>
          <w:p>
            <w:pPr>
              <w:spacing w:after="0"/>
              <w:rPr>
                <w:sz w:val="20"/>
                <w:szCs w:val="20"/>
                <w:color w:val="auto"/>
              </w:rPr>
            </w:pPr>
            <w:r>
              <w:rPr>
                <w:rFonts w:ascii="Arial" w:cs="Arial" w:eastAsia="Arial" w:hAnsi="Arial"/>
                <w:sz w:val="18"/>
                <w:szCs w:val="18"/>
                <w:color w:val="auto"/>
              </w:rPr>
              <w:t>Earnings (loss) per common share:</w:t>
            </w: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Diluted</w:t>
            </w:r>
          </w:p>
        </w:tc>
        <w:tc>
          <w:tcPr>
            <w:tcW w:w="130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(0.26)</w:t>
            </w:r>
          </w:p>
        </w:tc>
        <w:tc>
          <w:tcPr>
            <w:tcW w:w="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(0.79)</w:t>
            </w:r>
          </w:p>
        </w:tc>
        <w:tc>
          <w:tcPr>
            <w:tcW w:w="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0FFFF"/>
            </w:tcBorders>
          </w:tcPr>
          <w:p>
            <w:pPr>
              <w:spacing w:after="0"/>
              <w:rPr>
                <w:sz w:val="18"/>
                <w:szCs w:val="18"/>
                <w:color w:val="auto"/>
              </w:rPr>
            </w:pPr>
          </w:p>
        </w:tc>
        <w:tc>
          <w:tcPr>
            <w:tcW w:w="108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0FFFF"/>
          </w:tcPr>
          <w:p>
            <w:pPr>
              <w:spacing w:after="0"/>
              <w:rPr>
                <w:sz w:val="20"/>
                <w:szCs w:val="20"/>
                <w:color w:val="auto"/>
              </w:rPr>
            </w:pPr>
            <w:r>
              <w:rPr>
                <w:rFonts w:ascii="Arial" w:cs="Arial" w:eastAsia="Arial" w:hAnsi="Arial"/>
                <w:sz w:val="18"/>
                <w:szCs w:val="18"/>
                <w:color w:val="auto"/>
              </w:rPr>
              <w:t>Shares used in computing common per share amounts:</w:t>
            </w: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Basic</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16,473,114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17,378,486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16,323,630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17,781,943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16,473,114</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17,396,144</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16,323,630</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17,781,943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shd w:val="clear" w:color="auto" w:fill="C0FFFF"/>
          </w:tcPr>
          <w:p>
            <w:pPr>
              <w:spacing w:after="0"/>
              <w:rPr>
                <w:sz w:val="20"/>
                <w:szCs w:val="20"/>
                <w:color w:val="auto"/>
              </w:rPr>
            </w:pPr>
            <w:r>
              <w:rPr>
                <w:rFonts w:ascii="Arial" w:cs="Arial" w:eastAsia="Arial" w:hAnsi="Arial"/>
                <w:sz w:val="18"/>
                <w:szCs w:val="18"/>
                <w:color w:val="auto"/>
              </w:rPr>
              <w:t>Comprehensive income</w:t>
            </w:r>
          </w:p>
        </w:tc>
        <w:tc>
          <w:tcPr>
            <w:tcW w:w="130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(2,189)</w:t>
            </w:r>
          </w:p>
        </w:tc>
        <w:tc>
          <w:tcPr>
            <w:tcW w:w="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(1,073)</w:t>
            </w:r>
          </w:p>
        </w:tc>
        <w:tc>
          <w:tcPr>
            <w:tcW w:w="30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(9,675)</w:t>
            </w:r>
          </w:p>
        </w:tc>
        <w:tc>
          <w:tcPr>
            <w:tcW w:w="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0FFFF"/>
            </w:tcBorders>
            <w:shd w:val="clear" w:color="auto" w:fill="C0FFFF"/>
          </w:tcPr>
          <w:p>
            <w:pPr>
              <w:spacing w:after="0" w:line="20" w:lineRule="exact"/>
              <w:rPr>
                <w:sz w:val="1"/>
                <w:szCs w:val="1"/>
                <w:color w:val="auto"/>
              </w:rPr>
            </w:pPr>
          </w:p>
        </w:tc>
        <w:tc>
          <w:tcPr>
            <w:tcW w:w="108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w w:val="92"/>
              </w:rPr>
              <w:t>September 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October 1,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(12,820)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Loss from investment in affiliate</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Excess tax benefit from share-based payments</w:t>
            </w: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Impairment of store assets</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Trade credit utilization</w:t>
            </w: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4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480"/>
              <w:spacing w:after="0"/>
              <w:rPr>
                <w:sz w:val="20"/>
                <w:szCs w:val="20"/>
                <w:color w:val="auto"/>
              </w:rPr>
            </w:pPr>
            <w:r>
              <w:rPr>
                <w:rFonts w:ascii="Arial" w:cs="Arial" w:eastAsia="Arial" w:hAnsi="Arial"/>
                <w:sz w:val="18"/>
                <w:szCs w:val="18"/>
                <w:color w:val="auto"/>
              </w:rPr>
              <w:t>Lease related liabilities</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Gift cards and customer deposits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ind w:left="48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shd w:val="clear" w:color="auto" w:fill="C0FFFF"/>
          </w:tcPr>
          <w:p>
            <w:pPr>
              <w:spacing w:after="0"/>
              <w:rPr>
                <w:sz w:val="19"/>
                <w:szCs w:val="19"/>
                <w:color w:val="auto"/>
              </w:rPr>
            </w:pPr>
          </w:p>
        </w:tc>
        <w:tc>
          <w:tcPr>
            <w:tcW w:w="14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4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short term investments</w:t>
            </w: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Proceeds from sale or maturitiy of short term investments</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Investment in unconsolidated affiliate</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ind w:left="640"/>
              <w:spacing w:after="0"/>
              <w:rPr>
                <w:sz w:val="20"/>
                <w:szCs w:val="20"/>
                <w:color w:val="auto"/>
              </w:rPr>
            </w:pPr>
            <w:r>
              <w:rPr>
                <w:rFonts w:ascii="Arial" w:cs="Arial" w:eastAsia="Arial" w:hAnsi="Arial"/>
                <w:sz w:val="18"/>
                <w:szCs w:val="18"/>
                <w:color w:val="auto"/>
              </w:rPr>
              <w:t>Cash used in investing activities</w:t>
            </w:r>
          </w:p>
        </w:tc>
        <w:tc>
          <w:tcPr>
            <w:tcW w:w="140" w:type="dxa"/>
            <w:vAlign w:val="bottom"/>
            <w:tcBorders>
              <w:bottom w:val="single" w:sz="8" w:color="auto"/>
            </w:tcBorders>
            <w:shd w:val="clear" w:color="auto" w:fill="C0FFFF"/>
          </w:tcPr>
          <w:p>
            <w:pPr>
              <w:spacing w:after="0"/>
              <w:rPr>
                <w:sz w:val="19"/>
                <w:szCs w:val="19"/>
                <w:color w:val="auto"/>
              </w:rPr>
            </w:pPr>
          </w:p>
        </w:tc>
        <w:tc>
          <w:tcPr>
            <w:tcW w:w="14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(11,235)</w:t>
            </w:r>
          </w:p>
        </w:tc>
        <w:tc>
          <w:tcPr>
            <w:tcW w:w="10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4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Exercise of employee stock options</w:t>
            </w:r>
          </w:p>
        </w:tc>
        <w:tc>
          <w:tcPr>
            <w:tcW w:w="140" w:type="dxa"/>
            <w:vAlign w:val="bottom"/>
            <w:shd w:val="clear" w:color="auto" w:fill="C0FFFF"/>
          </w:tcPr>
          <w:p>
            <w:pPr>
              <w:spacing w:after="0"/>
              <w:rPr>
                <w:sz w:val="18"/>
                <w:szCs w:val="18"/>
                <w:color w:val="auto"/>
              </w:rPr>
            </w:pPr>
          </w:p>
        </w:tc>
        <w:tc>
          <w:tcPr>
            <w:tcW w:w="14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Purchases of Company's common stock</w:t>
            </w:r>
          </w:p>
        </w:tc>
        <w:tc>
          <w:tcPr>
            <w:tcW w:w="140" w:type="dxa"/>
            <w:vAlign w:val="bottom"/>
            <w:tcBorders>
              <w:bottom w:val="single" w:sz="8" w:color="auto"/>
            </w:tcBorders>
            <w:shd w:val="clear" w:color="auto" w:fill="C0FFFF"/>
          </w:tcPr>
          <w:p>
            <w:pPr>
              <w:spacing w:after="0"/>
              <w:rPr>
                <w:sz w:val="19"/>
                <w:szCs w:val="19"/>
                <w:color w:val="auto"/>
              </w:rPr>
            </w:pPr>
          </w:p>
        </w:tc>
        <w:tc>
          <w:tcPr>
            <w:tcW w:w="148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4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(10,163)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used in financing activities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Effect of exchange rates on cash</w:t>
            </w:r>
          </w:p>
        </w:tc>
        <w:tc>
          <w:tcPr>
            <w:tcW w:w="140" w:type="dxa"/>
            <w:vAlign w:val="bottom"/>
            <w:tcBorders>
              <w:bottom w:val="single" w:sz="8" w:color="auto"/>
            </w:tcBorders>
            <w:shd w:val="clear" w:color="auto" w:fill="C0FFFF"/>
          </w:tcPr>
          <w:p>
            <w:pPr>
              <w:spacing w:after="0"/>
              <w:rPr>
                <w:sz w:val="19"/>
                <w:szCs w:val="19"/>
                <w:color w:val="auto"/>
              </w:rPr>
            </w:pPr>
          </w:p>
        </w:tc>
        <w:tc>
          <w:tcPr>
            <w:tcW w:w="148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46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shd w:val="clear" w:color="auto" w:fill="C0FFFF"/>
          </w:tcPr>
          <w:p>
            <w:pPr>
              <w:spacing w:after="0"/>
              <w:rPr>
                <w:sz w:val="19"/>
                <w:szCs w:val="19"/>
                <w:color w:val="auto"/>
              </w:rPr>
            </w:pPr>
          </w:p>
        </w:tc>
        <w:tc>
          <w:tcPr>
            <w:tcW w:w="148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46,367</w:t>
            </w:r>
          </w:p>
        </w:tc>
        <w:tc>
          <w:tcPr>
            <w:tcW w:w="10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46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58,755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22,145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25,106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31, 2011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As a toy retailer, the Company’s sales are highest in the fourth quarter, followed by the first quarter. The timing of holidays and school vacations can impact quarterly results.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31, 2011 included in the Company’s annual report on Form 10-K filed with the SEC on March 15, 2012.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2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January 1, 2012, the Company adopted new accounting guidance with regard to the presentation and disclosure of comprehensive income in accordance with Accounting Standards Update 2011-5 and 2011-12. The adoption of this guidance impacted only the presentation and disclosure of comprehensive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2. Prepaid Expenses and Other Current Assets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86"/>
        </w:trPr>
        <w:tc>
          <w:tcPr>
            <w:tcW w:w="6500" w:type="dxa"/>
            <w:vAlign w:val="bottom"/>
            <w:gridSpan w:val="2"/>
          </w:tcPr>
          <w:p>
            <w:pPr>
              <w:ind w:left="500"/>
              <w:spacing w:after="0"/>
              <w:rPr>
                <w:sz w:val="20"/>
                <w:szCs w:val="20"/>
                <w:color w:val="auto"/>
              </w:rPr>
            </w:pPr>
            <w:r>
              <w:rPr>
                <w:rFonts w:ascii="Arial" w:cs="Arial" w:eastAsia="Arial" w:hAnsi="Arial"/>
                <w:sz w:val="18"/>
                <w:szCs w:val="18"/>
                <w:color w:val="auto"/>
                <w:w w:val="91"/>
              </w:rPr>
              <w:t>Prepaid expenses and other current assets consist of the following (in thousands):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68"/>
        </w:trPr>
        <w:tc>
          <w:tcPr>
            <w:tcW w:w="5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2"/>
              </w:rPr>
              <w:t>September 29,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October 1,</w:t>
            </w:r>
          </w:p>
        </w:tc>
      </w:tr>
      <w:tr>
        <w:trPr>
          <w:trHeight w:val="241"/>
        </w:trPr>
        <w:tc>
          <w:tcPr>
            <w:tcW w:w="5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r>
      <w:tr>
        <w:trPr>
          <w:trHeight w:val="216"/>
        </w:trPr>
        <w:tc>
          <w:tcPr>
            <w:tcW w:w="580" w:type="dxa"/>
            <w:vAlign w:val="bottom"/>
          </w:tcPr>
          <w:p>
            <w:pPr>
              <w:spacing w:after="0"/>
              <w:rPr>
                <w:sz w:val="18"/>
                <w:szCs w:val="18"/>
                <w:color w:val="auto"/>
              </w:rPr>
            </w:pPr>
          </w:p>
        </w:tc>
        <w:tc>
          <w:tcPr>
            <w:tcW w:w="5920" w:type="dxa"/>
            <w:vAlign w:val="bottom"/>
            <w:shd w:val="clear" w:color="auto" w:fill="C0FFFF"/>
          </w:tcPr>
          <w:p>
            <w:pPr>
              <w:spacing w:after="0"/>
              <w:rPr>
                <w:sz w:val="20"/>
                <w:szCs w:val="20"/>
                <w:color w:val="auto"/>
              </w:rPr>
            </w:pPr>
            <w:r>
              <w:rPr>
                <w:rFonts w:ascii="Arial" w:cs="Arial" w:eastAsia="Arial" w:hAnsi="Arial"/>
                <w:sz w:val="18"/>
                <w:szCs w:val="18"/>
                <w:color w:val="auto"/>
              </w:rPr>
              <w:t>Prepaid rent</w:t>
            </w:r>
          </w:p>
        </w:tc>
        <w:tc>
          <w:tcPr>
            <w:tcW w:w="42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8,026</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7,745</w:t>
            </w:r>
          </w:p>
        </w:tc>
        <w:tc>
          <w:tcPr>
            <w:tcW w:w="2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7,916</w:t>
            </w:r>
          </w:p>
        </w:tc>
      </w:tr>
      <w:tr>
        <w:trPr>
          <w:trHeight w:val="216"/>
        </w:trPr>
        <w:tc>
          <w:tcPr>
            <w:tcW w:w="5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5,352</w:t>
            </w:r>
          </w:p>
        </w:tc>
      </w:tr>
      <w:tr>
        <w:trPr>
          <w:trHeight w:val="216"/>
        </w:trPr>
        <w:tc>
          <w:tcPr>
            <w:tcW w:w="580" w:type="dxa"/>
            <w:vAlign w:val="bottom"/>
          </w:tcPr>
          <w:p>
            <w:pPr>
              <w:spacing w:after="0"/>
              <w:rPr>
                <w:sz w:val="18"/>
                <w:szCs w:val="18"/>
                <w:color w:val="auto"/>
              </w:rPr>
            </w:pPr>
          </w:p>
        </w:tc>
        <w:tc>
          <w:tcPr>
            <w:tcW w:w="5920" w:type="dxa"/>
            <w:vAlign w:val="bottom"/>
            <w:shd w:val="clear" w:color="auto" w:fill="C0FF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8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2,702</w:t>
            </w:r>
          </w:p>
        </w:tc>
      </w:tr>
      <w:tr>
        <w:trPr>
          <w:trHeight w:val="223"/>
        </w:trPr>
        <w:tc>
          <w:tcPr>
            <w:tcW w:w="58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5,178</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4,676</w:t>
            </w:r>
          </w:p>
        </w:tc>
      </w:tr>
      <w:tr>
        <w:trPr>
          <w:trHeight w:val="237"/>
        </w:trPr>
        <w:tc>
          <w:tcPr>
            <w:tcW w:w="580" w:type="dxa"/>
            <w:vAlign w:val="bottom"/>
          </w:tcPr>
          <w:p>
            <w:pPr>
              <w:spacing w:after="0"/>
              <w:rPr>
                <w:sz w:val="20"/>
                <w:szCs w:val="20"/>
                <w:color w:val="auto"/>
              </w:rPr>
            </w:pPr>
          </w:p>
        </w:tc>
        <w:tc>
          <w:tcPr>
            <w:tcW w:w="5920" w:type="dxa"/>
            <w:vAlign w:val="bottom"/>
            <w:shd w:val="clear" w:color="auto" w:fill="C0FFFF"/>
          </w:tcPr>
          <w:p>
            <w:pPr>
              <w:spacing w:after="0"/>
              <w:rPr>
                <w:sz w:val="20"/>
                <w:szCs w:val="20"/>
                <w:color w:val="auto"/>
              </w:rPr>
            </w:pPr>
          </w:p>
        </w:tc>
        <w:tc>
          <w:tcPr>
            <w:tcW w:w="42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13,569</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17,854</w:t>
            </w:r>
          </w:p>
        </w:tc>
        <w:tc>
          <w:tcPr>
            <w:tcW w:w="2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20,646</w:t>
            </w:r>
          </w:p>
        </w:tc>
      </w:tr>
      <w:tr>
        <w:trPr>
          <w:trHeight w:val="20"/>
        </w:trPr>
        <w:tc>
          <w:tcPr>
            <w:tcW w:w="580" w:type="dxa"/>
            <w:vAlign w:val="bottom"/>
          </w:tcPr>
          <w:p>
            <w:pPr>
              <w:spacing w:after="0" w:line="20" w:lineRule="exact"/>
              <w:rPr>
                <w:sz w:val="1"/>
                <w:szCs w:val="1"/>
                <w:color w:val="auto"/>
              </w:rPr>
            </w:pPr>
          </w:p>
        </w:tc>
        <w:tc>
          <w:tcPr>
            <w:tcW w:w="592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8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Goodwill is reported as a component of the Company’s retail segment. The following table summarizes the changes in goodwill for the thirty-nine weeks ended September 29, 2012 (in thousands):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0FFFF"/>
          </w:tcPr>
          <w:p>
            <w:pPr>
              <w:spacing w:after="0"/>
              <w:rPr>
                <w:sz w:val="20"/>
                <w:szCs w:val="20"/>
                <w:color w:val="auto"/>
              </w:rPr>
            </w:pPr>
            <w:r>
              <w:rPr>
                <w:rFonts w:ascii="Arial" w:cs="Arial" w:eastAsia="Arial" w:hAnsi="Arial"/>
                <w:sz w:val="18"/>
                <w:szCs w:val="18"/>
                <w:color w:val="auto"/>
              </w:rPr>
              <w:t>Balance as of December 31, 2011</w:t>
            </w:r>
          </w:p>
        </w:tc>
        <w:tc>
          <w:tcPr>
            <w:tcW w:w="2900" w:type="dxa"/>
            <w:vAlign w:val="bottom"/>
            <w:gridSpan w:val="2"/>
            <w:shd w:val="clear" w:color="auto" w:fill="C0FF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32,306</w:t>
            </w:r>
          </w:p>
        </w:tc>
      </w:tr>
      <w:tr>
        <w:trPr>
          <w:trHeight w:val="223"/>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3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r>
      <w:tr>
        <w:trPr>
          <w:trHeight w:val="237"/>
        </w:trPr>
        <w:tc>
          <w:tcPr>
            <w:tcW w:w="20" w:type="dxa"/>
            <w:vAlign w:val="bottom"/>
          </w:tcPr>
          <w:p>
            <w:pPr>
              <w:spacing w:after="0"/>
              <w:rPr>
                <w:sz w:val="20"/>
                <w:szCs w:val="20"/>
                <w:color w:val="auto"/>
              </w:rPr>
            </w:pPr>
          </w:p>
        </w:tc>
        <w:tc>
          <w:tcPr>
            <w:tcW w:w="5160" w:type="dxa"/>
            <w:vAlign w:val="bottom"/>
            <w:shd w:val="clear" w:color="auto" w:fill="C0FFFF"/>
          </w:tcPr>
          <w:p>
            <w:pPr>
              <w:spacing w:after="0"/>
              <w:rPr>
                <w:sz w:val="20"/>
                <w:szCs w:val="20"/>
                <w:color w:val="auto"/>
              </w:rPr>
            </w:pPr>
            <w:r>
              <w:rPr>
                <w:rFonts w:ascii="Arial" w:cs="Arial" w:eastAsia="Arial" w:hAnsi="Arial"/>
                <w:sz w:val="18"/>
                <w:szCs w:val="18"/>
                <w:color w:val="auto"/>
              </w:rPr>
              <w:t>Balance as of September 29, 2012</w:t>
            </w:r>
          </w:p>
        </w:tc>
        <w:tc>
          <w:tcPr>
            <w:tcW w:w="2900" w:type="dxa"/>
            <w:vAlign w:val="bottom"/>
            <w:gridSpan w:val="2"/>
            <w:shd w:val="clear" w:color="auto" w:fill="C0FF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33,876</w:t>
            </w: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0FFFF"/>
            </w:tcBorders>
            <w:shd w:val="clear" w:color="auto" w:fill="C0FFFF"/>
          </w:tcPr>
          <w:p>
            <w:pPr>
              <w:spacing w:after="0" w:line="20" w:lineRule="exact"/>
              <w:rPr>
                <w:sz w:val="1"/>
                <w:szCs w:val="1"/>
                <w:color w:val="auto"/>
              </w:rPr>
            </w:pPr>
          </w:p>
        </w:tc>
        <w:tc>
          <w:tcPr>
            <w:tcW w:w="2340" w:type="dxa"/>
            <w:vAlign w:val="bottom"/>
            <w:tcBorders>
              <w:top w:val="single" w:sz="8" w:color="C0FFFF"/>
            </w:tcBorders>
            <w:shd w:val="clear" w:color="auto" w:fill="C0FF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Goodwill is not subject to amortization and is tested for impairment annually or more frequently if events or changes in circumstances indicate that the asset might be impaired. This testing requires comparison of carrying values to fair values, and when appropriate, the carrying value of impaired assets is reduced to fair value. Goodwill will be tested for impairment no later than December 29, 2012.</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0"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4. Stock-based Compensation</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is a summary of the balances and activity for restricted stock and stock options for the thirty-nine weeks ended September 29,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660" w:type="dxa"/>
            <w:vAlign w:val="bottom"/>
          </w:tcPr>
          <w:p>
            <w:pPr>
              <w:jc w:val="right"/>
              <w:ind w:right="390"/>
              <w:spacing w:after="0"/>
              <w:rPr>
                <w:sz w:val="20"/>
                <w:szCs w:val="20"/>
                <w:color w:val="auto"/>
              </w:rPr>
            </w:pPr>
            <w:r>
              <w:rPr>
                <w:rFonts w:ascii="Arial" w:cs="Arial" w:eastAsia="Arial" w:hAnsi="Arial"/>
                <w:sz w:val="18"/>
                <w:szCs w:val="18"/>
                <w:b w:val="1"/>
                <w:bCs w:val="1"/>
                <w:color w:val="auto"/>
              </w:rPr>
              <w:t>Restricted</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6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Options</w:t>
            </w:r>
          </w:p>
        </w:tc>
      </w:tr>
      <w:tr>
        <w:trPr>
          <w:trHeight w:val="216"/>
        </w:trPr>
        <w:tc>
          <w:tcPr>
            <w:tcW w:w="20" w:type="dxa"/>
            <w:vAlign w:val="bottom"/>
          </w:tcPr>
          <w:p>
            <w:pPr>
              <w:spacing w:after="0"/>
              <w:rPr>
                <w:sz w:val="18"/>
                <w:szCs w:val="18"/>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Outstanding, December 31, 2011</w:t>
            </w:r>
          </w:p>
        </w:tc>
        <w:tc>
          <w:tcPr>
            <w:tcW w:w="16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1,438,131</w:t>
            </w:r>
          </w:p>
        </w:tc>
        <w:tc>
          <w:tcPr>
            <w:tcW w:w="17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1,210,816</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278,180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20" w:type="dxa"/>
            <w:vAlign w:val="bottom"/>
          </w:tcPr>
          <w:p>
            <w:pPr>
              <w:spacing w:after="0"/>
              <w:rPr>
                <w:sz w:val="18"/>
                <w:szCs w:val="18"/>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(804,565)</w:t>
            </w:r>
          </w:p>
        </w:tc>
        <w:tc>
          <w:tcPr>
            <w:tcW w:w="80" w:type="dxa"/>
            <w:vAlign w:val="bottom"/>
            <w:shd w:val="clear" w:color="auto" w:fill="C0FFFF"/>
          </w:tcPr>
          <w:p>
            <w:pPr>
              <w:spacing w:after="0"/>
              <w:rPr>
                <w:sz w:val="18"/>
                <w:szCs w:val="18"/>
                <w:color w:val="auto"/>
              </w:rPr>
            </w:pPr>
          </w:p>
        </w:tc>
        <w:tc>
          <w:tcPr>
            <w:tcW w:w="16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Exercised</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Forfeited</w:t>
            </w:r>
          </w:p>
        </w:tc>
        <w:tc>
          <w:tcPr>
            <w:tcW w:w="1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(64,598)</w:t>
            </w:r>
          </w:p>
        </w:tc>
        <w:tc>
          <w:tcPr>
            <w:tcW w:w="17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(44,694)</w:t>
            </w: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Canceled or expired</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7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Outstanding, September 29, 2012</w:t>
            </w:r>
          </w:p>
        </w:tc>
        <w:tc>
          <w:tcPr>
            <w:tcW w:w="166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847,148</w:t>
            </w:r>
          </w:p>
        </w:tc>
        <w:tc>
          <w:tcPr>
            <w:tcW w:w="80" w:type="dxa"/>
            <w:vAlign w:val="bottom"/>
            <w:tcBorders>
              <w:bottom w:val="single" w:sz="8" w:color="C0FFFF"/>
            </w:tcBorders>
            <w:shd w:val="clear" w:color="auto" w:fill="C0FFFF"/>
          </w:tcPr>
          <w:p>
            <w:pPr>
              <w:spacing w:after="0"/>
              <w:rPr>
                <w:sz w:val="22"/>
                <w:szCs w:val="22"/>
                <w:color w:val="auto"/>
              </w:rPr>
            </w:pPr>
          </w:p>
        </w:tc>
        <w:tc>
          <w:tcPr>
            <w:tcW w:w="16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1,166,350</w:t>
            </w:r>
          </w:p>
        </w:tc>
      </w:tr>
    </w:tbl>
    <w:p>
      <w:pPr>
        <w:spacing w:after="0" w:line="25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For the thirteen and thirty-nine weeks ended September 29, 2012 selling, general and administrative expense includes $0.8 million and $2.8 million, respectively, of stock-based compensation expense. For the thirteen and thirty-nine weeks ended October 1, 2011, selling, general and administrative expense includes $1.1 million and $3.5 million, respectively, of stock-based compensation expense. As of September 29, 2012, there was $5.2 million of total unrecognized compensation expense related to nonvested restricted stock and option awards which is expected to be recognized over a weighted-average period of 1.5 years.</w:t>
      </w:r>
    </w:p>
    <w:p>
      <w:pPr>
        <w:spacing w:after="0" w:line="24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total fair value of shares vested during the thirty-nine weeks ended September 29, 2012 and October 1, 2011was $4.3 million and $2.0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83"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earnings per share (in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Thirteen weeks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4"/>
              </w:rPr>
              <w:t>Thirty-nine weeks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w w:val="89"/>
              </w:rPr>
              <w:t>September 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w w:val="92"/>
              </w:rPr>
              <w:t>October 1,</w:t>
            </w:r>
          </w:p>
        </w:tc>
        <w:tc>
          <w:tcPr>
            <w:tcW w:w="100" w:type="dxa"/>
            <w:vAlign w:val="bottom"/>
          </w:tcPr>
          <w:p>
            <w:pPr>
              <w:spacing w:after="0"/>
              <w:rPr>
                <w:sz w:val="17"/>
                <w:szCs w:val="17"/>
                <w:color w:val="auto"/>
              </w:rPr>
            </w:pPr>
          </w:p>
        </w:tc>
        <w:tc>
          <w:tcPr>
            <w:tcW w:w="12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7"/>
              </w:rPr>
              <w:t>September 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w w:val="92"/>
              </w:rPr>
              <w:t>October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0FF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w w:val="99"/>
              </w:rPr>
              <w:t>Net earnings (loss) before allocation of earnings to participating securities</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(4,252)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Less: Earnings allocated to participating securities</w:t>
            </w:r>
          </w:p>
        </w:tc>
        <w:tc>
          <w:tcPr>
            <w:tcW w:w="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auto"/>
            </w:tcBorders>
            <w:shd w:val="clear" w:color="auto" w:fill="C0FFFF"/>
          </w:tcPr>
          <w:p>
            <w:pPr>
              <w:spacing w:after="0"/>
              <w:rPr>
                <w:sz w:val="19"/>
                <w:szCs w:val="19"/>
                <w:color w:val="auto"/>
              </w:rPr>
            </w:pPr>
          </w:p>
        </w:tc>
        <w:tc>
          <w:tcPr>
            <w:tcW w:w="104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Net earnings (loss) after allocation of earnings to participating securities</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(4,252)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16,473,114</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17,378,486</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16,323,630</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17,781,943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Dilutive effect of share-based awards: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17,658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Weighted average number of common shares outstanding - dilutive</w:t>
            </w:r>
          </w:p>
        </w:tc>
        <w:tc>
          <w:tcPr>
            <w:tcW w:w="80" w:type="dxa"/>
            <w:vAlign w:val="bottom"/>
            <w:tcBorders>
              <w:bottom w:val="single" w:sz="8" w:color="C0FFFF"/>
            </w:tcBorders>
            <w:shd w:val="clear" w:color="auto" w:fill="C0FFFF"/>
          </w:tcPr>
          <w:p>
            <w:pPr>
              <w:spacing w:after="0"/>
              <w:rPr>
                <w:sz w:val="22"/>
                <w:szCs w:val="22"/>
                <w:color w:val="auto"/>
              </w:rPr>
            </w:pPr>
          </w:p>
        </w:tc>
        <w:tc>
          <w:tcPr>
            <w:tcW w:w="220" w:type="dxa"/>
            <w:vAlign w:val="bottom"/>
            <w:tcBorders>
              <w:bottom w:val="single" w:sz="8" w:color="auto"/>
            </w:tcBorders>
            <w:shd w:val="clear" w:color="auto" w:fill="C0FFFF"/>
          </w:tcPr>
          <w:p>
            <w:pPr>
              <w:spacing w:after="0"/>
              <w:rPr>
                <w:sz w:val="22"/>
                <w:szCs w:val="22"/>
                <w:color w:val="auto"/>
              </w:rPr>
            </w:pP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16,473,114</w:t>
            </w:r>
          </w:p>
        </w:tc>
        <w:tc>
          <w:tcPr>
            <w:tcW w:w="120" w:type="dxa"/>
            <w:vAlign w:val="bottom"/>
            <w:tcBorders>
              <w:bottom w:val="single" w:sz="8" w:color="C0FFFF"/>
            </w:tcBorders>
            <w:shd w:val="clear" w:color="auto" w:fill="C0FFFF"/>
          </w:tcPr>
          <w:p>
            <w:pPr>
              <w:spacing w:after="0"/>
              <w:rPr>
                <w:sz w:val="22"/>
                <w:szCs w:val="22"/>
                <w:color w:val="auto"/>
              </w:rPr>
            </w:pPr>
          </w:p>
        </w:tc>
        <w:tc>
          <w:tcPr>
            <w:tcW w:w="120" w:type="dxa"/>
            <w:vAlign w:val="bottom"/>
            <w:tcBorders>
              <w:bottom w:val="single" w:sz="8" w:color="auto"/>
            </w:tcBorders>
            <w:shd w:val="clear" w:color="auto" w:fill="C0FFFF"/>
          </w:tcPr>
          <w:p>
            <w:pPr>
              <w:spacing w:after="0"/>
              <w:rPr>
                <w:sz w:val="22"/>
                <w:szCs w:val="22"/>
                <w:color w:val="auto"/>
              </w:rPr>
            </w:pPr>
          </w:p>
        </w:tc>
        <w:tc>
          <w:tcPr>
            <w:tcW w:w="11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17,396,144</w:t>
            </w:r>
          </w:p>
        </w:tc>
        <w:tc>
          <w:tcPr>
            <w:tcW w:w="100" w:type="dxa"/>
            <w:vAlign w:val="bottom"/>
            <w:tcBorders>
              <w:bottom w:val="single" w:sz="8" w:color="C0FFFF"/>
            </w:tcBorders>
            <w:shd w:val="clear" w:color="auto" w:fill="C0FFFF"/>
          </w:tcPr>
          <w:p>
            <w:pPr>
              <w:spacing w:after="0"/>
              <w:rPr>
                <w:sz w:val="22"/>
                <w:szCs w:val="22"/>
                <w:color w:val="auto"/>
              </w:rPr>
            </w:pPr>
          </w:p>
        </w:tc>
        <w:tc>
          <w:tcPr>
            <w:tcW w:w="200" w:type="dxa"/>
            <w:vAlign w:val="bottom"/>
            <w:tcBorders>
              <w:bottom w:val="single" w:sz="8" w:color="auto"/>
            </w:tcBorders>
            <w:shd w:val="clear" w:color="auto" w:fill="C0FFFF"/>
          </w:tcPr>
          <w:p>
            <w:pPr>
              <w:spacing w:after="0"/>
              <w:rPr>
                <w:sz w:val="22"/>
                <w:szCs w:val="22"/>
                <w:color w:val="auto"/>
              </w:rPr>
            </w:pPr>
          </w:p>
        </w:tc>
        <w:tc>
          <w:tcPr>
            <w:tcW w:w="104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16,323,630</w:t>
            </w:r>
          </w:p>
        </w:tc>
        <w:tc>
          <w:tcPr>
            <w:tcW w:w="120" w:type="dxa"/>
            <w:vAlign w:val="bottom"/>
            <w:tcBorders>
              <w:bottom w:val="single" w:sz="8" w:color="C0FFFF"/>
            </w:tcBorders>
            <w:shd w:val="clear" w:color="auto" w:fill="C0FFFF"/>
          </w:tcPr>
          <w:p>
            <w:pPr>
              <w:spacing w:after="0"/>
              <w:rPr>
                <w:sz w:val="22"/>
                <w:szCs w:val="22"/>
                <w:color w:val="auto"/>
              </w:rPr>
            </w:pPr>
          </w:p>
        </w:tc>
        <w:tc>
          <w:tcPr>
            <w:tcW w:w="120" w:type="dxa"/>
            <w:vAlign w:val="bottom"/>
            <w:tcBorders>
              <w:bottom w:val="single" w:sz="8" w:color="auto"/>
            </w:tcBorders>
            <w:shd w:val="clear" w:color="auto" w:fill="C0FFFF"/>
          </w:tcPr>
          <w:p>
            <w:pPr>
              <w:spacing w:after="0"/>
              <w:rPr>
                <w:sz w:val="22"/>
                <w:szCs w:val="22"/>
                <w:color w:val="auto"/>
              </w:rPr>
            </w:pPr>
          </w:p>
        </w:tc>
        <w:tc>
          <w:tcPr>
            <w:tcW w:w="11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17,781,943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w w:val="93"/>
              </w:rPr>
              <w:t>Basic earnings (loss) per common share attributable to Build-A-Bear Workshop,</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Inc. stockholders:</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shd w:val="clear" w:color="auto" w:fill="C0FFFF"/>
          </w:tcPr>
          <w:p>
            <w:pPr>
              <w:spacing w:after="0" w:line="195" w:lineRule="exact"/>
              <w:rPr>
                <w:sz w:val="20"/>
                <w:szCs w:val="20"/>
                <w:color w:val="auto"/>
              </w:rPr>
            </w:pPr>
            <w:r>
              <w:rPr>
                <w:rFonts w:ascii="Arial" w:cs="Arial" w:eastAsia="Arial" w:hAnsi="Arial"/>
                <w:sz w:val="18"/>
                <w:szCs w:val="18"/>
                <w:color w:val="auto"/>
                <w:w w:val="92"/>
              </w:rPr>
              <w:t>Diluted earnings (loss) per common share attributable to Build-A-Bear Workshop,</w:t>
            </w:r>
          </w:p>
        </w:tc>
        <w:tc>
          <w:tcPr>
            <w:tcW w:w="8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06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104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Inc. stockholders</w:t>
            </w:r>
          </w:p>
        </w:tc>
        <w:tc>
          <w:tcPr>
            <w:tcW w:w="30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(0.26)</w:t>
            </w:r>
          </w:p>
        </w:tc>
        <w:tc>
          <w:tcPr>
            <w:tcW w:w="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(0.79)</w:t>
            </w:r>
          </w:p>
        </w:tc>
        <w:tc>
          <w:tcPr>
            <w:tcW w:w="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80" w:firstLine="486"/>
        <w:spacing w:after="0" w:line="264" w:lineRule="auto"/>
        <w:rPr>
          <w:sz w:val="20"/>
          <w:szCs w:val="20"/>
          <w:color w:val="auto"/>
        </w:rPr>
      </w:pPr>
      <w:r>
        <w:rPr>
          <w:rFonts w:ascii="Arial" w:cs="Arial" w:eastAsia="Arial" w:hAnsi="Arial"/>
          <w:sz w:val="18"/>
          <w:szCs w:val="18"/>
          <w:color w:val="auto"/>
        </w:rPr>
        <w:t>Due to the net loss for thirteen weeks ended September 29, 2012 and thirty-nine weeks ended September 29, 2012 and October 1, 2011, the denominator for diluted earnings per common share is the same as the denominator for basic earnings per common share for those periods because the inclusion of stock options and unvested restricted shares would be anti-dilutive.</w:t>
      </w:r>
    </w:p>
    <w:p>
      <w:pPr>
        <w:spacing w:after="0" w:line="23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For the thirteen weeks ended October 1, 2011, options to purchase 865,779 shares of common stock were excluded from the denominator for diluted earnings per common share because of their anti-dilutive effect.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 (Loss)</w:t>
      </w:r>
    </w:p>
    <w:p>
      <w:pPr>
        <w:spacing w:after="0" w:line="28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7. Segment Information</w:t>
      </w:r>
    </w:p>
    <w:p>
      <w:pPr>
        <w:spacing w:after="0" w:line="283" w:lineRule="exact"/>
        <w:rPr>
          <w:sz w:val="20"/>
          <w:szCs w:val="20"/>
          <w:color w:val="auto"/>
        </w:rPr>
      </w:pPr>
    </w:p>
    <w:p>
      <w:pPr>
        <w:ind w:right="180" w:firstLine="486"/>
        <w:spacing w:after="0" w:line="288" w:lineRule="auto"/>
        <w:rPr>
          <w:sz w:val="20"/>
          <w:szCs w:val="20"/>
          <w:color w:val="auto"/>
        </w:rPr>
      </w:pPr>
      <w:r>
        <w:rPr>
          <w:rFonts w:ascii="Arial" w:cs="Arial" w:eastAsia="Arial" w:hAnsi="Arial"/>
          <w:sz w:val="16"/>
          <w:szCs w:val="16"/>
          <w:color w:val="auto"/>
        </w:rPr>
        <w:t>The Company’s operations are conducted through three operating segments consisting of retail, commercial and international franchising. The retail segment includes the operating activities of company-owned stores in the United States, Canada, the United Kingdom and Ireland and other retail delivery operations, including the Company’s web store, pop-up stores and non-traditional store locations such as baseball parks.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United Kingdom and Ireland, Asia, Australia, the Middle East, Africa, Mexico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International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Retail</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Commercial</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Franchising</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color w:val="auto"/>
              </w:rPr>
              <w:t>Thirteen weeks ended September 29, 2012</w:t>
            </w:r>
          </w:p>
        </w:tc>
        <w:tc>
          <w:tcPr>
            <w:tcW w:w="16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84,263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Income (loss) before income taxes</w:t>
            </w:r>
          </w:p>
        </w:tc>
        <w:tc>
          <w:tcPr>
            <w:tcW w:w="16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(5,254)</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5,152</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Thirteen weeks ended October 1, 2011</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sales to external customers</w:t>
            </w:r>
          </w:p>
        </w:tc>
        <w:tc>
          <w:tcPr>
            <w:tcW w:w="18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95,378</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1,160</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872</w:t>
            </w:r>
          </w:p>
        </w:tc>
        <w:tc>
          <w:tcPr>
            <w:tcW w:w="3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97,410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Capital expenditures, net</w:t>
            </w:r>
          </w:p>
        </w:tc>
        <w:tc>
          <w:tcPr>
            <w:tcW w:w="16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0FFFF"/>
          </w:tcPr>
          <w:p>
            <w:pPr>
              <w:spacing w:after="0"/>
              <w:rPr>
                <w:sz w:val="18"/>
                <w:szCs w:val="18"/>
                <w:color w:val="auto"/>
              </w:rPr>
            </w:pPr>
          </w:p>
        </w:tc>
        <w:tc>
          <w:tcPr>
            <w:tcW w:w="16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Thirty-nine weeks ended September 29, 2012</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sales to external customers</w:t>
            </w:r>
          </w:p>
        </w:tc>
        <w:tc>
          <w:tcPr>
            <w:tcW w:w="18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258,452</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1,989</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2,313</w:t>
            </w:r>
          </w:p>
        </w:tc>
        <w:tc>
          <w:tcPr>
            <w:tcW w:w="3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262,754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Capital expenditures, net</w:t>
            </w:r>
          </w:p>
        </w:tc>
        <w:tc>
          <w:tcPr>
            <w:tcW w:w="16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13,320</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15,699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color w:val="auto"/>
              </w:rPr>
              <w:t>Thirty-nine weeks ended October 1, 2011</w:t>
            </w:r>
          </w:p>
        </w:tc>
        <w:tc>
          <w:tcPr>
            <w:tcW w:w="16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269,929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2,312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Income (loss) before income taxes</w:t>
            </w:r>
          </w:p>
        </w:tc>
        <w:tc>
          <w:tcPr>
            <w:tcW w:w="16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(15,014)</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18,426</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18,614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color w:val="auto"/>
              </w:rPr>
              <w:t>Total Assets as of:</w:t>
            </w:r>
          </w:p>
        </w:tc>
        <w:tc>
          <w:tcPr>
            <w:tcW w:w="16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September 29, 2012</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199,612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October 1, 2011</w:t>
            </w:r>
          </w:p>
        </w:tc>
        <w:tc>
          <w:tcPr>
            <w:tcW w:w="18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230,074</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9,695</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2,794</w:t>
            </w:r>
          </w:p>
        </w:tc>
        <w:tc>
          <w:tcPr>
            <w:tcW w:w="3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242,563</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 w:name="page10"/>
    <w:bookmarkEnd w:id="9"/>
    <w:p>
      <w:pPr>
        <w:ind w:right="240" w:firstLine="486"/>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line="234" w:lineRule="exact"/>
              <w:rPr>
                <w:sz w:val="20"/>
                <w:szCs w:val="20"/>
                <w:color w:val="auto"/>
              </w:rPr>
            </w:pPr>
            <w:r>
              <w:rPr>
                <w:rFonts w:ascii="Arial" w:cs="Arial" w:eastAsia="Arial" w:hAnsi="Arial"/>
                <w:sz w:val="18"/>
                <w:szCs w:val="18"/>
                <w:b w:val="1"/>
                <w:bCs w:val="1"/>
                <w:color w:val="auto"/>
                <w:w w:val="89"/>
              </w:rPr>
              <w:t xml:space="preserve">America </w:t>
            </w:r>
            <w:r>
              <w:rPr>
                <w:rFonts w:ascii="Arial" w:cs="Arial" w:eastAsia="Arial" w:hAnsi="Arial"/>
                <w:sz w:val="25"/>
                <w:szCs w:val="25"/>
                <w:b w:val="1"/>
                <w:bCs w:val="1"/>
                <w:color w:val="auto"/>
                <w:w w:val="89"/>
                <w:vertAlign w:val="superscript"/>
              </w:rPr>
              <w:t>(1)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line="234" w:lineRule="exact"/>
              <w:rPr>
                <w:sz w:val="20"/>
                <w:szCs w:val="20"/>
                <w:color w:val="auto"/>
              </w:rPr>
            </w:pPr>
            <w:r>
              <w:rPr>
                <w:rFonts w:ascii="Arial" w:cs="Arial" w:eastAsia="Arial" w:hAnsi="Arial"/>
                <w:sz w:val="18"/>
                <w:szCs w:val="18"/>
                <w:b w:val="1"/>
                <w:bCs w:val="1"/>
                <w:color w:val="auto"/>
                <w:w w:val="89"/>
              </w:rPr>
              <w:t xml:space="preserve">Europe </w:t>
            </w:r>
            <w:r>
              <w:rPr>
                <w:rFonts w:ascii="Arial" w:cs="Arial" w:eastAsia="Arial" w:hAnsi="Arial"/>
                <w:sz w:val="25"/>
                <w:szCs w:val="25"/>
                <w:b w:val="1"/>
                <w:bCs w:val="1"/>
                <w:color w:val="auto"/>
                <w:w w:val="89"/>
                <w:vertAlign w:val="superscript"/>
              </w:rPr>
              <w:t>(2)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line="234" w:lineRule="exact"/>
              <w:rPr>
                <w:sz w:val="20"/>
                <w:szCs w:val="20"/>
                <w:color w:val="auto"/>
              </w:rPr>
            </w:pPr>
            <w:r>
              <w:rPr>
                <w:rFonts w:ascii="Arial" w:cs="Arial" w:eastAsia="Arial" w:hAnsi="Arial"/>
                <w:sz w:val="18"/>
                <w:szCs w:val="18"/>
                <w:b w:val="1"/>
                <w:bCs w:val="1"/>
                <w:color w:val="auto"/>
                <w:w w:val="95"/>
              </w:rPr>
              <w:t xml:space="preserve">Other </w:t>
            </w:r>
            <w:r>
              <w:rPr>
                <w:rFonts w:ascii="Arial" w:cs="Arial" w:eastAsia="Arial" w:hAnsi="Arial"/>
                <w:sz w:val="25"/>
                <w:szCs w:val="25"/>
                <w:b w:val="1"/>
                <w:bCs w:val="1"/>
                <w:color w:val="auto"/>
                <w:w w:val="95"/>
                <w:vertAlign w:val="superscript"/>
              </w:rPr>
              <w:t>(3)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0FFFF"/>
          </w:tcPr>
          <w:p>
            <w:pPr>
              <w:spacing w:after="0"/>
              <w:rPr>
                <w:sz w:val="20"/>
                <w:szCs w:val="20"/>
                <w:color w:val="auto"/>
              </w:rPr>
            </w:pPr>
            <w:r>
              <w:rPr>
                <w:rFonts w:ascii="Arial" w:cs="Arial" w:eastAsia="Arial" w:hAnsi="Arial"/>
                <w:sz w:val="18"/>
                <w:szCs w:val="18"/>
                <w:color w:val="auto"/>
              </w:rPr>
              <w:t>Thirteen weeks ended September 29, 2012</w:t>
            </w:r>
          </w:p>
        </w:tc>
        <w:tc>
          <w:tcPr>
            <w:tcW w:w="14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68,545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16,951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Property and equipment, net</w:t>
            </w:r>
          </w:p>
        </w:tc>
        <w:tc>
          <w:tcPr>
            <w:tcW w:w="14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62,644</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11,110</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73,754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Thirteen weeks ended October 1, 2011</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sales to external customers</w:t>
            </w:r>
          </w:p>
        </w:tc>
        <w:tc>
          <w:tcPr>
            <w:tcW w:w="15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79,016</w:t>
            </w:r>
          </w:p>
        </w:tc>
        <w:tc>
          <w:tcPr>
            <w:tcW w:w="26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17,863</w:t>
            </w:r>
          </w:p>
        </w:tc>
        <w:tc>
          <w:tcPr>
            <w:tcW w:w="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531</w:t>
            </w:r>
          </w:p>
        </w:tc>
        <w:tc>
          <w:tcPr>
            <w:tcW w:w="3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97,410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67,527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78,965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Thirty-nine weeks ended September 29, 2012</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sales to external customers</w:t>
            </w:r>
          </w:p>
        </w:tc>
        <w:tc>
          <w:tcPr>
            <w:tcW w:w="15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214,157</w:t>
            </w:r>
          </w:p>
        </w:tc>
        <w:tc>
          <w:tcPr>
            <w:tcW w:w="26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47,236</w:t>
            </w:r>
          </w:p>
        </w:tc>
        <w:tc>
          <w:tcPr>
            <w:tcW w:w="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262,754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0FFFF"/>
          </w:tcPr>
          <w:p>
            <w:pPr>
              <w:spacing w:after="0"/>
              <w:rPr>
                <w:sz w:val="20"/>
                <w:szCs w:val="20"/>
                <w:color w:val="auto"/>
              </w:rPr>
            </w:pPr>
            <w:r>
              <w:rPr>
                <w:rFonts w:ascii="Arial" w:cs="Arial" w:eastAsia="Arial" w:hAnsi="Arial"/>
                <w:sz w:val="18"/>
                <w:szCs w:val="18"/>
                <w:color w:val="auto"/>
              </w:rPr>
              <w:t>Thirty-nine weeks ended October 1, 2011</w:t>
            </w:r>
          </w:p>
        </w:tc>
        <w:tc>
          <w:tcPr>
            <w:tcW w:w="14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225,696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48,086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Property and equipment, net</w:t>
            </w:r>
          </w:p>
        </w:tc>
        <w:tc>
          <w:tcPr>
            <w:tcW w:w="14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67,527</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11,438</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78,965</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and franchise businesses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Contingencies</w:t>
      </w:r>
    </w:p>
    <w:p>
      <w:pPr>
        <w:spacing w:after="0" w:line="28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October, the Company received notification from the customs authority that it intends to assess approximately £1.2 million, or US$2.0 million at the exchange rate at the end of the quarter, for unpaid taxes, penalties and interest. The Company intends to appeal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the period from September 30, 2012 through November 6, 2012, the Company has repurchased approximately 178,500 shares of the Company’s stock for an aggregate amount of $0.6 million leaving $8.1 million of availability under the Board approved stock repurchase program.</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83"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This report includes statements of our expectations, intentions, plans and beliefs that constitute “forward-looking statements” within the meaning of Section 27A of the Securities Act of 1933 and Section 21E of the Securities Exchange Act of 1934 and are intended to come within the safe harbor protection provided by those sections. These statements relate to future events or our future financial performance in Management’s Discussion and Analysis of Financial Condition and Results of Operations. We generally identify these statements by words or phrases such as “may,” “might,” “should,” “expect,” “plan,” “anticipate,” “believe,” “estimate,” “intend,” “predict,” “future,” “potential” or “continue,” the negative or any derivative of these terms and other comparable terminology.</w:t>
      </w:r>
    </w:p>
    <w:p>
      <w:pPr>
        <w:spacing w:after="0" w:line="247"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Without limiting the foregoing, all statements relating to our future sales and operating results, anticipated store locations, openings, closings, relocations and remodels and capital expenditures, future cash flows and share repurchases, and sources of funding are forward-looking statements and speak only as of the date of this report. These forward-looking statements are based on numerous assumptions that we believe are reasonable, but are subject to a wide range of uncertainties and business risks and actual results may differ materially from those discussed in these statements. Among the factors that could cause actual results to differ materially are:</w:t>
      </w:r>
    </w:p>
    <w:p>
      <w:pPr>
        <w:spacing w:after="0" w:line="242" w:lineRule="exact"/>
        <w:rPr>
          <w:sz w:val="20"/>
          <w:szCs w:val="20"/>
          <w:color w:val="auto"/>
        </w:rPr>
      </w:pPr>
    </w:p>
    <w:p>
      <w:pPr>
        <w:ind w:left="660" w:right="4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continue to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 we may be unable to generate comparable store sales growth;</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660" w:right="5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660" w:righ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could become subject to recalls or product liability claims that could adversely impact our financial performance and harm our reputation among consumers;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increase our inventory transportation costs and adversely affect our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operate our company-owned stores in the United Kingdom and Ireland profitably;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improperly obtain or be unable to adequately protect customer information in violation of privacy or security laws or customer expectations;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be sued due to violations of labor laws or unethical practices by manufacturers of our merchandise;</w:t>
      </w:r>
    </w:p>
    <w:p>
      <w:pPr>
        <w:spacing w:after="0" w:line="9" w:lineRule="exact"/>
        <w:rPr>
          <w:rFonts w:ascii="Arial" w:cs="Arial" w:eastAsia="Arial" w:hAnsi="Arial"/>
          <w:sz w:val="18"/>
          <w:szCs w:val="18"/>
          <w:color w:val="auto"/>
        </w:rPr>
      </w:pPr>
    </w:p>
    <w:p>
      <w:pPr>
        <w:ind w:left="660" w:right="7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unable to operate our company-owned distribution center efficiently or our third-party distribution center providers may perform poorly;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have disputes with, or be sued by, third parties for infringement or misappropriation of their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 and</w:t>
      </w:r>
    </w:p>
    <w:p>
      <w:pPr>
        <w:spacing w:after="0" w:line="9" w:lineRule="exact"/>
        <w:rPr>
          <w:rFonts w:ascii="Arial" w:cs="Arial" w:eastAsia="Arial" w:hAnsi="Arial"/>
          <w:sz w:val="18"/>
          <w:szCs w:val="18"/>
          <w:color w:val="auto"/>
        </w:rPr>
      </w:pPr>
    </w:p>
    <w:p>
      <w:pPr>
        <w:ind w:left="660" w:right="60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repurchase shares of our common stock at the times or in the amounts we currently anticipate or the results of the share repurchase program may not be as beneficial as we currently anticipate.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1" w:name="page12"/>
    <w:bookmarkEnd w:id="11"/>
    <w:p>
      <w:pPr>
        <w:ind w:right="120" w:firstLine="222"/>
        <w:spacing w:after="0" w:line="302" w:lineRule="auto"/>
        <w:rPr>
          <w:sz w:val="20"/>
          <w:szCs w:val="20"/>
          <w:color w:val="auto"/>
        </w:rPr>
      </w:pPr>
      <w:r>
        <w:rPr>
          <w:rFonts w:ascii="Arial" w:cs="Arial" w:eastAsia="Arial" w:hAnsi="Arial"/>
          <w:sz w:val="16"/>
          <w:szCs w:val="16"/>
          <w:color w:val="auto"/>
        </w:rPr>
        <w:t>When considering these forward-looking statements, you should keep in mind the cautionary statements in this document and in our other Securities and Exchange Commission filings, including the more detailed discussion of these factors, as well as other factors that could affect our results, contained in Item 1A. “Risk Factors” of our Annual Report on Form 10-K for the year ended December 31, 2011. These forward-looking statements speak only as of the date on which such statements were made, and we undertake no obligation to update these statements except as required by federal securities 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primarily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w:t>
      </w:r>
    </w:p>
    <w:p>
      <w:pPr>
        <w:spacing w:after="0" w:line="242"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Build-A-Bear Workshop is in a turnaround phase as we work to improve store productivity and profitability. We are taking actions to change our business dynamics with a reinvented store design, aggressive repositioning of our portfolio of stores, including closures and remodels that will reduce square footage, and a rebalancing of our marketing to include higher levels of brand advertising. We currently expect our optimal store count to be 295 to 320 company-owned stores in the United States, Canada, the United Kingdom and Ireland. We believe the actions we are taking will result in improvements in productivity and profitability and, ultimately, stakeholder value. We also believe there are additional international growth opportunities, primarily through existing and new franchises.</w:t>
      </w:r>
    </w:p>
    <w:p>
      <w:pPr>
        <w:spacing w:after="0" w:line="247" w:lineRule="exact"/>
        <w:rPr>
          <w:sz w:val="20"/>
          <w:szCs w:val="20"/>
          <w:color w:val="auto"/>
        </w:rPr>
      </w:pPr>
    </w:p>
    <w:p>
      <w:pPr>
        <w:ind w:right="200" w:firstLine="486"/>
        <w:spacing w:after="0" w:line="271" w:lineRule="auto"/>
        <w:rPr>
          <w:sz w:val="20"/>
          <w:szCs w:val="20"/>
          <w:color w:val="auto"/>
        </w:rPr>
      </w:pPr>
      <w:r>
        <w:rPr>
          <w:rFonts w:ascii="Arial" w:cs="Arial" w:eastAsia="Arial" w:hAnsi="Arial"/>
          <w:sz w:val="16"/>
          <w:szCs w:val="16"/>
          <w:color w:val="auto"/>
        </w:rPr>
        <w:t>As of September 29, 2012, we operated 283 traditional stores and ten non-traditional stores in United States, Canada and Puerto Rico (collectively, North America), 58 traditional stores in the United Kingdom and Ireland (collectively, Europe) and had 87 franchised stores operating internationally under the Build-A-Bear Workshop brand. Non-traditional store locations include stores in select Major League Baseball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ballparks, a zoo, a science center, an airport and a hospital as well as temporary pop-up locations. In order to capitalize on short-term opportunities in specific locations, we have selectively opened temporary, pop-up locations. In addition to our stores, we market our products and build our brand through our Web sites.</w:t>
      </w:r>
    </w:p>
    <w:p>
      <w:pPr>
        <w:spacing w:after="0" w:line="23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operate in three reportable segments (retail, commercial and international franchising) that share the same infrastructure, including management, systems, merchandising and marketing, and generate revenues as follows:</w:t>
      </w:r>
    </w:p>
    <w:p>
      <w:pPr>
        <w:spacing w:after="0" w:line="224" w:lineRule="exact"/>
        <w:rPr>
          <w:sz w:val="20"/>
          <w:szCs w:val="20"/>
          <w:color w:val="auto"/>
        </w:rPr>
      </w:pPr>
    </w:p>
    <w:p>
      <w:pPr>
        <w:ind w:left="880" w:hanging="332"/>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Company-owned traditional and non-traditional retail stores located in North America and Europe and e-commerce Web sites or “web stores”;</w:t>
      </w:r>
    </w:p>
    <w:p>
      <w:pPr>
        <w:spacing w:after="0" w:line="248" w:lineRule="exact"/>
        <w:rPr>
          <w:rFonts w:ascii="Arial" w:cs="Arial" w:eastAsia="Arial" w:hAnsi="Arial"/>
          <w:sz w:val="16"/>
          <w:szCs w:val="16"/>
          <w:color w:val="auto"/>
        </w:rPr>
      </w:pPr>
    </w:p>
    <w:p>
      <w:pPr>
        <w:ind w:left="880" w:right="220" w:hanging="332"/>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Transactions with other business partners, mainly comprised of licensing our intellectual property, including entertainment properties, for third-party use and wholesale product sales; and</w:t>
      </w:r>
    </w:p>
    <w:p>
      <w:pPr>
        <w:spacing w:after="0" w:line="224" w:lineRule="exact"/>
        <w:rPr>
          <w:rFonts w:ascii="Arial" w:cs="Arial" w:eastAsia="Arial" w:hAnsi="Arial"/>
          <w:sz w:val="18"/>
          <w:szCs w:val="18"/>
          <w:color w:val="auto"/>
        </w:rPr>
      </w:pPr>
    </w:p>
    <w:p>
      <w:pPr>
        <w:ind w:left="880" w:hanging="3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international stores operated under franchise agreements.</w:t>
      </w:r>
    </w:p>
    <w:p>
      <w:pPr>
        <w:spacing w:after="0" w:line="27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thirty-nine weeks ended September 29, 2012 and October 1, 2011 are set forth in the notes to our condensed consolidated financial statements included elsewhere in this quarterly report on Form 10-Q.</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 w:name="page13"/>
    <w:bookmarkEnd w:id="12"/>
    <w:p>
      <w:pPr>
        <w:ind w:right="20" w:firstLine="486"/>
        <w:spacing w:after="0" w:line="302" w:lineRule="auto"/>
        <w:rPr>
          <w:sz w:val="20"/>
          <w:szCs w:val="20"/>
          <w:color w:val="auto"/>
        </w:rPr>
      </w:pPr>
      <w:r>
        <w:rPr>
          <w:rFonts w:ascii="Arial" w:cs="Arial" w:eastAsia="Arial" w:hAnsi="Arial"/>
          <w:sz w:val="16"/>
          <w:szCs w:val="16"/>
          <w:color w:val="auto"/>
        </w:rPr>
        <w:t>We use comparable store sales as one of the performance measures for our business. Comparable store sales percentage changes are based on net retail sales, excluding our web store and seasonal and event-based locations. Stores are considered comparable beginning in their thirteenth full month of operation. Stores with relocations or remodels that result in a significant change in square footage are excluded from the comparable stores sales calculation until the thirteenth full month of operation after the change. The percentage change in comparable store sales for the periods presented below is as follows: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3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7"/>
              </w:rPr>
              <w:t>September 29,</w:t>
            </w:r>
          </w:p>
        </w:tc>
        <w:tc>
          <w:tcPr>
            <w:tcW w:w="100" w:type="dxa"/>
            <w:vAlign w:val="bottom"/>
          </w:tcPr>
          <w:p>
            <w:pPr>
              <w:spacing w:after="0"/>
              <w:rPr>
                <w:sz w:val="17"/>
                <w:szCs w:val="17"/>
                <w:color w:val="auto"/>
              </w:rPr>
            </w:pPr>
          </w:p>
        </w:tc>
        <w:tc>
          <w:tcPr>
            <w:tcW w:w="136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October 1,</w:t>
            </w:r>
          </w:p>
        </w:tc>
        <w:tc>
          <w:tcPr>
            <w:tcW w:w="10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September 29,</w:t>
            </w:r>
          </w:p>
        </w:tc>
        <w:tc>
          <w:tcPr>
            <w:tcW w:w="100" w:type="dxa"/>
            <w:vAlign w:val="bottom"/>
          </w:tcPr>
          <w:p>
            <w:pPr>
              <w:spacing w:after="0"/>
              <w:rPr>
                <w:sz w:val="17"/>
                <w:szCs w:val="17"/>
                <w:color w:val="auto"/>
              </w:rPr>
            </w:pPr>
          </w:p>
        </w:tc>
        <w:tc>
          <w:tcPr>
            <w:tcW w:w="132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460" w:type="dxa"/>
            <w:vAlign w:val="bottom"/>
            <w:gridSpan w:val="2"/>
          </w:tcPr>
          <w:p>
            <w:pPr>
              <w:ind w:left="600"/>
              <w:spacing w:after="0"/>
              <w:rPr>
                <w:sz w:val="20"/>
                <w:szCs w:val="20"/>
                <w:color w:val="auto"/>
              </w:rPr>
            </w:pPr>
            <w:r>
              <w:rPr>
                <w:rFonts w:ascii="Arial" w:cs="Arial" w:eastAsia="Arial" w:hAnsi="Arial"/>
                <w:sz w:val="18"/>
                <w:szCs w:val="18"/>
                <w:b w:val="1"/>
                <w:bCs w:val="1"/>
                <w:color w:val="auto"/>
              </w:rPr>
              <w:t>2011</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2012</w:t>
            </w:r>
          </w:p>
        </w:tc>
        <w:tc>
          <w:tcPr>
            <w:tcW w:w="14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0FFFF"/>
          </w:tcPr>
          <w:p>
            <w:pPr>
              <w:spacing w:after="0"/>
              <w:rPr>
                <w:sz w:val="20"/>
                <w:szCs w:val="20"/>
                <w:color w:val="auto"/>
              </w:rPr>
            </w:pPr>
            <w:r>
              <w:rPr>
                <w:rFonts w:ascii="Arial" w:cs="Arial" w:eastAsia="Arial" w:hAnsi="Arial"/>
                <w:sz w:val="18"/>
                <w:szCs w:val="18"/>
                <w:color w:val="auto"/>
              </w:rPr>
              <w:t>North America</w:t>
            </w:r>
          </w:p>
        </w:tc>
        <w:tc>
          <w:tcPr>
            <w:tcW w:w="1360" w:type="dxa"/>
            <w:vAlign w:val="bottom"/>
            <w:shd w:val="clear" w:color="auto" w:fill="C0FFFF"/>
          </w:tcPr>
          <w:p>
            <w:pPr>
              <w:jc w:val="right"/>
              <w:ind w:right="310"/>
              <w:spacing w:after="0"/>
              <w:rPr>
                <w:sz w:val="20"/>
                <w:szCs w:val="20"/>
                <w:color w:val="auto"/>
              </w:rPr>
            </w:pPr>
            <w:r>
              <w:rPr>
                <w:rFonts w:ascii="Arial" w:cs="Arial" w:eastAsia="Arial" w:hAnsi="Arial"/>
                <w:sz w:val="18"/>
                <w:szCs w:val="18"/>
                <w:b w:val="1"/>
                <w:bCs w:val="1"/>
                <w:color w:val="auto"/>
              </w:rPr>
              <w:t>(11.8)%</w:t>
            </w:r>
          </w:p>
        </w:tc>
        <w:tc>
          <w:tcPr>
            <w:tcW w:w="1460" w:type="dxa"/>
            <w:vAlign w:val="bottom"/>
            <w:gridSpan w:val="2"/>
            <w:shd w:val="clear" w:color="auto" w:fill="C0FFFF"/>
          </w:tcPr>
          <w:p>
            <w:pPr>
              <w:ind w:left="600"/>
              <w:spacing w:after="0"/>
              <w:rPr>
                <w:sz w:val="20"/>
                <w:szCs w:val="20"/>
                <w:color w:val="auto"/>
              </w:rPr>
            </w:pPr>
            <w:r>
              <w:rPr>
                <w:rFonts w:ascii="Arial" w:cs="Arial" w:eastAsia="Arial" w:hAnsi="Arial"/>
                <w:sz w:val="18"/>
                <w:szCs w:val="18"/>
                <w:color w:val="auto"/>
              </w:rPr>
              <w:t>0.7%</w:t>
            </w:r>
          </w:p>
        </w:tc>
        <w:tc>
          <w:tcPr>
            <w:tcW w:w="1400" w:type="dxa"/>
            <w:vAlign w:val="bottom"/>
            <w:gridSpan w:val="2"/>
            <w:shd w:val="clear" w:color="auto" w:fill="C0FFFF"/>
          </w:tcPr>
          <w:p>
            <w:pPr>
              <w:jc w:val="center"/>
              <w:ind w:left="50"/>
              <w:spacing w:after="0"/>
              <w:rPr>
                <w:sz w:val="20"/>
                <w:szCs w:val="20"/>
                <w:color w:val="auto"/>
              </w:rPr>
            </w:pPr>
            <w:r>
              <w:rPr>
                <w:rFonts w:ascii="Arial" w:cs="Arial" w:eastAsia="Arial" w:hAnsi="Arial"/>
                <w:sz w:val="18"/>
                <w:szCs w:val="18"/>
                <w:b w:val="1"/>
                <w:bCs w:val="1"/>
                <w:color w:val="auto"/>
              </w:rPr>
              <w:t>(3.4)%</w:t>
            </w:r>
          </w:p>
        </w:tc>
        <w:tc>
          <w:tcPr>
            <w:tcW w:w="1420" w:type="dxa"/>
            <w:vAlign w:val="bottom"/>
            <w:gridSpan w:val="2"/>
            <w:shd w:val="clear" w:color="auto" w:fill="C0FFFF"/>
          </w:tcPr>
          <w:p>
            <w:pPr>
              <w:jc w:val="right"/>
              <w:ind w:right="3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Europe</w:t>
            </w: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19"/>
                <w:szCs w:val="19"/>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Consolidated</w:t>
            </w:r>
          </w:p>
        </w:tc>
        <w:tc>
          <w:tcPr>
            <w:tcW w:w="1360" w:type="dxa"/>
            <w:vAlign w:val="bottom"/>
            <w:tcBorders>
              <w:bottom w:val="single" w:sz="8" w:color="auto"/>
            </w:tcBorders>
            <w:shd w:val="clear" w:color="auto" w:fill="C0FFFF"/>
          </w:tcPr>
          <w:p>
            <w:pPr>
              <w:jc w:val="right"/>
              <w:ind w:right="310"/>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0FFFF"/>
            </w:tcBorders>
            <w:shd w:val="clear" w:color="auto" w:fill="C0FFFF"/>
          </w:tcPr>
          <w:p>
            <w:pPr>
              <w:spacing w:after="0"/>
              <w:rPr>
                <w:sz w:val="22"/>
                <w:szCs w:val="22"/>
                <w:color w:val="auto"/>
              </w:rPr>
            </w:pPr>
          </w:p>
        </w:tc>
        <w:tc>
          <w:tcPr>
            <w:tcW w:w="1360" w:type="dxa"/>
            <w:vAlign w:val="bottom"/>
            <w:tcBorders>
              <w:bottom w:val="single" w:sz="8" w:color="auto"/>
            </w:tcBorders>
            <w:shd w:val="clear" w:color="auto" w:fill="C0FFFF"/>
          </w:tcPr>
          <w:p>
            <w:pPr>
              <w:ind w:left="50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0FFFF"/>
            </w:tcBorders>
            <w:shd w:val="clear" w:color="auto" w:fill="C0FFFF"/>
          </w:tcPr>
          <w:p>
            <w:pPr>
              <w:spacing w:after="0"/>
              <w:rPr>
                <w:sz w:val="22"/>
                <w:szCs w:val="22"/>
                <w:color w:val="auto"/>
              </w:rPr>
            </w:pPr>
          </w:p>
        </w:tc>
        <w:tc>
          <w:tcPr>
            <w:tcW w:w="1300" w:type="dxa"/>
            <w:vAlign w:val="bottom"/>
            <w:tcBorders>
              <w:bottom w:val="single" w:sz="8" w:color="auto"/>
            </w:tcBorders>
            <w:shd w:val="clear" w:color="auto" w:fill="C0FFFF"/>
          </w:tcPr>
          <w:p>
            <w:pPr>
              <w:jc w:val="center"/>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0FFFF"/>
            </w:tcBorders>
            <w:shd w:val="clear" w:color="auto" w:fill="C0FFFF"/>
          </w:tcPr>
          <w:p>
            <w:pPr>
              <w:spacing w:after="0"/>
              <w:rPr>
                <w:sz w:val="22"/>
                <w:szCs w:val="22"/>
                <w:color w:val="auto"/>
              </w:rPr>
            </w:pPr>
          </w:p>
        </w:tc>
        <w:tc>
          <w:tcPr>
            <w:tcW w:w="1320" w:type="dxa"/>
            <w:vAlign w:val="bottom"/>
            <w:tcBorders>
              <w:bottom w:val="single" w:sz="8" w:color="auto"/>
            </w:tcBorders>
            <w:shd w:val="clear" w:color="auto" w:fill="C0FFFF"/>
          </w:tcPr>
          <w:p>
            <w:pPr>
              <w:jc w:val="right"/>
              <w:ind w:right="3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the changes in comparable store sales for the periods presented are primarily attributable to the following factors:</w:t>
      </w:r>
    </w:p>
    <w:p>
      <w:pPr>
        <w:spacing w:after="0" w:line="279" w:lineRule="exact"/>
        <w:rPr>
          <w:sz w:val="20"/>
          <w:szCs w:val="20"/>
          <w:color w:val="auto"/>
        </w:rPr>
      </w:pPr>
    </w:p>
    <w:p>
      <w:pPr>
        <w:ind w:left="880" w:right="120" w:hanging="372"/>
        <w:spacing w:after="0" w:line="342"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fiscal 2012 third quarter, we experienced a decline in the number of transactions compared to the 2011 third quarter which benefitted from a strong product offering that was tied to a major theatrical release that was supported by studio marketing and advertising.</w:t>
      </w:r>
    </w:p>
    <w:p>
      <w:pPr>
        <w:spacing w:after="0" w:line="123" w:lineRule="exact"/>
        <w:rPr>
          <w:rFonts w:ascii="Arial" w:cs="Arial" w:eastAsia="Arial" w:hAnsi="Arial"/>
          <w:sz w:val="16"/>
          <w:szCs w:val="16"/>
          <w:color w:val="auto"/>
        </w:rPr>
      </w:pPr>
    </w:p>
    <w:p>
      <w:pPr>
        <w:ind w:left="880" w:right="60" w:hanging="372"/>
        <w:spacing w:after="0" w:line="312"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sales decline in North America in the third quarter more than offset the slight positive in comparable store sales through the first twenty-six weeks of fiscal 2012. In the first half of the year, we had benefit from higher redemption rates and transaction value of our holiday gift cards and from a promotion in the United States with McDonald’s Happy Meals® that drove awareness of our brand and brought traffic to our stores.</w:t>
      </w:r>
    </w:p>
    <w:p>
      <w:pPr>
        <w:spacing w:after="0" w:line="146" w:lineRule="exact"/>
        <w:rPr>
          <w:rFonts w:ascii="Arial" w:cs="Arial" w:eastAsia="Arial" w:hAnsi="Arial"/>
          <w:sz w:val="16"/>
          <w:szCs w:val="16"/>
          <w:color w:val="auto"/>
        </w:rPr>
      </w:pPr>
    </w:p>
    <w:p>
      <w:pPr>
        <w:ind w:left="880" w:right="940" w:hanging="372"/>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United Kingdom, we believe the negative economic conditions contributed to a continued decline in consumer sentiment and a corresponding decline in spending that negatively impacted our comparable store sales.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Company is working improve comparable store sales with the following key initiatives:</w:t>
      </w:r>
    </w:p>
    <w:p>
      <w:pPr>
        <w:spacing w:after="0" w:line="225" w:lineRule="exact"/>
        <w:rPr>
          <w:sz w:val="20"/>
          <w:szCs w:val="20"/>
          <w:color w:val="auto"/>
        </w:rPr>
      </w:pPr>
    </w:p>
    <w:p>
      <w:pPr>
        <w:ind w:left="880" w:hanging="37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aggressively working to increase store traffic and the destination appeal of our stores by:</w:t>
      </w:r>
    </w:p>
    <w:p>
      <w:pPr>
        <w:spacing w:after="0" w:line="252" w:lineRule="exact"/>
        <w:rPr>
          <w:rFonts w:ascii="Arial" w:cs="Arial" w:eastAsia="Arial" w:hAnsi="Arial"/>
          <w:sz w:val="18"/>
          <w:szCs w:val="18"/>
          <w:color w:val="auto"/>
        </w:rPr>
      </w:pPr>
    </w:p>
    <w:p>
      <w:pPr>
        <w:ind w:left="1960" w:hanging="331"/>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enhancing our experience with a new store design;</w:t>
      </w:r>
    </w:p>
    <w:p>
      <w:pPr>
        <w:spacing w:after="0" w:line="252"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increasing productivity and profitability of our existing stores through strategic closures, primarily in multi-store markets where we expect to transfer a portion of the closed stores sales to remaining stores in the market and the relocation of select other stores with a reduction in square footage thereby improving their productivity; and</w:t>
      </w:r>
    </w:p>
    <w:p>
      <w:pPr>
        <w:spacing w:after="0" w:line="208" w:lineRule="exact"/>
        <w:rPr>
          <w:rFonts w:ascii="Arial" w:cs="Arial" w:eastAsia="Arial" w:hAnsi="Arial"/>
          <w:sz w:val="18"/>
          <w:szCs w:val="18"/>
          <w:color w:val="auto"/>
        </w:rPr>
      </w:pPr>
    </w:p>
    <w:p>
      <w:pPr>
        <w:ind w:left="1960" w:right="320" w:hanging="331"/>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increasing shopping frequency by increasing new guest traffic to our stores through a rebalanced marketing message to include both product and brand;</w:t>
      </w:r>
    </w:p>
    <w:p>
      <w:pPr>
        <w:spacing w:after="0" w:line="197" w:lineRule="exact"/>
        <w:rPr>
          <w:rFonts w:ascii="Arial" w:cs="Arial" w:eastAsia="Arial" w:hAnsi="Arial"/>
          <w:sz w:val="18"/>
          <w:szCs w:val="18"/>
          <w:color w:val="auto"/>
        </w:rPr>
      </w:pPr>
    </w:p>
    <w:p>
      <w:pPr>
        <w:ind w:left="880" w:hanging="37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refreshed our loyalty program to increase retention; and</w:t>
      </w:r>
    </w:p>
    <w:p>
      <w:pPr>
        <w:spacing w:after="0" w:line="225" w:lineRule="exact"/>
        <w:rPr>
          <w:rFonts w:ascii="Arial" w:cs="Arial" w:eastAsia="Arial" w:hAnsi="Arial"/>
          <w:sz w:val="18"/>
          <w:szCs w:val="18"/>
          <w:color w:val="auto"/>
        </w:rPr>
      </w:pPr>
    </w:p>
    <w:p>
      <w:pPr>
        <w:ind w:left="880" w:right="120" w:hanging="37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capitalize on our brand advertising to increase gift purchases by reminding consumers about the gift of the experience and by expanding distribution of gift cards in third-party outlets during the peak gifting season in the fourth quarter.</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Stores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w:t>
      </w:r>
    </w:p>
    <w:p>
      <w:pPr>
        <w:spacing w:after="0" w:line="279"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As of September 29, 2012, we operated 283 traditional stores and ten non-traditional stores (such as ballparks, zoo, airport, hospital and temporary stores) in North America and 58 traditional stores in Europe. The table below sets forth the number of Build-A-Bear Workshop company-owned stores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w w:val="89"/>
              </w:rPr>
              <w:t>2012</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4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1"/>
              </w:rPr>
              <w:t>Thirty-nine Weeks Ended September 29, 2012</w:t>
            </w:r>
          </w:p>
        </w:tc>
        <w:tc>
          <w:tcPr>
            <w:tcW w:w="4360" w:type="dxa"/>
            <w:vAlign w:val="bottom"/>
            <w:gridSpan w:val="7"/>
          </w:tcPr>
          <w:p>
            <w:pPr>
              <w:ind w:left="20"/>
              <w:spacing w:after="0"/>
              <w:rPr>
                <w:sz w:val="20"/>
                <w:szCs w:val="20"/>
                <w:color w:val="auto"/>
              </w:rPr>
            </w:pPr>
            <w:r>
              <w:rPr>
                <w:rFonts w:ascii="Arial" w:cs="Arial" w:eastAsia="Arial" w:hAnsi="Arial"/>
                <w:sz w:val="18"/>
                <w:szCs w:val="18"/>
                <w:b w:val="1"/>
                <w:bCs w:val="1"/>
                <w:color w:val="auto"/>
                <w:w w:val="93"/>
              </w:rPr>
              <w:t>Fifty-two Weeks Ended December 29, 2012 - Projected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6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6"/>
              </w:rPr>
              <w:t>December</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September</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December</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4"/>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Opened</w:t>
            </w:r>
          </w:p>
        </w:tc>
        <w:tc>
          <w:tcPr>
            <w:tcW w:w="1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Closed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Opened</w:t>
            </w:r>
          </w:p>
        </w:tc>
        <w:tc>
          <w:tcPr>
            <w:tcW w:w="1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Closed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0FFFF"/>
          </w:tcPr>
          <w:p>
            <w:pPr>
              <w:spacing w:after="0"/>
              <w:rPr>
                <w:sz w:val="20"/>
                <w:szCs w:val="20"/>
                <w:color w:val="auto"/>
              </w:rPr>
            </w:pPr>
            <w:r>
              <w:rPr>
                <w:rFonts w:ascii="Arial" w:cs="Arial" w:eastAsia="Arial" w:hAnsi="Arial"/>
                <w:sz w:val="18"/>
                <w:szCs w:val="18"/>
                <w:color w:val="auto"/>
              </w:rPr>
              <w:t>North America</w:t>
            </w:r>
          </w:p>
        </w:tc>
        <w:tc>
          <w:tcPr>
            <w:tcW w:w="106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4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 w:type="dxa"/>
            <w:vAlign w:val="bottom"/>
            <w:tcBorders>
              <w:top w:val="single" w:sz="8" w:color="auto"/>
            </w:tcBorders>
            <w:shd w:val="clear" w:color="auto" w:fill="C0FFFF"/>
          </w:tcPr>
          <w:p>
            <w:pPr>
              <w:spacing w:after="0"/>
              <w:rPr>
                <w:sz w:val="18"/>
                <w:szCs w:val="18"/>
                <w:color w:val="auto"/>
              </w:rPr>
            </w:pPr>
          </w:p>
        </w:tc>
        <w:tc>
          <w:tcPr>
            <w:tcW w:w="10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Non-traditional</w:t>
            </w: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0FFFF"/>
            </w:tcBorders>
            <w:shd w:val="clear" w:color="auto" w:fill="C0FFFF"/>
          </w:tcPr>
          <w:p>
            <w:pPr>
              <w:spacing w:after="0"/>
              <w:rPr>
                <w:sz w:val="19"/>
                <w:szCs w:val="19"/>
                <w:color w:val="auto"/>
              </w:rPr>
            </w:pP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0FFFF"/>
            </w:tcBorders>
            <w:shd w:val="clear" w:color="auto" w:fill="C0FFFF"/>
          </w:tcPr>
          <w:p>
            <w:pPr>
              <w:spacing w:after="0"/>
              <w:rPr>
                <w:sz w:val="19"/>
                <w:szCs w:val="19"/>
                <w:color w:val="auto"/>
              </w:rPr>
            </w:pPr>
          </w:p>
        </w:tc>
        <w:tc>
          <w:tcPr>
            <w:tcW w:w="10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0FFFF"/>
            </w:tcBorders>
            <w:shd w:val="clear" w:color="auto" w:fill="C0FFFF"/>
          </w:tcPr>
          <w:p>
            <w:pPr>
              <w:spacing w:after="0"/>
              <w:rPr>
                <w:sz w:val="19"/>
                <w:szCs w:val="19"/>
                <w:color w:val="auto"/>
              </w:rPr>
            </w:pPr>
          </w:p>
        </w:tc>
        <w:tc>
          <w:tcPr>
            <w:tcW w:w="102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0FFFF"/>
            </w:tcBorders>
            <w:shd w:val="clear" w:color="auto" w:fill="C0FFFF"/>
          </w:tcPr>
          <w:p>
            <w:pPr>
              <w:spacing w:after="0"/>
              <w:rPr>
                <w:sz w:val="19"/>
                <w:szCs w:val="19"/>
                <w:color w:val="auto"/>
              </w:rPr>
            </w:pPr>
          </w:p>
        </w:tc>
        <w:tc>
          <w:tcPr>
            <w:tcW w:w="2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0FFFF"/>
            </w:tcBorders>
            <w:shd w:val="clear" w:color="auto" w:fill="C0FFFF"/>
          </w:tcPr>
          <w:p>
            <w:pPr>
              <w:spacing w:after="0"/>
              <w:rPr>
                <w:sz w:val="19"/>
                <w:szCs w:val="19"/>
                <w:color w:val="auto"/>
              </w:rPr>
            </w:pPr>
          </w:p>
        </w:tc>
        <w:tc>
          <w:tcPr>
            <w:tcW w:w="10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0FFFF"/>
            </w:tcBorders>
            <w:shd w:val="clear" w:color="auto" w:fill="C0FFFF"/>
          </w:tcPr>
          <w:p>
            <w:pPr>
              <w:spacing w:after="0"/>
              <w:rPr>
                <w:sz w:val="19"/>
                <w:szCs w:val="19"/>
                <w:color w:val="auto"/>
              </w:rPr>
            </w:pPr>
          </w:p>
        </w:tc>
        <w:tc>
          <w:tcPr>
            <w:tcW w:w="10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0FFFF"/>
            </w:tcBorders>
            <w:shd w:val="clear" w:color="auto" w:fill="C0FFFF"/>
          </w:tcPr>
          <w:p>
            <w:pPr>
              <w:spacing w:after="0"/>
              <w:rPr>
                <w:sz w:val="19"/>
                <w:szCs w:val="19"/>
                <w:color w:val="auto"/>
              </w:rPr>
            </w:pPr>
          </w:p>
        </w:tc>
        <w:tc>
          <w:tcPr>
            <w:tcW w:w="10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Europe</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0FFFF"/>
            </w:tcBorders>
            <w:shd w:val="clear" w:color="auto" w:fill="C0FFFF"/>
          </w:tcPr>
          <w:p>
            <w:pPr>
              <w:spacing w:after="0"/>
              <w:rPr>
                <w:sz w:val="22"/>
                <w:szCs w:val="22"/>
                <w:color w:val="auto"/>
              </w:rPr>
            </w:pP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0FFFF"/>
            </w:tcBorders>
            <w:shd w:val="clear" w:color="auto" w:fill="C0FFFF"/>
          </w:tcPr>
          <w:p>
            <w:pPr>
              <w:spacing w:after="0"/>
              <w:rPr>
                <w:sz w:val="22"/>
                <w:szCs w:val="22"/>
                <w:color w:val="auto"/>
              </w:rPr>
            </w:pPr>
          </w:p>
        </w:tc>
        <w:tc>
          <w:tcPr>
            <w:tcW w:w="10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0FFFF"/>
            </w:tcBorders>
            <w:shd w:val="clear" w:color="auto" w:fill="C0FFFF"/>
          </w:tcPr>
          <w:p>
            <w:pPr>
              <w:spacing w:after="0"/>
              <w:rPr>
                <w:sz w:val="22"/>
                <w:szCs w:val="22"/>
                <w:color w:val="auto"/>
              </w:rPr>
            </w:pPr>
          </w:p>
        </w:tc>
        <w:tc>
          <w:tcPr>
            <w:tcW w:w="102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0FFFF"/>
            </w:tcBorders>
            <w:shd w:val="clear" w:color="auto" w:fill="C0FFFF"/>
          </w:tcPr>
          <w:p>
            <w:pPr>
              <w:spacing w:after="0"/>
              <w:rPr>
                <w:sz w:val="22"/>
                <w:szCs w:val="22"/>
                <w:color w:val="auto"/>
              </w:rPr>
            </w:pPr>
          </w:p>
        </w:tc>
        <w:tc>
          <w:tcPr>
            <w:tcW w:w="20" w:type="dxa"/>
            <w:vAlign w:val="bottom"/>
            <w:tcBorders>
              <w:bottom w:val="single" w:sz="8" w:color="auto"/>
            </w:tcBorders>
            <w:shd w:val="clear" w:color="auto" w:fill="C0FFFF"/>
          </w:tcPr>
          <w:p>
            <w:pPr>
              <w:spacing w:after="0"/>
              <w:rPr>
                <w:sz w:val="22"/>
                <w:szCs w:val="22"/>
                <w:color w:val="auto"/>
              </w:rPr>
            </w:pPr>
          </w:p>
        </w:tc>
        <w:tc>
          <w:tcPr>
            <w:tcW w:w="100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0FFFF"/>
            </w:tcBorders>
            <w:shd w:val="clear" w:color="auto" w:fill="C0FFFF"/>
          </w:tcPr>
          <w:p>
            <w:pPr>
              <w:spacing w:after="0"/>
              <w:rPr>
                <w:sz w:val="22"/>
                <w:szCs w:val="22"/>
                <w:color w:val="auto"/>
              </w:rPr>
            </w:pPr>
          </w:p>
        </w:tc>
        <w:tc>
          <w:tcPr>
            <w:tcW w:w="10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0FFFF"/>
            </w:tcBorders>
            <w:shd w:val="clear" w:color="auto" w:fill="C0FFFF"/>
          </w:tcPr>
          <w:p>
            <w:pPr>
              <w:spacing w:after="0"/>
              <w:rPr>
                <w:sz w:val="22"/>
                <w:szCs w:val="22"/>
                <w:color w:val="auto"/>
              </w:rPr>
            </w:pPr>
          </w:p>
        </w:tc>
        <w:tc>
          <w:tcPr>
            <w:tcW w:w="10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0FFFF"/>
            </w:tcBorders>
            <w:shd w:val="clear" w:color="auto" w:fill="C0FFFF"/>
          </w:tcPr>
          <w:p>
            <w:pPr>
              <w:spacing w:after="0"/>
              <w:rPr>
                <w:sz w:val="22"/>
                <w:szCs w:val="22"/>
                <w:color w:val="auto"/>
              </w:rPr>
            </w:pPr>
          </w:p>
        </w:tc>
        <w:tc>
          <w:tcPr>
            <w:tcW w:w="10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757"/>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79"/>
              </w:rPr>
              <w:t>2011</w:t>
            </w: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4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0"/>
              </w:rPr>
              <w:t>Thirty-nine Weeks Ended October 1, 2011</w:t>
            </w:r>
          </w:p>
        </w:tc>
        <w:tc>
          <w:tcPr>
            <w:tcW w:w="4360" w:type="dxa"/>
            <w:vAlign w:val="bottom"/>
            <w:gridSpan w:val="7"/>
          </w:tcPr>
          <w:p>
            <w:pPr>
              <w:jc w:val="right"/>
              <w:ind w:right="510"/>
              <w:spacing w:after="0"/>
              <w:rPr>
                <w:sz w:val="20"/>
                <w:szCs w:val="20"/>
                <w:color w:val="auto"/>
              </w:rPr>
            </w:pPr>
            <w:r>
              <w:rPr>
                <w:rFonts w:ascii="Arial" w:cs="Arial" w:eastAsia="Arial" w:hAnsi="Arial"/>
                <w:sz w:val="18"/>
                <w:szCs w:val="18"/>
                <w:b w:val="1"/>
                <w:bCs w:val="1"/>
                <w:color w:val="auto"/>
              </w:rPr>
              <w:t>Fifty-two Weeks Ended December 31, 2011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4"/>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January 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October 1,</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January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Opened</w:t>
            </w:r>
          </w:p>
        </w:tc>
        <w:tc>
          <w:tcPr>
            <w:tcW w:w="1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Closed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Opened</w:t>
            </w:r>
          </w:p>
        </w:tc>
        <w:tc>
          <w:tcPr>
            <w:tcW w:w="1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Closed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0FFFF"/>
          </w:tcPr>
          <w:p>
            <w:pPr>
              <w:spacing w:after="0"/>
              <w:rPr>
                <w:sz w:val="20"/>
                <w:szCs w:val="20"/>
                <w:color w:val="auto"/>
              </w:rPr>
            </w:pPr>
            <w:r>
              <w:rPr>
                <w:rFonts w:ascii="Arial" w:cs="Arial" w:eastAsia="Arial" w:hAnsi="Arial"/>
                <w:sz w:val="18"/>
                <w:szCs w:val="18"/>
                <w:color w:val="auto"/>
              </w:rPr>
              <w:t>North America</w:t>
            </w:r>
          </w:p>
        </w:tc>
        <w:tc>
          <w:tcPr>
            <w:tcW w:w="106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4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 w:type="dxa"/>
            <w:vAlign w:val="bottom"/>
            <w:tcBorders>
              <w:top w:val="single" w:sz="8" w:color="auto"/>
            </w:tcBorders>
            <w:shd w:val="clear" w:color="auto" w:fill="C0FFFF"/>
          </w:tcPr>
          <w:p>
            <w:pPr>
              <w:spacing w:after="0"/>
              <w:rPr>
                <w:sz w:val="18"/>
                <w:szCs w:val="18"/>
                <w:color w:val="auto"/>
              </w:rPr>
            </w:pPr>
          </w:p>
        </w:tc>
        <w:tc>
          <w:tcPr>
            <w:tcW w:w="10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Non-traditional</w:t>
            </w: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0FFFF"/>
            </w:tcBorders>
            <w:shd w:val="clear" w:color="auto" w:fill="C0FFFF"/>
          </w:tcPr>
          <w:p>
            <w:pPr>
              <w:spacing w:after="0"/>
              <w:rPr>
                <w:sz w:val="19"/>
                <w:szCs w:val="19"/>
                <w:color w:val="auto"/>
              </w:rPr>
            </w:pP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0FFFF"/>
            </w:tcBorders>
            <w:shd w:val="clear" w:color="auto" w:fill="C0FFFF"/>
          </w:tcPr>
          <w:p>
            <w:pPr>
              <w:spacing w:after="0"/>
              <w:rPr>
                <w:sz w:val="19"/>
                <w:szCs w:val="19"/>
                <w:color w:val="auto"/>
              </w:rPr>
            </w:pPr>
          </w:p>
        </w:tc>
        <w:tc>
          <w:tcPr>
            <w:tcW w:w="10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0FFFF"/>
            </w:tcBorders>
            <w:shd w:val="clear" w:color="auto" w:fill="C0FFFF"/>
          </w:tcPr>
          <w:p>
            <w:pPr>
              <w:spacing w:after="0"/>
              <w:rPr>
                <w:sz w:val="19"/>
                <w:szCs w:val="19"/>
                <w:color w:val="auto"/>
              </w:rPr>
            </w:pPr>
          </w:p>
        </w:tc>
        <w:tc>
          <w:tcPr>
            <w:tcW w:w="102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0FFFF"/>
            </w:tcBorders>
            <w:shd w:val="clear" w:color="auto" w:fill="C0FFFF"/>
          </w:tcPr>
          <w:p>
            <w:pPr>
              <w:spacing w:after="0"/>
              <w:rPr>
                <w:sz w:val="19"/>
                <w:szCs w:val="19"/>
                <w:color w:val="auto"/>
              </w:rPr>
            </w:pPr>
          </w:p>
        </w:tc>
        <w:tc>
          <w:tcPr>
            <w:tcW w:w="2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0FFFF"/>
            </w:tcBorders>
            <w:shd w:val="clear" w:color="auto" w:fill="C0FFFF"/>
          </w:tcPr>
          <w:p>
            <w:pPr>
              <w:spacing w:after="0"/>
              <w:rPr>
                <w:sz w:val="19"/>
                <w:szCs w:val="19"/>
                <w:color w:val="auto"/>
              </w:rPr>
            </w:pPr>
          </w:p>
        </w:tc>
        <w:tc>
          <w:tcPr>
            <w:tcW w:w="10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0FFFF"/>
            </w:tcBorders>
            <w:shd w:val="clear" w:color="auto" w:fill="C0FFFF"/>
          </w:tcPr>
          <w:p>
            <w:pPr>
              <w:spacing w:after="0"/>
              <w:rPr>
                <w:sz w:val="19"/>
                <w:szCs w:val="19"/>
                <w:color w:val="auto"/>
              </w:rPr>
            </w:pPr>
          </w:p>
        </w:tc>
        <w:tc>
          <w:tcPr>
            <w:tcW w:w="10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0FFFF"/>
            </w:tcBorders>
            <w:shd w:val="clear" w:color="auto" w:fill="C0FFFF"/>
          </w:tcPr>
          <w:p>
            <w:pPr>
              <w:spacing w:after="0"/>
              <w:rPr>
                <w:sz w:val="19"/>
                <w:szCs w:val="19"/>
                <w:color w:val="auto"/>
              </w:rPr>
            </w:pPr>
          </w:p>
        </w:tc>
        <w:tc>
          <w:tcPr>
            <w:tcW w:w="10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spacing w:after="0"/>
              <w:rPr>
                <w:sz w:val="18"/>
                <w:szCs w:val="18"/>
                <w:color w:val="auto"/>
              </w:rPr>
            </w:pPr>
          </w:p>
        </w:tc>
        <w:tc>
          <w:tcPr>
            <w:tcW w:w="1160" w:type="dxa"/>
            <w:vAlign w:val="bottom"/>
            <w:gridSpan w:val="2"/>
            <w:shd w:val="clear" w:color="auto" w:fill="C0FFFF"/>
          </w:tcPr>
          <w:p>
            <w:pPr>
              <w:spacing w:after="0"/>
              <w:rPr>
                <w:sz w:val="18"/>
                <w:szCs w:val="18"/>
                <w:color w:val="auto"/>
              </w:rPr>
            </w:pPr>
          </w:p>
        </w:tc>
        <w:tc>
          <w:tcPr>
            <w:tcW w:w="1120" w:type="dxa"/>
            <w:vAlign w:val="bottom"/>
            <w:gridSpan w:val="2"/>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spacing w:after="0"/>
              <w:rPr>
                <w:sz w:val="18"/>
                <w:szCs w:val="18"/>
                <w:color w:val="auto"/>
              </w:rPr>
            </w:pPr>
          </w:p>
        </w:tc>
        <w:tc>
          <w:tcPr>
            <w:tcW w:w="1120" w:type="dxa"/>
            <w:vAlign w:val="bottom"/>
            <w:gridSpan w:val="2"/>
            <w:shd w:val="clear" w:color="auto" w:fill="C0FFFF"/>
          </w:tcPr>
          <w:p>
            <w:pPr>
              <w:spacing w:after="0"/>
              <w:rPr>
                <w:sz w:val="18"/>
                <w:szCs w:val="18"/>
                <w:color w:val="auto"/>
              </w:rPr>
            </w:pPr>
          </w:p>
        </w:tc>
        <w:tc>
          <w:tcPr>
            <w:tcW w:w="1120" w:type="dxa"/>
            <w:vAlign w:val="bottom"/>
            <w:gridSpan w:val="2"/>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Europe</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0FFFF"/>
            </w:tcBorders>
            <w:shd w:val="clear" w:color="auto" w:fill="C0FFFF"/>
          </w:tcPr>
          <w:p>
            <w:pPr>
              <w:spacing w:after="0"/>
              <w:rPr>
                <w:sz w:val="22"/>
                <w:szCs w:val="22"/>
                <w:color w:val="auto"/>
              </w:rPr>
            </w:pPr>
          </w:p>
        </w:tc>
        <w:tc>
          <w:tcPr>
            <w:tcW w:w="10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0FFFF"/>
            </w:tcBorders>
            <w:shd w:val="clear" w:color="auto" w:fill="C0FFFF"/>
          </w:tcPr>
          <w:p>
            <w:pPr>
              <w:spacing w:after="0"/>
              <w:rPr>
                <w:sz w:val="22"/>
                <w:szCs w:val="22"/>
                <w:color w:val="auto"/>
              </w:rPr>
            </w:pPr>
          </w:p>
        </w:tc>
        <w:tc>
          <w:tcPr>
            <w:tcW w:w="10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0FFFF"/>
            </w:tcBorders>
            <w:shd w:val="clear" w:color="auto" w:fill="C0FFFF"/>
          </w:tcPr>
          <w:p>
            <w:pPr>
              <w:spacing w:after="0"/>
              <w:rPr>
                <w:sz w:val="22"/>
                <w:szCs w:val="22"/>
                <w:color w:val="auto"/>
              </w:rPr>
            </w:pPr>
          </w:p>
        </w:tc>
        <w:tc>
          <w:tcPr>
            <w:tcW w:w="102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0FFFF"/>
            </w:tcBorders>
            <w:shd w:val="clear" w:color="auto" w:fill="C0FFFF"/>
          </w:tcPr>
          <w:p>
            <w:pPr>
              <w:spacing w:after="0"/>
              <w:rPr>
                <w:sz w:val="22"/>
                <w:szCs w:val="22"/>
                <w:color w:val="auto"/>
              </w:rPr>
            </w:pPr>
          </w:p>
        </w:tc>
        <w:tc>
          <w:tcPr>
            <w:tcW w:w="20" w:type="dxa"/>
            <w:vAlign w:val="bottom"/>
            <w:tcBorders>
              <w:bottom w:val="single" w:sz="8" w:color="auto"/>
            </w:tcBorders>
            <w:shd w:val="clear" w:color="auto" w:fill="C0FFFF"/>
          </w:tcPr>
          <w:p>
            <w:pPr>
              <w:spacing w:after="0"/>
              <w:rPr>
                <w:sz w:val="22"/>
                <w:szCs w:val="22"/>
                <w:color w:val="auto"/>
              </w:rPr>
            </w:pPr>
          </w:p>
        </w:tc>
        <w:tc>
          <w:tcPr>
            <w:tcW w:w="100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0FFFF"/>
            </w:tcBorders>
            <w:shd w:val="clear" w:color="auto" w:fill="C0FFFF"/>
          </w:tcPr>
          <w:p>
            <w:pPr>
              <w:spacing w:after="0"/>
              <w:rPr>
                <w:sz w:val="22"/>
                <w:szCs w:val="22"/>
                <w:color w:val="auto"/>
              </w:rPr>
            </w:pPr>
          </w:p>
        </w:tc>
        <w:tc>
          <w:tcPr>
            <w:tcW w:w="10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0FFFF"/>
            </w:tcBorders>
            <w:shd w:val="clear" w:color="auto" w:fill="C0FFFF"/>
          </w:tcPr>
          <w:p>
            <w:pPr>
              <w:spacing w:after="0"/>
              <w:rPr>
                <w:sz w:val="22"/>
                <w:szCs w:val="22"/>
                <w:color w:val="auto"/>
              </w:rPr>
            </w:pPr>
          </w:p>
        </w:tc>
        <w:tc>
          <w:tcPr>
            <w:tcW w:w="10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0FFFF"/>
            </w:tcBorders>
            <w:shd w:val="clear" w:color="auto" w:fill="C0FFFF"/>
          </w:tcPr>
          <w:p>
            <w:pPr>
              <w:spacing w:after="0"/>
              <w:rPr>
                <w:sz w:val="22"/>
                <w:szCs w:val="22"/>
                <w:color w:val="auto"/>
              </w:rPr>
            </w:pPr>
          </w:p>
        </w:tc>
        <w:tc>
          <w:tcPr>
            <w:tcW w:w="10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long term store real estate goal is to improve our stores’ sales productivity and profitability. Today we believe that the optimal number of Build-A-Bear Workshop stores in North America is between 225 to 250 and approximately 70 in the United Kingdom and Ireland for a total of 295 to 320 stores. We expect to reach this level within the next two years with the closure of 50 to 60 stores, primarily in North America, and select openings as part of our market repositioning and optimization plans.</w:t>
      </w:r>
    </w:p>
    <w:p>
      <w:pPr>
        <w:spacing w:after="0" w:line="24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Integral to the success of this strategy is the opening of our new store design which gives certain stores destination appeal and increases productivity in the market. The new design merges Build-A-Bear Workshop’s iconic hands-on bear-making process with the power of technology to provide a new, highly interactive experience for our guests. As of November 6, 2012, we have opened four of these stores, one new store and three remodels, and we plan to open two additional remodeled locations by the end of 2012. Aspects of the new design will be expanded and leveraged across future relocations and remodels as part of our market optimization plan. In 2012, we have also opened one traditional store and one non-traditional store in North America. The traditional store is a reopening in a mall that had been closed since 2010 due to flooding. We have opened two more traditional stores in the UK since the end of the third quarter of 2012.</w:t>
      </w:r>
    </w:p>
    <w:p>
      <w:pPr>
        <w:spacing w:after="0" w:line="24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have been aggressively renegotiating rents and executing short term extensions to line up lease dates within markets as part of an overall strategic plan to optimize our store locations and market positioning. As part of this strategy, we will continue to close underperforming stores in conjunction with natural lease expirations and kick out clauses, primarily in multi-store markets. In these markets, we currently expect to maintain approximately 20% to 30% of the sales from closing stores by transferring customers to other locations in the same market. In fiscal 2011, we closed 12 stores, and in fiscal 2012, we anticipate closing nine stores, including non-traditional store locations. As a result, at the end of fiscal 2012, we anticipate that we will have 343 traditional stores, 283 in North America and 60 in Europe and nine non-traditional stores. In 2013, we currently plan to close approximately 30 to 35 additional stores in North America with approximately half of these scheduled in the first quarter.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7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Our first franchised location opened in November 2003. The number of international, franchised stores for the periods presented below can be summarized as follows:</w:t>
      </w:r>
    </w:p>
    <w:p>
      <w:pPr>
        <w:spacing w:after="0" w:line="220"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Thirty-nine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360" w:type="dxa"/>
            <w:vAlign w:val="bottom"/>
            <w:tcBorders>
              <w:top w:val="single" w:sz="8" w:color="auto"/>
            </w:tcBorders>
          </w:tcPr>
          <w:p>
            <w:pPr>
              <w:jc w:val="center"/>
              <w:ind w:left="90"/>
              <w:spacing w:after="0" w:line="205" w:lineRule="exact"/>
              <w:rPr>
                <w:sz w:val="20"/>
                <w:szCs w:val="20"/>
                <w:color w:val="auto"/>
              </w:rPr>
            </w:pPr>
            <w:r>
              <w:rPr>
                <w:rFonts w:ascii="Arial" w:cs="Arial" w:eastAsia="Arial" w:hAnsi="Arial"/>
                <w:sz w:val="18"/>
                <w:szCs w:val="18"/>
                <w:b w:val="1"/>
                <w:bCs w:val="1"/>
                <w:color w:val="auto"/>
                <w:w w:val="89"/>
              </w:rPr>
              <w:t>September 29,</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350"/>
              <w:spacing w:after="0" w:line="205" w:lineRule="exact"/>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41"/>
        </w:trPr>
        <w:tc>
          <w:tcPr>
            <w:tcW w:w="71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17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0FFFF"/>
          </w:tcPr>
          <w:p>
            <w:pPr>
              <w:jc w:val="right"/>
              <w:ind w:right="10"/>
              <w:spacing w:after="0"/>
              <w:rPr>
                <w:sz w:val="20"/>
                <w:szCs w:val="20"/>
                <w:color w:val="auto"/>
              </w:rPr>
            </w:pPr>
            <w:r>
              <w:rPr>
                <w:rFonts w:ascii="Arial" w:cs="Arial" w:eastAsia="Arial" w:hAnsi="Arial"/>
                <w:sz w:val="18"/>
                <w:szCs w:val="18"/>
                <w:b w:val="1"/>
                <w:bCs w:val="1"/>
                <w:color w:val="auto"/>
                <w:w w:val="89"/>
              </w:rPr>
              <w:t>79</w:t>
            </w:r>
          </w:p>
        </w:tc>
        <w:tc>
          <w:tcPr>
            <w:tcW w:w="17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Opened</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12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Closed</w:t>
            </w:r>
          </w:p>
        </w:tc>
        <w:tc>
          <w:tcPr>
            <w:tcW w:w="1360" w:type="dxa"/>
            <w:vAlign w:val="bottom"/>
            <w:tcBorders>
              <w:bottom w:val="single" w:sz="8" w:color="auto"/>
            </w:tcBorders>
            <w:shd w:val="clear" w:color="auto" w:fill="C0FFFF"/>
          </w:tcPr>
          <w:p>
            <w:pPr>
              <w:spacing w:after="0"/>
              <w:rPr>
                <w:sz w:val="19"/>
                <w:szCs w:val="19"/>
                <w:color w:val="auto"/>
              </w:rPr>
            </w:pPr>
          </w:p>
        </w:tc>
        <w:tc>
          <w:tcPr>
            <w:tcW w:w="3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C0FFFF"/>
            </w:tcBorders>
            <w:shd w:val="clear" w:color="auto" w:fill="C0FFFF"/>
          </w:tcPr>
          <w:p>
            <w:pPr>
              <w:spacing w:after="0"/>
              <w:rPr>
                <w:sz w:val="19"/>
                <w:szCs w:val="19"/>
                <w:color w:val="auto"/>
              </w:rPr>
            </w:pPr>
          </w:p>
        </w:tc>
        <w:tc>
          <w:tcPr>
            <w:tcW w:w="16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As of September 29, 2012, we had master franchise agreements, which typically grant franchise rights for a particular country or countries, covering 16 countries. We anticipate signing additional master franchise agreements in the future. We expect to end fiscal 2012 with approximately 90 franchised locations. We believe there is a market potential for approximately 300 franchised stores outside of the United States, Canada, Puerto Rico, the United Kingdom and Ireland.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income data expressed as a percentage of total revenues, except where otherwise indicated: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3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89"/>
              </w:rPr>
              <w:t>September 29,</w:t>
            </w:r>
          </w:p>
        </w:tc>
        <w:tc>
          <w:tcPr>
            <w:tcW w:w="120" w:type="dxa"/>
            <w:vAlign w:val="bottom"/>
          </w:tcPr>
          <w:p>
            <w:pPr>
              <w:spacing w:after="0"/>
              <w:rPr>
                <w:sz w:val="17"/>
                <w:szCs w:val="17"/>
                <w:color w:val="auto"/>
              </w:rPr>
            </w:pPr>
          </w:p>
        </w:tc>
        <w:tc>
          <w:tcPr>
            <w:tcW w:w="130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October 1,</w:t>
            </w:r>
          </w:p>
        </w:tc>
        <w:tc>
          <w:tcPr>
            <w:tcW w:w="100" w:type="dxa"/>
            <w:vAlign w:val="bottom"/>
          </w:tcPr>
          <w:p>
            <w:pPr>
              <w:spacing w:after="0"/>
              <w:rPr>
                <w:sz w:val="17"/>
                <w:szCs w:val="17"/>
                <w:color w:val="auto"/>
              </w:rPr>
            </w:pPr>
          </w:p>
        </w:tc>
        <w:tc>
          <w:tcPr>
            <w:tcW w:w="13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89"/>
              </w:rPr>
              <w:t>September 29,</w:t>
            </w:r>
          </w:p>
        </w:tc>
        <w:tc>
          <w:tcPr>
            <w:tcW w:w="100" w:type="dxa"/>
            <w:vAlign w:val="bottom"/>
          </w:tcPr>
          <w:p>
            <w:pPr>
              <w:spacing w:after="0"/>
              <w:rPr>
                <w:sz w:val="17"/>
                <w:szCs w:val="17"/>
                <w:color w:val="auto"/>
              </w:rPr>
            </w:pPr>
          </w:p>
        </w:tc>
        <w:tc>
          <w:tcPr>
            <w:tcW w:w="130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4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130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300" w:type="dxa"/>
            <w:vAlign w:val="bottom"/>
          </w:tcPr>
          <w:p>
            <w:pPr>
              <w:jc w:val="right"/>
              <w:spacing w:after="0"/>
              <w:rPr>
                <w:sz w:val="20"/>
                <w:szCs w:val="20"/>
                <w:color w:val="auto"/>
              </w:rPr>
            </w:pPr>
            <w:r>
              <w:rPr>
                <w:rFonts w:ascii="Arial" w:cs="Arial" w:eastAsia="Arial" w:hAnsi="Arial"/>
                <w:sz w:val="18"/>
                <w:szCs w:val="18"/>
                <w:color w:val="auto"/>
              </w:rPr>
              <w:t>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97.9%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98.4%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Commercial revenue</w:t>
            </w:r>
          </w:p>
        </w:tc>
        <w:tc>
          <w:tcPr>
            <w:tcW w:w="130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1.1</w:t>
            </w:r>
          </w:p>
        </w:tc>
        <w:tc>
          <w:tcPr>
            <w:tcW w:w="142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1.2</w:t>
            </w:r>
          </w:p>
        </w:tc>
        <w:tc>
          <w:tcPr>
            <w:tcW w:w="14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0.8</w:t>
            </w:r>
          </w:p>
        </w:tc>
        <w:tc>
          <w:tcPr>
            <w:tcW w:w="14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Franchise fees</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revenues</w:t>
            </w:r>
          </w:p>
        </w:tc>
        <w:tc>
          <w:tcPr>
            <w:tcW w:w="130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0FFFF"/>
          </w:tcPr>
          <w:p>
            <w:pPr>
              <w:spacing w:after="0"/>
              <w:rPr>
                <w:sz w:val="20"/>
                <w:szCs w:val="20"/>
                <w:color w:val="auto"/>
              </w:rPr>
            </w:pPr>
            <w:r>
              <w:rPr>
                <w:rFonts w:ascii="Arial" w:cs="Arial" w:eastAsia="Arial" w:hAnsi="Arial"/>
                <w:sz w:val="18"/>
                <w:szCs w:val="18"/>
                <w:color w:val="auto"/>
              </w:rPr>
              <w:t>Costs and expenses:</w:t>
            </w:r>
          </w:p>
        </w:tc>
        <w:tc>
          <w:tcPr>
            <w:tcW w:w="13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Cost of merchandise sold </w:t>
            </w:r>
            <w:r>
              <w:rPr>
                <w:rFonts w:ascii="Arial" w:cs="Arial" w:eastAsia="Arial" w:hAnsi="Arial"/>
                <w:sz w:val="25"/>
                <w:szCs w:val="25"/>
                <w:color w:val="auto"/>
                <w:vertAlign w:val="superscript"/>
              </w:rPr>
              <w:t>(1)</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63.3</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59.6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62.6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42.5</w:t>
            </w:r>
          </w:p>
        </w:tc>
        <w:tc>
          <w:tcPr>
            <w:tcW w:w="142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39.0</w:t>
            </w:r>
          </w:p>
        </w:tc>
        <w:tc>
          <w:tcPr>
            <w:tcW w:w="14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43.3</w:t>
            </w:r>
          </w:p>
        </w:tc>
        <w:tc>
          <w:tcPr>
            <w:tcW w:w="14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costs and expenses</w:t>
            </w:r>
          </w:p>
        </w:tc>
        <w:tc>
          <w:tcPr>
            <w:tcW w:w="130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105.2</w:t>
            </w:r>
          </w:p>
        </w:tc>
        <w:tc>
          <w:tcPr>
            <w:tcW w:w="142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98.1</w:t>
            </w:r>
          </w:p>
        </w:tc>
        <w:tc>
          <w:tcPr>
            <w:tcW w:w="14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105.3</w:t>
            </w:r>
          </w:p>
        </w:tc>
        <w:tc>
          <w:tcPr>
            <w:tcW w:w="14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Income (loss) before income taxes</w:t>
            </w:r>
          </w:p>
        </w:tc>
        <w:tc>
          <w:tcPr>
            <w:tcW w:w="13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(5.2)</w:t>
            </w:r>
          </w:p>
        </w:tc>
        <w:tc>
          <w:tcPr>
            <w:tcW w:w="142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1.9</w:t>
            </w:r>
          </w:p>
        </w:tc>
        <w:tc>
          <w:tcPr>
            <w:tcW w:w="140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(5.3)</w:t>
            </w:r>
          </w:p>
        </w:tc>
        <w:tc>
          <w:tcPr>
            <w:tcW w:w="140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Net income (loss)</w:t>
            </w:r>
          </w:p>
        </w:tc>
        <w:tc>
          <w:tcPr>
            <w:tcW w:w="13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(4.9)</w:t>
            </w:r>
          </w:p>
        </w:tc>
        <w:tc>
          <w:tcPr>
            <w:tcW w:w="142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0.9</w:t>
            </w:r>
          </w:p>
        </w:tc>
        <w:tc>
          <w:tcPr>
            <w:tcW w:w="140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(4.9)</w:t>
            </w:r>
          </w:p>
        </w:tc>
        <w:tc>
          <w:tcPr>
            <w:tcW w:w="140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80" w:type="dxa"/>
            <w:vAlign w:val="bottom"/>
            <w:tcBorders>
              <w:bottom w:val="single" w:sz="8" w:color="C0FFFF"/>
            </w:tcBorders>
            <w:shd w:val="clear" w:color="auto" w:fill="C0FFFF"/>
          </w:tcPr>
          <w:p>
            <w:pPr>
              <w:spacing w:after="0" w:line="216" w:lineRule="exact"/>
              <w:rPr>
                <w:sz w:val="20"/>
                <w:szCs w:val="20"/>
                <w:color w:val="auto"/>
              </w:rPr>
            </w:pPr>
            <w:r>
              <w:rPr>
                <w:rFonts w:ascii="Arial" w:cs="Arial" w:eastAsia="Arial" w:hAnsi="Arial"/>
                <w:sz w:val="18"/>
                <w:szCs w:val="18"/>
                <w:color w:val="auto"/>
              </w:rPr>
              <w:t xml:space="preserve">Retail Gross Margin % </w:t>
            </w:r>
            <w:r>
              <w:rPr>
                <w:rFonts w:ascii="Arial" w:cs="Arial" w:eastAsia="Arial" w:hAnsi="Arial"/>
                <w:sz w:val="25"/>
                <w:szCs w:val="25"/>
                <w:color w:val="auto"/>
                <w:vertAlign w:val="superscript"/>
              </w:rPr>
              <w:t>(2)</w:t>
            </w:r>
          </w:p>
        </w:tc>
        <w:tc>
          <w:tcPr>
            <w:tcW w:w="13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0FFFF"/>
            </w:tcBorders>
            <w:shd w:val="clear" w:color="auto" w:fill="C0FFFF"/>
          </w:tcPr>
          <w:p>
            <w:pPr>
              <w:spacing w:after="0"/>
              <w:rPr>
                <w:sz w:val="22"/>
                <w:szCs w:val="22"/>
                <w:color w:val="auto"/>
              </w:rPr>
            </w:pPr>
          </w:p>
        </w:tc>
        <w:tc>
          <w:tcPr>
            <w:tcW w:w="13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0FFFF"/>
            </w:tcBorders>
            <w:shd w:val="clear" w:color="auto" w:fill="C0FFFF"/>
          </w:tcPr>
          <w:p>
            <w:pPr>
              <w:spacing w:after="0"/>
              <w:rPr>
                <w:sz w:val="22"/>
                <w:szCs w:val="22"/>
                <w:color w:val="auto"/>
              </w:rPr>
            </w:pPr>
          </w:p>
        </w:tc>
        <w:tc>
          <w:tcPr>
            <w:tcW w:w="13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0FFFF"/>
            </w:tcBorders>
            <w:shd w:val="clear" w:color="auto" w:fill="C0FFFF"/>
          </w:tcPr>
          <w:p>
            <w:pPr>
              <w:spacing w:after="0"/>
              <w:rPr>
                <w:sz w:val="22"/>
                <w:szCs w:val="22"/>
                <w:color w:val="auto"/>
              </w:rPr>
            </w:pPr>
          </w:p>
        </w:tc>
        <w:tc>
          <w:tcPr>
            <w:tcW w:w="13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79" w:lineRule="exact"/>
        <w:rPr>
          <w:rFonts w:ascii="Arial" w:cs="Arial" w:eastAsia="Arial" w:hAnsi="Arial"/>
          <w:sz w:val="18"/>
          <w:szCs w:val="18"/>
          <w:color w:val="auto"/>
        </w:rPr>
      </w:pPr>
    </w:p>
    <w:p>
      <w:pPr>
        <w:ind w:left="340" w:right="32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$30.8 million and $96.4 million for the thirteen and thirty-nine weeks ended September 29, 2012, respectively and $38.4 million $103.7 million for the thirteen and thirty-nine weeks ended October 1, 2011, respectively. Retail gross margin percentage represents respectively retail gross margin divided by net retail sales.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Thirteen weeks ended September 29, 2012 compared to thirteen weeks ended October 1, 2011</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i w:val="1"/>
          <w:iCs w:val="1"/>
          <w:color w:val="auto"/>
        </w:rPr>
        <w:t xml:space="preserve">Net retail sales. </w:t>
      </w:r>
      <w:r>
        <w:rPr>
          <w:rFonts w:ascii="Arial" w:cs="Arial" w:eastAsia="Arial" w:hAnsi="Arial"/>
          <w:sz w:val="17"/>
          <w:szCs w:val="17"/>
          <w:color w:val="auto"/>
        </w:rPr>
        <w:t>Net retail sales were $84.3 million for the thirteen weeks ended September 29, 2012 compared to $95.4 million for the thirteen weeks</w:t>
      </w:r>
      <w:r>
        <w:rPr>
          <w:rFonts w:ascii="Arial" w:cs="Arial" w:eastAsia="Arial" w:hAnsi="Arial"/>
          <w:sz w:val="17"/>
          <w:szCs w:val="17"/>
          <w:i w:val="1"/>
          <w:iCs w:val="1"/>
          <w:color w:val="auto"/>
        </w:rPr>
        <w:t xml:space="preserve"> </w:t>
      </w:r>
      <w:r>
        <w:rPr>
          <w:rFonts w:ascii="Arial" w:cs="Arial" w:eastAsia="Arial" w:hAnsi="Arial"/>
          <w:sz w:val="17"/>
          <w:szCs w:val="17"/>
          <w:color w:val="auto"/>
        </w:rPr>
        <w:t>ended October 1, 2011, a decrease of $11.1 million, or 11.7%. This decrease was primarily attributable to a $9.6 million decrease in comparable store sales, a $1.5 million decrease in sales from non-comparable store locations, primarily closures and relocations and a $0.6 million decrease in sales from pop-up and other non-traditional store locations. These were partially offset by a $1.2 million increase in sales from new stores. Other changes in net retail sales, which included foreign currency translation and the positive impact of the changes in deferred revenue, totaled $0.6 million.</w:t>
      </w:r>
    </w:p>
    <w:p>
      <w:pPr>
        <w:spacing w:after="0" w:line="22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believe that the decline in our comparable store sales in the 2012 fiscal third quarter was a result of a decline in the number of transactions compared to the 2011 third quarter which benefitted from a strong product offering that was tied to a major theatrical release that was supported by studio marketing and advertising. Additionally, in the United Kingdom, we believe the negative economic conditions contributed to a continued decline in consumer sentiment and a corresponding decline in spending that negatively impacted our comparable store sales.</w:t>
      </w:r>
    </w:p>
    <w:p>
      <w:pPr>
        <w:spacing w:after="0" w:line="225"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i w:val="1"/>
          <w:iCs w:val="1"/>
          <w:color w:val="auto"/>
        </w:rPr>
        <w:t xml:space="preserve">Commercial revenue and franchise fees. </w:t>
      </w:r>
      <w:r>
        <w:rPr>
          <w:rFonts w:ascii="Arial" w:cs="Arial" w:eastAsia="Arial" w:hAnsi="Arial"/>
          <w:sz w:val="18"/>
          <w:szCs w:val="18"/>
          <w:color w:val="auto"/>
        </w:rPr>
        <w:t>Commercial revenue was $0.9 million for the thirteen weeks ended September 29, 2012, a decrease of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$1.1 million for the thirteen weeks ended October 1, 2011. Revenue from franchise fees was $0.8 million for the thirteen weeks ended September 29, 2012 compared to $0.9 million for the thirteen weeks ended October 1, 2011.</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79"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Total gross margin was $31.3 million for the thirteen weeks ended September 29, 2012 compared to $39.0 million for the thirteen weeks</w:t>
      </w:r>
      <w:r>
        <w:rPr>
          <w:rFonts w:ascii="Arial" w:cs="Arial" w:eastAsia="Arial" w:hAnsi="Arial"/>
          <w:sz w:val="17"/>
          <w:szCs w:val="17"/>
          <w:i w:val="1"/>
          <w:iCs w:val="1"/>
          <w:color w:val="auto"/>
        </w:rPr>
        <w:t xml:space="preserve"> </w:t>
      </w:r>
      <w:r>
        <w:rPr>
          <w:rFonts w:ascii="Arial" w:cs="Arial" w:eastAsia="Arial" w:hAnsi="Arial"/>
          <w:sz w:val="17"/>
          <w:szCs w:val="17"/>
          <w:color w:val="auto"/>
        </w:rPr>
        <w:t>ended October 1, 2011, a decrease of $7.7 million, or 19.7%. Retail gross margin was $30.8 million for the thirteen weeks ended September 29, 2012 compared to $38.4 million for the thirteen weeks ended October 1, 2011, a decrease of $7.6 million, or 19.8%. As a percentage of net retail sales, retail gross margin was 36.5% for the thirteen weeks ended September 29, 2012 compared to 40.2% for the thirteen weeks ended October 1, 2011. This 370 basis points as a percentage of net retail sales (bps) decrease was primarily driven by 270 bps of deleverage of fixed occupancy costs and a 130 bps decline in merchandise margin, partially offset by a 30 bps improvement in warehouse and distribution costs.</w:t>
      </w:r>
    </w:p>
    <w:p>
      <w:pPr>
        <w:spacing w:after="0" w:line="233"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were $36.6 million for the thirteen weeks ended September 29, 2012</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$38.0 million for the thirteen weeks ended October 1, 2011, a decrease of $1.4 million, or 3.8%. The dollar decrease was primarily attributable to a reduction in store payroll partially offset by a small increase in advertising and other corporate expenses. As a percentage of total revenues, selling, general and administrative expenses increased to 42.5% for the thirteen weeks ended September 29, 2012 as compared to 39.0% for the thirteen weeks ended October 1, 2011, a 350 bps increase. This increase was primarily driven by the deleverage of fixed corporate expenses; 140 bps of the increase is attributable to marketing and related expenses and 210 bps is attributable to corporate salaries and other corporate expenses.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Interest expense (income), net. </w:t>
      </w:r>
      <w:r>
        <w:rPr>
          <w:rFonts w:ascii="Arial" w:cs="Arial" w:eastAsia="Arial" w:hAnsi="Arial"/>
          <w:sz w:val="16"/>
          <w:szCs w:val="16"/>
          <w:color w:val="auto"/>
        </w:rPr>
        <w:t>Interest income, net of interest expense, was $40,000 for the thirteen weeks ended September 29, 2012 and October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6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income tax benefit was $0.2 million for the thirteen weeks ended September 29, 2012 as compared to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$1.0 million for the thirteen weeks ended October 1, 2011. The effective tax rate was 4.5% for the thirteen weeks ended September 29, 2012 compared to 54.2% for the thirteen weeks ended October 1, 2011. The decrease in the effective tax rate was primarily attributable to the fluctuation in the valuation allowance recorded in the 2012 third quarter on the US deferred tax assets.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Thirty-nine weeks ended September 29, 2012 compared to thirty-nine weeks ended October 1, 2011</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i w:val="1"/>
          <w:iCs w:val="1"/>
          <w:color w:val="auto"/>
        </w:rPr>
        <w:t xml:space="preserve">Net retail sales. </w:t>
      </w:r>
      <w:r>
        <w:rPr>
          <w:rFonts w:ascii="Arial" w:cs="Arial" w:eastAsia="Arial" w:hAnsi="Arial"/>
          <w:sz w:val="16"/>
          <w:szCs w:val="16"/>
          <w:color w:val="auto"/>
        </w:rPr>
        <w:t>Net retail sales were $258.5 million for the thirty-nine weeks ended September 29, 2012 compared to $269.9 million for the thirty-nine</w:t>
      </w:r>
      <w:r>
        <w:rPr>
          <w:rFonts w:ascii="Arial" w:cs="Arial" w:eastAsia="Arial" w:hAnsi="Arial"/>
          <w:sz w:val="16"/>
          <w:szCs w:val="16"/>
          <w:i w:val="1"/>
          <w:iCs w:val="1"/>
          <w:color w:val="auto"/>
        </w:rPr>
        <w:t xml:space="preserve"> </w:t>
      </w:r>
      <w:r>
        <w:rPr>
          <w:rFonts w:ascii="Arial" w:cs="Arial" w:eastAsia="Arial" w:hAnsi="Arial"/>
          <w:sz w:val="16"/>
          <w:szCs w:val="16"/>
          <w:color w:val="auto"/>
        </w:rPr>
        <w:t>weeks ended October 1, 2011, a decrease of $11.5 million, or 4.3%. This decrease was primarily attributable to a $9.8 million decrease in comparable store sales, a $2.6 million decrease in sales from non-comparable store locations, primarily closures and relocations, and $1.4 million decrease in sales from pop-up and other non-traditional store locations. These were partially offset by a $4.0 million increase in sales from new stores. Other changes in net retail sales, which included the negative impact of the changes in deferred revenue and foreign currency translation, totaled $1.7 million.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color w:val="auto"/>
        </w:rPr>
        <w:t>We believe the decrease in comparable store sales was attributed primarily to the following factors:</w:t>
      </w:r>
    </w:p>
    <w:p>
      <w:pPr>
        <w:spacing w:after="0" w:line="279" w:lineRule="exact"/>
        <w:rPr>
          <w:sz w:val="20"/>
          <w:szCs w:val="20"/>
          <w:color w:val="auto"/>
        </w:rPr>
      </w:pPr>
    </w:p>
    <w:p>
      <w:pPr>
        <w:ind w:left="820" w:right="60" w:hanging="326"/>
        <w:spacing w:after="0" w:line="308"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fiscal 2012 third quarter, we experienced a decline in the number of transactions compared to the 2011 third quarter which benefitted from a strong product offering that was tied to a major theatrical release that was supported by studio marketing and advertising.</w:t>
      </w:r>
    </w:p>
    <w:p>
      <w:pPr>
        <w:spacing w:after="0" w:line="200" w:lineRule="exact"/>
        <w:rPr>
          <w:rFonts w:ascii="Arial" w:cs="Arial" w:eastAsia="Arial" w:hAnsi="Arial"/>
          <w:sz w:val="17"/>
          <w:szCs w:val="17"/>
          <w:color w:val="auto"/>
        </w:rPr>
      </w:pPr>
    </w:p>
    <w:p>
      <w:pPr>
        <w:ind w:left="820" w:right="140" w:hanging="326"/>
        <w:spacing w:after="0" w:line="312"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sales decline in North America in the third quarter more than offset the slight positive in comparable store sales through the first twenty-six weeks of fiscal 2012. In the first half of the year, we had benefit from higher redemption rates and transaction value of our holiday gift cards and from a promotion in the United States with McDonald’s Happy Meals® that drove awareness of our brand and brought traffic to our stores.</w:t>
      </w:r>
    </w:p>
    <w:p>
      <w:pPr>
        <w:spacing w:after="0" w:line="200" w:lineRule="exact"/>
        <w:rPr>
          <w:rFonts w:ascii="Arial" w:cs="Arial" w:eastAsia="Arial" w:hAnsi="Arial"/>
          <w:sz w:val="16"/>
          <w:szCs w:val="16"/>
          <w:color w:val="auto"/>
        </w:rPr>
      </w:pPr>
    </w:p>
    <w:p>
      <w:pPr>
        <w:ind w:left="820" w:right="100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United Kingdom, we believe the negative economic conditions contributed to a continued decline in consumer sentiment and a corresponding decline in spending that negatively impacted our comparable store sales.</w:t>
      </w:r>
    </w:p>
    <w:p>
      <w:pPr>
        <w:spacing w:after="0" w:line="170"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i w:val="1"/>
          <w:iCs w:val="1"/>
          <w:color w:val="auto"/>
        </w:rPr>
        <w:t xml:space="preserve">Commercial revenue and franchise fees. </w:t>
      </w:r>
      <w:r>
        <w:rPr>
          <w:rFonts w:ascii="Arial" w:cs="Arial" w:eastAsia="Arial" w:hAnsi="Arial"/>
          <w:sz w:val="17"/>
          <w:szCs w:val="17"/>
          <w:color w:val="auto"/>
        </w:rPr>
        <w:t>Commercial revenue was $2.0 million for the thirty-nine weeks ended September 29, 2012 compared to $3.0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thirty-nine weeks ended October 1, 2011, a decrease of $1.0 million. This decrease was primarily attributable to an overall decline in licensing activities. Revenue from franchise fees was $2.3 million for the thirty-nine weeks ended September 29, 2012 and October 1, 2011.</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7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Total gross margin was $97.4 million for the thirty-nine weeks ended September 29, 2012 compared to $105.2 million for the thirty-nine</w:t>
      </w:r>
      <w:r>
        <w:rPr>
          <w:rFonts w:ascii="Arial" w:cs="Arial" w:eastAsia="Arial" w:hAnsi="Arial"/>
          <w:sz w:val="17"/>
          <w:szCs w:val="17"/>
          <w:i w:val="1"/>
          <w:iCs w:val="1"/>
          <w:color w:val="auto"/>
        </w:rPr>
        <w:t xml:space="preserve"> </w:t>
      </w:r>
      <w:r>
        <w:rPr>
          <w:rFonts w:ascii="Arial" w:cs="Arial" w:eastAsia="Arial" w:hAnsi="Arial"/>
          <w:sz w:val="17"/>
          <w:szCs w:val="17"/>
          <w:color w:val="auto"/>
        </w:rPr>
        <w:t>weeks ended October 1, 2011, a decrease of $7.8 million, or 7.4%. Retail gross margin was $96.4 million for the thirty-nine weeks ended September 29, 2012 compared to $103.7 million for the thirty-nine weeks ended October 1, 2011, a decrease of $7.3 million, or 7.0%. As a percentage of net retail sales, retail gross margin decreased to 37.3% for the thirty-nine weeks ended September 29, 2012 from 38.4% for the thirty-nine weeks ended October 1, 2011. This 110 bps decrease resulted primarily from a 110 bps decrease in merchandise margin and an 80 bps decrease in leverage on occupancy costs. These were partially offset by improvements in distribution and packaging costs.</w:t>
      </w:r>
    </w:p>
    <w:p>
      <w:pPr>
        <w:spacing w:after="0" w:line="23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were $113.8 million for the thirty-nine weeks ended September 29,</w:t>
      </w:r>
      <w:r>
        <w:rPr>
          <w:rFonts w:ascii="Arial" w:cs="Arial" w:eastAsia="Arial" w:hAnsi="Arial"/>
          <w:sz w:val="17"/>
          <w:szCs w:val="17"/>
          <w:i w:val="1"/>
          <w:iCs w:val="1"/>
          <w:color w:val="auto"/>
        </w:rPr>
        <w:t xml:space="preserve"> </w:t>
      </w:r>
      <w:r>
        <w:rPr>
          <w:rFonts w:ascii="Arial" w:cs="Arial" w:eastAsia="Arial" w:hAnsi="Arial"/>
          <w:sz w:val="17"/>
          <w:szCs w:val="17"/>
          <w:color w:val="auto"/>
        </w:rPr>
        <w:t>2012 as compared to $120.0 million for the thirty-nine weeks ended October 1, 2011, a decrease of $6.2 million, or 5.2%. As a percentage of total revenues, selling, general and administrative expenses decreased to 43.3% for the thirty-nine weeks ended September 29, 2012 as compared to 43.6% for the thirty-nine weeks ended October 1, 2011, a decrease of 30 bps. The dollar decrease was primarily attributable to consulting costs incurred in the first half of 2011 along with decreases in store payroll in 2012. Additionally, advertising costs have declined as the Company shifted more of its marketing to the fourth quarter of 2012. The decreases were partially offset by increases in corporate payroll and other corporate expenses. Excluding the 2011 consulting costs, selling, general and administrative expenses as a percent of revenue increased by 80 bps as the decreases in store payroll and advertising costs were more than offset by deleverage on the higher fixed components of corporate costs.</w:t>
      </w:r>
    </w:p>
    <w:p>
      <w:pPr>
        <w:spacing w:after="0" w:line="23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$0.2 million for the thirty-nine weeks ended September 29,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$40,000 for the thirty-nine weeks ended October 1, 2011. The increase in interest income was primarily attributable to interest costs related to an ongoing sales and use tax audit in 2011.</w:t>
      </w:r>
    </w:p>
    <w:p>
      <w:pPr>
        <w:spacing w:after="0" w:line="23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benefit was $1.1 million for the thirty-nine weeks ended September 29, 2012 as compared to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$4.4 million for the thirty-nine weeks ended October 1, 2011. The effective tax rate was 7.7% for the thirty-nine weeks ended September 29, 2012 compared to 35.2% for the thirty-nine weeks ended October 1, 2011. The decrease in the effective tax rate was primarily attributable to the fluctuation in the valuation allowance recorded in the first thirty-nine weeks of 2012 on the US deferred tax assets.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83"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comparable store sales; (3) fluctuations in the profitability of our stores; (4) 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 w:name="page18"/>
    <w:bookmarkEnd w:id="17"/>
    <w:p>
      <w:pPr>
        <w:ind w:right="120" w:firstLine="486"/>
        <w:spacing w:after="0" w:line="259" w:lineRule="auto"/>
        <w:rPr>
          <w:sz w:val="20"/>
          <w:szCs w:val="20"/>
          <w:color w:val="auto"/>
        </w:rPr>
      </w:pPr>
      <w:r>
        <w:rPr>
          <w:rFonts w:ascii="Arial" w:cs="Arial" w:eastAsia="Arial" w:hAnsi="Arial"/>
          <w:sz w:val="18"/>
          <w:szCs w:val="18"/>
          <w:color w:val="auto"/>
        </w:rPr>
        <w:t>The timing of store openings, closures and remodels may result in fluctuations in quarterly results as a result of the revenues and expenses associated with each store location. We typically incur most preopening costs for a new store in the three months immediately preceding the store’s opening. Expenses related to store closings are typically incurred in stages: when the decision is made to close the store, when the closure is communicated to store associates and at the time of closure.</w:t>
      </w:r>
    </w:p>
    <w:p>
      <w:pPr>
        <w:spacing w:after="0" w:line="241" w:lineRule="exact"/>
        <w:rPr>
          <w:sz w:val="20"/>
          <w:szCs w:val="20"/>
          <w:color w:val="auto"/>
        </w:rPr>
      </w:pPr>
    </w:p>
    <w:p>
      <w:pPr>
        <w:jc w:val="both"/>
        <w:ind w:right="180" w:firstLine="486"/>
        <w:spacing w:after="0" w:line="286" w:lineRule="auto"/>
        <w:rPr>
          <w:sz w:val="20"/>
          <w:szCs w:val="20"/>
          <w:color w:val="auto"/>
        </w:rPr>
      </w:pPr>
      <w:r>
        <w:rPr>
          <w:rFonts w:ascii="Arial" w:cs="Arial" w:eastAsia="Arial" w:hAnsi="Arial"/>
          <w:sz w:val="17"/>
          <w:szCs w:val="17"/>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2008 fiscal fourth quarter had 14 weeks.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Our cash requirements are primarily for the opening of new stores, information systems, including Web site enhancements and maintenance and working capital. Historically, we have been able to meet these requirements through cash flow provided by operations. In the past, we have also generated capital from the sale and issuance of our securities to private investors, through our initial public offering and our revolving line of credit.</w:t>
      </w:r>
    </w:p>
    <w:p>
      <w:pPr>
        <w:spacing w:after="0" w:line="220"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$14.5 million for the thirty-nine weeks ended September 29, 2012 as compared with $13.2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thirty-nine weeks ended October 1, 2011, an increase of $1.2 million. Generally, changes in cash from operating activities are driven by changes in net income or loss and changes in operating assets and liabilities. The increase for the thirty-nine weeks ended September 29, 2012 reflects the following factors:</w:t>
      </w:r>
    </w:p>
    <w:p>
      <w:pPr>
        <w:spacing w:after="0" w:line="241" w:lineRule="exact"/>
        <w:rPr>
          <w:sz w:val="20"/>
          <w:szCs w:val="20"/>
          <w:color w:val="auto"/>
        </w:rPr>
      </w:pPr>
    </w:p>
    <w:p>
      <w:pPr>
        <w:ind w:left="820" w:right="180" w:hanging="326"/>
        <w:spacing w:after="0" w:line="25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smaller increase in inventories for the first thirty-nine weeks of 2012 as compared to the same period last year, due primarily due to the timing of receipts; partially offset by</w:t>
      </w:r>
    </w:p>
    <w:p>
      <w:pPr>
        <w:spacing w:after="0" w:line="1" w:lineRule="exact"/>
        <w:rPr>
          <w:rFonts w:ascii="Arial" w:cs="Arial" w:eastAsia="Arial" w:hAnsi="Arial"/>
          <w:sz w:val="18"/>
          <w:szCs w:val="18"/>
          <w:color w:val="auto"/>
        </w:rPr>
      </w:pPr>
    </w:p>
    <w:p>
      <w:pPr>
        <w:ind w:left="820" w:right="120" w:hanging="326"/>
        <w:spacing w:after="0" w:line="25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smaller increase in accounts payable and accrued expenses for the first thirty-nine weeks of 2012 as compared to the same period last year, due in part to timing of inventory receipts and payments. Additionally, in 2012, accrued expenses included federal income taxes payable, while in 2011, we had a refund.</w:t>
      </w:r>
    </w:p>
    <w:p>
      <w:pPr>
        <w:spacing w:after="0" w:line="244" w:lineRule="exact"/>
        <w:rPr>
          <w:sz w:val="20"/>
          <w:szCs w:val="20"/>
          <w:color w:val="auto"/>
        </w:rPr>
      </w:pPr>
    </w:p>
    <w:p>
      <w:pPr>
        <w:ind w:right="380" w:firstLine="486"/>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$11.2 million for the thirty-nine weeks ended September 29, 2012 as compared to $10.9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thirty-nine weeks ended October 1, 2011, an increase of $0.3 million. Cash used in investing activities during the thirty-nine weeks ended September 29, 2012 primarily related to investments in central office information technology systems, store construction costs and the acquisition of trademarks and other intellectual property. Cash used in investing activities during the thirty-nine weeks ended October 1, 2011 primarily related to investments in central office information technology systems and new store construction costs as well as the purchase of short term investments, net of maturities.</w:t>
      </w:r>
    </w:p>
    <w:p>
      <w:pPr>
        <w:spacing w:after="0" w:line="247"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No cash was used in financing activities in the thirty-nine weeks ended September 29, 2012. Cash used in financing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was $9.8 million in the thirty-nine weeks ended October 1, 2011, which consisted primarily of cash used for repurchases of the Company’s common stock. No borrowings were made under our line of credit in either the thirty-nine weeks ended September 29, 2012 or October 1, 2011.</w:t>
      </w:r>
    </w:p>
    <w:p>
      <w:pPr>
        <w:spacing w:after="0" w:line="220"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of September 29, 2012, we had a consolidated cash balance of $22.1 million, the majority of which was held outside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We also have a line of credit, which we can use to finance capital expenditures and working capital needs throughout the year. The credit agreement is with U.S. Bank, National Association and was amended effective June 30, 2012. The bank line continues to provide availability of $40 million for the first half of the fiscal year and a seasonal overline of $50 million. The seasonal overline is in effect from July 1 to December 31 each year.</w:t>
      </w:r>
    </w:p>
    <w:p>
      <w:pPr>
        <w:spacing w:after="0" w:line="208"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Borrowings under the credit agreement are secured by our assets and a pledge of 65% of our ownership interest in our foreign subsidiaries. The credit agreement expires on December 31, 2013 and contains various restrictions on indebtedness, liens, guarantees, redemptions, mergers, acquisitions or sale of assets, loans, transactions with affiliates, and investments. It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and may limit our maximum borrowings. As of September 29, 2012: (i) we were in compliance with these covenants; (ii) there were no borrowings under our line of credit;</w:t>
      </w:r>
    </w:p>
    <w:p>
      <w:pPr>
        <w:spacing w:after="0" w:line="1" w:lineRule="exact"/>
        <w:rPr>
          <w:sz w:val="20"/>
          <w:szCs w:val="20"/>
          <w:color w:val="auto"/>
        </w:rPr>
      </w:pPr>
    </w:p>
    <w:p>
      <w:pPr>
        <w:ind w:right="80" w:firstLine="8"/>
        <w:spacing w:after="0" w:line="26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was a standby letter of credit of approximately $1.1 million outstanding under the credit agreement; and (iv) there was approximately $48.9 million available for borrowing under the line of credit.</w:t>
      </w:r>
    </w:p>
    <w:p>
      <w:pPr>
        <w:spacing w:after="0" w:line="18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 w:name="page19"/>
    <w:bookmarkEnd w:id="18"/>
    <w:p>
      <w:pPr>
        <w:jc w:val="both"/>
        <w:ind w:right="100" w:firstLine="486"/>
        <w:spacing w:after="0" w:line="259" w:lineRule="auto"/>
        <w:rPr>
          <w:sz w:val="20"/>
          <w:szCs w:val="20"/>
          <w:color w:val="auto"/>
        </w:rPr>
      </w:pPr>
      <w:r>
        <w:rPr>
          <w:rFonts w:ascii="Arial" w:cs="Arial" w:eastAsia="Arial" w:hAnsi="Arial"/>
          <w:sz w:val="18"/>
          <w:szCs w:val="18"/>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Real estate taxes also change according to government time schedules to reflect current market rental rates for the locations we lease. Rents are charged quarterly and paid in advance.</w:t>
      </w:r>
    </w:p>
    <w:p>
      <w:pPr>
        <w:spacing w:after="0" w:line="241"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In fiscal 2012, we expect to spend a total of approximately $18 million on capital expenditures. Capital spending through the thirty-nine weeks ended September 29, 2012 totaled $13.4 million, on track with our full year plans. Capital spending in fiscal 2012 is primarily for the remodeling of approximately 14 stores and opening of five new stores, with six of these stores in our new design and the continued installation and upgrades of central office information technology systems.</w:t>
      </w:r>
    </w:p>
    <w:p>
      <w:pPr>
        <w:spacing w:after="0" w:line="24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believe that cash generated from operations and available borrowings under our credit agreement will be sufficient to fund our working capital and other cash flow requirements for the near future. Our credit agreement expires on December 31, 2013.</w:t>
      </w:r>
    </w:p>
    <w:p>
      <w:pPr>
        <w:spacing w:after="0" w:line="224"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 stock. On March 10, 2008, we announced an expansion of our share repurchase program to $50 million. On February 23, 2012, we announced that our share repurchase program had been extended to March 31, 2013.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will be subsequently retired. As of November 6, 2012, approximately 5.7 million shares at an average price of $7.35 per share have been repurchased under this program for an aggregate amount of $41.9 million, leaving $8.1 million of availability under the program.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hold a minority interest in Ridemakerz, which is accounted for under the equity method. In 2006, we granted a put option to a group of investors for 1.25 million common units at an exercise price of $0.50 per unit. As previously disclosed in our annual report on Form 10-K as filed with the SEC on March 15, 2012, the put option on all 1.25 million shares was exercised on February 13, 2012. As of September 29, 2012, the book value of our investment in Ridemakerz had been reduced to zero. We still retain an ownership interest of approximately 25%. Under the current agreements, we may, at our option, own up to approximately 33% of fully diluted equity in Ridemakerz. We have no material remaining obligations under the current agreements related to our interest in Ridemakerz.</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believe the application of accounting policies, and the estimates inherently required therein, are reasonable. These accounting policies and estimates, including those related to inventory, long-lived assets, goodwill and revenue recognition,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24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 on March 15, 2012, which includes audited consolidated financial statements for our 2011, 2010 and 2009 fiscal years. There have been no material changes to the critical accounting estimates disclosed in the 2011 Form 10-K, except as follows:</w:t>
      </w:r>
    </w:p>
    <w:p>
      <w:pPr>
        <w:spacing w:after="0" w:line="23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February 2012, we refreshed our Stuff Fur Stuff program. Changes included earlier point expiration and more frequent awards in North America. We also introduced award certificates in the United Kingdom. These changes added additional elements to the estimate, but the calculation will continue to use similar inputs and historical data to those described in the Form 10-K. While these changes did not have a material net impact to the reserve in the current period, any one of the new or changed elements could have a material effect in future periods. We will continue to evaluate point accumulation and redemption patterns as trends develop over time.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There are no new accounting pronouncements for which adoption is expected to have a material effect on the Company’s financial statements in future accounting periods.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outstanding during the first nine months of fiscal 2012. Accordingly, a 100 basis point change in interest rates would result in no material change to our annual interest expense. The second component of interest rate risk involves the investment of excess cash in short term, investment grade interest-bearing securities. These investments are considered to be cash equivalents or short-term investments, based on their original maturity and are classified accordingly on our balance sheet. If there are changes in interest rates, those changes would affect the investment income we earn on these investments and, therefore, impact our cash flows and results of operations.</w:t>
      </w:r>
    </w:p>
    <w:p>
      <w:pPr>
        <w:spacing w:after="0" w:line="2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242"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The Company’s management, with the participation of the Company’s Chief Executive Bear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Financial Bear, has evaluated the effectiveness of the Company’s disclosure controls and procedures (as such term is defined in Rules 13a-15(e) and 15d-15(e) under the Securities Exchange Act of 1934, as amended (the Exchange Act)), as of the end of the period covered by this report. Our disclosure controls are designed to provide reasonable assurance of achieving their objectives and based on the aforementioned evaluation, the Company’s management, including the Chief Executive Bear and Chief Operations and Financial Bear, have concluded that the Company’s disclosure controls and procedures were effective at the reasonable assurance level as of September 29, 2012, the end of the period covered by this quarterly report.</w:t>
      </w:r>
    </w:p>
    <w:p>
      <w:pPr>
        <w:spacing w:after="0" w:line="165"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It should be noted that our management, including the Chief Executive Bear and the Chief Operations and Financial Bear, does not expect that the Company’s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Bear</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Operations and Financial Bear,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December 31, 2011 as filed with the SEC on March 15,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4900" w:type="dxa"/>
            <w:vAlign w:val="bottom"/>
            <w:gridSpan w:val="7"/>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372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of Shares (or</w:t>
            </w: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Dollar Value) of</w:t>
            </w:r>
          </w:p>
        </w:tc>
      </w:tr>
      <w:tr>
        <w:trPr>
          <w:trHeight w:val="216"/>
        </w:trPr>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(or</w:t>
            </w:r>
          </w:p>
        </w:tc>
      </w:tr>
      <w:tr>
        <w:trPr>
          <w:trHeight w:val="216"/>
        </w:trPr>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Units) that May</w:t>
            </w:r>
          </w:p>
        </w:tc>
      </w:tr>
      <w:tr>
        <w:trPr>
          <w:trHeight w:val="216"/>
        </w:trPr>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5"/>
              </w:rPr>
              <w:t>(b)</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Yet Be</w:t>
            </w:r>
          </w:p>
        </w:tc>
      </w:tr>
      <w:tr>
        <w:trPr>
          <w:trHeight w:val="216"/>
        </w:trPr>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Average 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Units)</w:t>
            </w:r>
          </w:p>
        </w:tc>
        <w:tc>
          <w:tcPr>
            <w:tcW w:w="240" w:type="dxa"/>
            <w:vAlign w:val="bottom"/>
          </w:tcPr>
          <w:p>
            <w:pPr>
              <w:spacing w:after="0"/>
              <w:rPr>
                <w:sz w:val="18"/>
                <w:szCs w:val="18"/>
                <w:color w:val="auto"/>
              </w:rPr>
            </w:pPr>
          </w:p>
        </w:tc>
        <w:tc>
          <w:tcPr>
            <w:tcW w:w="15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Paid Per Share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Plans or</w:t>
            </w: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Under the Plan</w:t>
            </w:r>
          </w:p>
        </w:tc>
      </w:tr>
      <w:tr>
        <w:trPr>
          <w:trHeight w:val="241"/>
        </w:trPr>
        <w:tc>
          <w:tcPr>
            <w:tcW w:w="37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9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7"/>
              </w:rPr>
              <w:t>(or Unit)</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or Program</w:t>
            </w:r>
          </w:p>
        </w:tc>
        <w:tc>
          <w:tcPr>
            <w:tcW w:w="100" w:type="dxa"/>
            <w:vAlign w:val="bottom"/>
          </w:tcPr>
          <w:p>
            <w:pPr>
              <w:spacing w:after="0"/>
              <w:rPr>
                <w:sz w:val="20"/>
                <w:szCs w:val="20"/>
                <w:color w:val="auto"/>
              </w:rPr>
            </w:pPr>
          </w:p>
        </w:tc>
      </w:tr>
      <w:tr>
        <w:trPr>
          <w:trHeight w:val="216"/>
        </w:trPr>
        <w:tc>
          <w:tcPr>
            <w:tcW w:w="3720" w:type="dxa"/>
            <w:vAlign w:val="bottom"/>
            <w:shd w:val="clear" w:color="auto" w:fill="C0FFFF"/>
          </w:tcPr>
          <w:p>
            <w:pPr>
              <w:ind w:left="180"/>
              <w:spacing w:after="0"/>
              <w:rPr>
                <w:sz w:val="20"/>
                <w:szCs w:val="20"/>
                <w:color w:val="auto"/>
              </w:rPr>
            </w:pPr>
            <w:r>
              <w:rPr>
                <w:rFonts w:ascii="Arial" w:cs="Arial" w:eastAsia="Arial" w:hAnsi="Arial"/>
                <w:sz w:val="18"/>
                <w:szCs w:val="18"/>
                <w:b w:val="1"/>
                <w:bCs w:val="1"/>
                <w:color w:val="auto"/>
              </w:rPr>
              <w:t>Jul. 1, 2012 – Jul. 28, 2012</w:t>
            </w:r>
          </w:p>
        </w:tc>
        <w:tc>
          <w:tcPr>
            <w:tcW w:w="31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89</w:t>
            </w:r>
          </w:p>
        </w:tc>
        <w:tc>
          <w:tcPr>
            <w:tcW w:w="3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0FFFF"/>
          </w:tcPr>
          <w:p>
            <w:pPr>
              <w:jc w:val="right"/>
              <w:ind w:right="220"/>
              <w:spacing w:after="0"/>
              <w:rPr>
                <w:sz w:val="20"/>
                <w:szCs w:val="20"/>
                <w:color w:val="auto"/>
              </w:rPr>
            </w:pPr>
            <w:r>
              <w:rPr>
                <w:rFonts w:ascii="Arial" w:cs="Arial" w:eastAsia="Arial" w:hAnsi="Arial"/>
                <w:sz w:val="18"/>
                <w:szCs w:val="18"/>
                <w:color w:val="auto"/>
              </w:rPr>
              <w:t>4.58</w:t>
            </w:r>
          </w:p>
        </w:tc>
        <w:tc>
          <w:tcPr>
            <w:tcW w:w="13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8,711,999</w:t>
            </w: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Jul. 29, 2012 – Aug. 25, 2012</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4.47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8,711,999</w:t>
            </w:r>
          </w:p>
        </w:tc>
      </w:tr>
      <w:tr>
        <w:trPr>
          <w:trHeight w:val="223"/>
        </w:trPr>
        <w:tc>
          <w:tcPr>
            <w:tcW w:w="3720" w:type="dxa"/>
            <w:vAlign w:val="bottom"/>
            <w:tcBorders>
              <w:bottom w:val="single" w:sz="8" w:color="C0FFFF"/>
            </w:tcBorders>
            <w:shd w:val="clear" w:color="auto" w:fill="C0FFFF"/>
          </w:tcPr>
          <w:p>
            <w:pPr>
              <w:ind w:left="180"/>
              <w:spacing w:after="0"/>
              <w:rPr>
                <w:sz w:val="20"/>
                <w:szCs w:val="20"/>
                <w:color w:val="auto"/>
              </w:rPr>
            </w:pPr>
            <w:r>
              <w:rPr>
                <w:rFonts w:ascii="Arial" w:cs="Arial" w:eastAsia="Arial" w:hAnsi="Arial"/>
                <w:sz w:val="18"/>
                <w:szCs w:val="18"/>
                <w:b w:val="1"/>
                <w:bCs w:val="1"/>
                <w:color w:val="auto"/>
              </w:rPr>
              <w:t>Aug. 26, 2012 – Sep. 30, 2012</w:t>
            </w:r>
          </w:p>
        </w:tc>
        <w:tc>
          <w:tcPr>
            <w:tcW w:w="1900" w:type="dxa"/>
            <w:vAlign w:val="bottom"/>
            <w:tcBorders>
              <w:bottom w:val="single" w:sz="8" w:color="C0FFFF"/>
            </w:tcBorders>
            <w:shd w:val="clear" w:color="auto" w:fill="C0FFFF"/>
          </w:tcPr>
          <w:p>
            <w:pPr>
              <w:spacing w:after="0"/>
              <w:rPr>
                <w:sz w:val="19"/>
                <w:szCs w:val="19"/>
                <w:color w:val="auto"/>
              </w:rPr>
            </w:pP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17,946</w:t>
            </w:r>
          </w:p>
        </w:tc>
        <w:tc>
          <w:tcPr>
            <w:tcW w:w="24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0FF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Borders>
              <w:bottom w:val="single" w:sz="8" w:color="C0FFFF"/>
            </w:tcBorders>
            <w:shd w:val="clear" w:color="auto" w:fill="C0FFFF"/>
          </w:tcPr>
          <w:p>
            <w:pPr>
              <w:spacing w:after="0"/>
              <w:rPr>
                <w:sz w:val="19"/>
                <w:szCs w:val="19"/>
                <w:color w:val="auto"/>
              </w:rPr>
            </w:pPr>
          </w:p>
        </w:tc>
        <w:tc>
          <w:tcPr>
            <w:tcW w:w="1240" w:type="dxa"/>
            <w:vAlign w:val="bottom"/>
            <w:tcBorders>
              <w:bottom w:val="single" w:sz="8" w:color="auto"/>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8,711,999</w:t>
            </w:r>
          </w:p>
        </w:tc>
        <w:tc>
          <w:tcPr>
            <w:tcW w:w="100" w:type="dxa"/>
            <w:vAlign w:val="bottom"/>
            <w:tcBorders>
              <w:bottom w:val="single" w:sz="8" w:color="C0FFFF"/>
            </w:tcBorders>
            <w:shd w:val="clear" w:color="auto" w:fill="C0FFFF"/>
          </w:tcPr>
          <w:p>
            <w:pPr>
              <w:spacing w:after="0"/>
              <w:rPr>
                <w:sz w:val="19"/>
                <w:szCs w:val="19"/>
                <w:color w:val="auto"/>
              </w:rPr>
            </w:pPr>
          </w:p>
        </w:tc>
      </w:tr>
      <w:tr>
        <w:trPr>
          <w:trHeight w:val="223"/>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9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18,153</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right="20" w:hanging="332"/>
        <w:spacing w:after="0" w:line="25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ind w:left="340" w:right="520" w:hanging="332"/>
        <w:spacing w:after="0" w:line="295"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February 23, 2012, we announced the further extension of our $50 million share repurchase program of our outstanding common stock until March 31, 2013.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Exhibits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jc w:val="right"/>
              <w:ind w:right="455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Agreement and Plan of Merger dated April 3, 2000 between Build-A-Bear Workshop, L.L.C. and the Registrant (incorporated by reference</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Third Amended and Restated Certificate of Incorporation (incorporated by reference from Exhibit 3.1 of our Current Report on Form 8-K,</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November 11, 2004)</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Amended and Restated Bylaws (incorporated by reference from Exhibit 3.4 to our Registration Statement on Form S-1, filed on August 12,</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2004, Registration No. 333-118142)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October 1, 2004, Registration No. 333-118142)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Stock Purchase Agreement by and among the Registrant, Catterton Partners IV, L.P., Catterton Partners IV Offshore, L.P. and Catterton</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0"/>
              </w:rPr>
              <w:t>Partners IV Special Purpose, L.P. and the Purchasers named therein dated as of April 3, 2000 (incorporated by reference from Exhibit 4.2 to</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our Registration Statement on Form S-1, filed on August 12, 2004, Registration No. 333-118142)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7"/>
              </w:rPr>
              <w:t>Stock Purchase Agreement by and among the Registrant and the other Purchasers named therein dated as of September 21, 2001</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(incorporated by reference from Exhibit 4.3 to our Registration Statement on Form S-1, filed on August 12, 2004, Registration No. 333-</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118142)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89"/>
              </w:rPr>
              <w:t>Amended and Restated Registration Rights Agreement, dated September 21, 2001 by and among Registrant and certain stockholders named</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therein (incorporated by reference from Exhibit 4.5 to our Registration Statement on Form S-1, filed on August 12, 2004, Registration No.</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333-118142)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Executive Bear)</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Operations and</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Financial Bear)</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Executive Bear)</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Section 1350 Certification (pursuant to Section 906 of the Sarbanes-Oxley Act of 2002, executed by the Chief Operations and Financial</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Bear)</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Schema</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Calculation</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Definition</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Label</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Presentation</w:t>
            </w:r>
          </w:p>
        </w:tc>
      </w:tr>
      <w:tr>
        <w:trPr>
          <w:trHeight w:val="581"/>
        </w:trPr>
        <w:tc>
          <w:tcPr>
            <w:tcW w:w="1160" w:type="dxa"/>
            <w:vAlign w:val="bottom"/>
          </w:tcPr>
          <w:p>
            <w:pPr>
              <w:spacing w:after="0"/>
              <w:rPr>
                <w:sz w:val="24"/>
                <w:szCs w:val="24"/>
                <w:color w:val="auto"/>
              </w:rPr>
            </w:pPr>
          </w:p>
        </w:tc>
        <w:tc>
          <w:tcPr>
            <w:tcW w:w="10260" w:type="dxa"/>
            <w:vAlign w:val="bottom"/>
            <w:gridSpan w:val="2"/>
          </w:tcPr>
          <w:p>
            <w:pPr>
              <w:jc w:val="right"/>
              <w:ind w:right="5530"/>
              <w:spacing w:after="0"/>
              <w:rPr>
                <w:sz w:val="20"/>
                <w:szCs w:val="20"/>
                <w:color w:val="auto"/>
              </w:rPr>
            </w:pPr>
            <w:r>
              <w:rPr>
                <w:rFonts w:ascii="Arial" w:cs="Arial" w:eastAsia="Arial" w:hAnsi="Arial"/>
                <w:sz w:val="18"/>
                <w:szCs w:val="18"/>
                <w:color w:val="auto"/>
              </w:rPr>
              <w:t>19</w:t>
            </w:r>
          </w:p>
        </w:tc>
      </w:tr>
      <w:tr>
        <w:trPr>
          <w:trHeight w:val="118"/>
        </w:trPr>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2" w:name="page23"/>
    <w:bookmarkEnd w:id="2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Bear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(on behalf of the registrant and as principal executive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Operations and Financial Bear, Treasurer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240" w:top="486"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Maxine Clark, certify that:</w:t>
      </w:r>
    </w:p>
    <w:p>
      <w:pPr>
        <w:spacing w:after="0" w:line="279" w:lineRule="exact"/>
        <w:rPr>
          <w:sz w:val="20"/>
          <w:szCs w:val="20"/>
          <w:color w:val="auto"/>
        </w:rPr>
      </w:pPr>
    </w:p>
    <w:p>
      <w:pPr>
        <w:ind w:left="920" w:hanging="480"/>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79"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480" w:right="120" w:hanging="486"/>
        <w:spacing w:after="0" w:line="264"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480" w:right="40" w:hanging="486"/>
        <w:spacing w:after="0" w:line="264"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480" w:right="220" w:hanging="486"/>
        <w:spacing w:after="0" w:line="342"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480" w:right="200" w:hanging="486"/>
        <w:spacing w:after="0" w:line="264"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920" w:right="180" w:hanging="480"/>
        <w:spacing w:after="0" w:line="34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1480" w:right="460" w:hanging="486"/>
        <w:spacing w:after="0" w:line="342"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480" w:right="140" w:hanging="486"/>
        <w:spacing w:after="0" w:line="277"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25387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Bear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Tina Klocke, certify that:</w:t>
      </w:r>
    </w:p>
    <w:p>
      <w:pPr>
        <w:spacing w:after="0" w:line="279" w:lineRule="exact"/>
        <w:rPr>
          <w:sz w:val="20"/>
          <w:szCs w:val="20"/>
          <w:color w:val="auto"/>
        </w:rPr>
      </w:pPr>
    </w:p>
    <w:p>
      <w:pPr>
        <w:ind w:left="920" w:hanging="480"/>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79"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480" w:right="120" w:hanging="486"/>
        <w:spacing w:after="0" w:line="264"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480" w:right="40" w:hanging="486"/>
        <w:spacing w:after="0" w:line="264"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480" w:right="220" w:hanging="486"/>
        <w:spacing w:after="0" w:line="342" w:lineRule="auto"/>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480" w:right="200" w:hanging="486"/>
        <w:spacing w:after="0" w:line="264"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920" w:right="180" w:hanging="480"/>
        <w:spacing w:after="0" w:line="342"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1480" w:right="460" w:hanging="486"/>
        <w:spacing w:after="0" w:line="342" w:lineRule="auto"/>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480" w:right="140" w:hanging="486"/>
        <w:spacing w:after="0" w:line="277"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25387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Operations and Financial Bear, Treasurer and</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September 29, 2012 filed with the Securities and Exchange Commission on the date hereof (the “Report”), I, Maxine Clark, Chairman of the Board and Chief Executive Bear of the Company, certify, to the best of my knowledge, pursuant to Rule 13a-14(b) and Section 1350 of Chapter 63 of Title 18 of the United States Code,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25387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Executive Bear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Build-A-Bear Workshop, Inc.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September 29, 2012 as filed with the Securities and Exchange Commission on the date hereof (the “Report”), I, Tina Klocke, Chief Operations and Financial Bear, Treasurer and Secretary of the Company, certify, to the best of my knowledge, pursuant to Rule 13a-14(b) and Section 1350 of Chapter 63 of Title 18 of the United States Code,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40" w:hanging="2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25387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Operations and Financial Bear, Treasurer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Build-A-Bear Workshop, Inc.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Roman"/>
      <w:start w:val="3"/>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2019-12-09T14:29:24Z</dcterms:created>
  <dcterms:modified xsi:type="dcterms:W3CDTF">2019-12-09T14:29:24Z</dcterms:modified>
</cp:coreProperties>
</file>