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40" w:hanging="432"/>
        <w:spacing w:after="0" w:line="199" w:lineRule="auto"/>
        <w:tabs>
          <w:tab w:leader="none" w:pos="440"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For the fiscal year ended January 30, 2021</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440" w:type="dxa"/>
        <w:tblCellMar>
          <w:top w:w="0" w:type="dxa"/>
          <w:left w:w="0" w:type="dxa"/>
          <w:bottom w:w="0" w:type="dxa"/>
          <w:right w:w="0" w:type="dxa"/>
        </w:tblCellMar>
      </w:tblP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b w:val="1"/>
                <w:bCs w:val="1"/>
                <w:color w:val="auto"/>
                <w:w w:val="95"/>
              </w:rPr>
              <w:t>For the transition period from</w:t>
            </w:r>
          </w:p>
        </w:tc>
        <w:tc>
          <w:tcPr>
            <w:tcW w:w="420" w:type="dxa"/>
            <w:vAlign w:val="bottom"/>
          </w:tcPr>
          <w:p>
            <w:pPr>
              <w:spacing w:after="0"/>
              <w:rPr>
                <w:sz w:val="12"/>
                <w:szCs w:val="12"/>
                <w:color w:val="auto"/>
              </w:rPr>
            </w:pPr>
          </w:p>
        </w:tc>
        <w:tc>
          <w:tcPr>
            <w:tcW w:w="3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to</w:t>
            </w:r>
          </w:p>
        </w:tc>
      </w:tr>
      <w:tr>
        <w:trPr>
          <w:trHeight w:val="305"/>
        </w:trPr>
        <w:tc>
          <w:tcPr>
            <w:tcW w:w="19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360" w:type="dxa"/>
            <w:vAlign w:val="bottom"/>
          </w:tcPr>
          <w:p>
            <w:pPr>
              <w:ind w:left="1140"/>
              <w:spacing w:after="0"/>
              <w:rPr>
                <w:sz w:val="20"/>
                <w:szCs w:val="20"/>
                <w:color w:val="auto"/>
              </w:rPr>
            </w:pPr>
            <w:r>
              <w:rPr>
                <w:rFonts w:ascii="Arial" w:cs="Arial" w:eastAsia="Arial" w:hAnsi="Arial"/>
                <w:sz w:val="14"/>
                <w:szCs w:val="14"/>
                <w:b w:val="1"/>
                <w:bCs w:val="1"/>
                <w:color w:val="auto"/>
                <w:w w:val="92"/>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85090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BUILD-A-BEAR WORKSHOP,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tcPr>
          <w:p>
            <w:pPr>
              <w:jc w:val="right"/>
              <w:ind w:right="2388"/>
              <w:spacing w:after="0"/>
              <w:rPr>
                <w:sz w:val="20"/>
                <w:szCs w:val="20"/>
                <w:color w:val="auto"/>
              </w:rPr>
            </w:pPr>
            <w:r>
              <w:rPr>
                <w:rFonts w:ascii="Arial" w:cs="Arial" w:eastAsia="Arial" w:hAnsi="Arial"/>
                <w:sz w:val="14"/>
                <w:szCs w:val="14"/>
                <w:b w:val="1"/>
                <w:bCs w:val="1"/>
                <w:color w:val="auto"/>
              </w:rPr>
              <w:t>43-1883836</w:t>
            </w:r>
          </w:p>
        </w:tc>
        <w:tc>
          <w:tcPr>
            <w:tcW w:w="0" w:type="dxa"/>
            <w:vAlign w:val="bottom"/>
          </w:tcPr>
          <w:p>
            <w:pPr>
              <w:spacing w:after="0"/>
              <w:rPr>
                <w:sz w:val="1"/>
                <w:szCs w:val="1"/>
                <w:color w:val="auto"/>
              </w:rPr>
            </w:pPr>
          </w:p>
        </w:tc>
      </w:tr>
      <w:tr>
        <w:trPr>
          <w:trHeight w:val="149"/>
        </w:trPr>
        <w:tc>
          <w:tcPr>
            <w:tcW w:w="3800" w:type="dxa"/>
            <w:vAlign w:val="bottom"/>
          </w:tcPr>
          <w:p>
            <w:pPr>
              <w:jc w:val="center"/>
              <w:ind w:left="1768"/>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60" w:type="dxa"/>
            <w:vAlign w:val="bottom"/>
          </w:tcPr>
          <w:p>
            <w:pPr>
              <w:jc w:val="center"/>
              <w:ind w:right="1768"/>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2"/>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92"/>
              </w:rPr>
              <w:t>Identification No.)</w:t>
            </w:r>
          </w:p>
        </w:tc>
        <w:tc>
          <w:tcPr>
            <w:tcW w:w="0" w:type="dxa"/>
            <w:vAlign w:val="bottom"/>
          </w:tcPr>
          <w:p>
            <w:pPr>
              <w:spacing w:after="0"/>
              <w:rPr>
                <w:sz w:val="1"/>
                <w:szCs w:val="1"/>
                <w:color w:val="auto"/>
              </w:rPr>
            </w:pPr>
          </w:p>
        </w:tc>
      </w:tr>
      <w:tr>
        <w:trPr>
          <w:trHeight w:val="259"/>
        </w:trPr>
        <w:tc>
          <w:tcPr>
            <w:tcW w:w="3800" w:type="dxa"/>
            <w:vAlign w:val="bottom"/>
          </w:tcPr>
          <w:p>
            <w:pPr>
              <w:jc w:val="center"/>
              <w:ind w:left="1768"/>
              <w:spacing w:after="0"/>
              <w:rPr>
                <w:sz w:val="20"/>
                <w:szCs w:val="20"/>
                <w:color w:val="auto"/>
              </w:rPr>
            </w:pPr>
            <w:r>
              <w:rPr>
                <w:rFonts w:ascii="Arial" w:cs="Arial" w:eastAsia="Arial" w:hAnsi="Arial"/>
                <w:sz w:val="14"/>
                <w:szCs w:val="14"/>
                <w:b w:val="1"/>
                <w:bCs w:val="1"/>
                <w:color w:val="auto"/>
                <w:w w:val="92"/>
              </w:rPr>
              <w:t>415 South 18th St.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60" w:type="dxa"/>
            <w:vAlign w:val="bottom"/>
            <w:vMerge w:val="restart"/>
          </w:tcPr>
          <w:p>
            <w:pPr>
              <w:jc w:val="right"/>
              <w:ind w:right="2548"/>
              <w:spacing w:after="0"/>
              <w:rPr>
                <w:sz w:val="20"/>
                <w:szCs w:val="20"/>
                <w:color w:val="auto"/>
              </w:rPr>
            </w:pPr>
            <w:r>
              <w:rPr>
                <w:rFonts w:ascii="Arial" w:cs="Arial" w:eastAsia="Arial" w:hAnsi="Arial"/>
                <w:sz w:val="14"/>
                <w:szCs w:val="14"/>
                <w:b w:val="1"/>
                <w:bCs w:val="1"/>
                <w:color w:val="auto"/>
              </w:rPr>
              <w:t>63103</w:t>
            </w:r>
          </w:p>
        </w:tc>
        <w:tc>
          <w:tcPr>
            <w:tcW w:w="0" w:type="dxa"/>
            <w:vAlign w:val="bottom"/>
          </w:tcPr>
          <w:p>
            <w:pPr>
              <w:spacing w:after="0"/>
              <w:rPr>
                <w:sz w:val="1"/>
                <w:szCs w:val="1"/>
                <w:color w:val="auto"/>
              </w:rPr>
            </w:pPr>
          </w:p>
        </w:tc>
      </w:tr>
      <w:tr>
        <w:trPr>
          <w:trHeight w:val="153"/>
        </w:trPr>
        <w:tc>
          <w:tcPr>
            <w:tcW w:w="3800" w:type="dxa"/>
            <w:vAlign w:val="bottom"/>
          </w:tcPr>
          <w:p>
            <w:pPr>
              <w:jc w:val="center"/>
              <w:ind w:left="1768"/>
              <w:spacing w:after="0" w:line="153" w:lineRule="exact"/>
              <w:rPr>
                <w:sz w:val="20"/>
                <w:szCs w:val="20"/>
                <w:color w:val="auto"/>
              </w:rPr>
            </w:pPr>
            <w:r>
              <w:rPr>
                <w:rFonts w:ascii="Arial" w:cs="Arial" w:eastAsia="Arial" w:hAnsi="Arial"/>
                <w:sz w:val="14"/>
                <w:szCs w:val="14"/>
                <w:b w:val="1"/>
                <w:bCs w:val="1"/>
                <w:color w:val="auto"/>
                <w:w w:val="93"/>
              </w:rPr>
              <w:t>St. Louis, Missouri</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900" w:type="dxa"/>
            <w:vAlign w:val="bottom"/>
            <w:gridSpan w:val="9"/>
          </w:tcPr>
          <w:p>
            <w:pPr>
              <w:jc w:val="center"/>
              <w:ind w:right="1280"/>
              <w:spacing w:after="0"/>
              <w:rPr>
                <w:sz w:val="20"/>
                <w:szCs w:val="20"/>
                <w:color w:val="auto"/>
              </w:rPr>
            </w:pPr>
            <w:r>
              <w:rPr>
                <w:rFonts w:ascii="Arial" w:cs="Arial" w:eastAsia="Arial" w:hAnsi="Arial"/>
                <w:sz w:val="14"/>
                <w:szCs w:val="14"/>
                <w:b w:val="1"/>
                <w:bCs w:val="1"/>
                <w:i w:val="1"/>
                <w:iCs w:val="1"/>
                <w:color w:val="auto"/>
                <w:w w:val="89"/>
              </w:rPr>
              <w:t>(Address of Principal Executive Offices)</w:t>
            </w:r>
          </w:p>
        </w:tc>
        <w:tc>
          <w:tcPr>
            <w:tcW w:w="580" w:type="dxa"/>
            <w:vAlign w:val="bottom"/>
          </w:tcPr>
          <w:p>
            <w:pPr>
              <w:spacing w:after="0"/>
              <w:rPr>
                <w:sz w:val="15"/>
                <w:szCs w:val="15"/>
                <w:color w:val="auto"/>
              </w:rPr>
            </w:pP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89"/>
              </w:rPr>
              <w:t>(Zip Code)</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2400" w:type="dxa"/>
            <w:vAlign w:val="bottom"/>
            <w:gridSpan w:val="4"/>
          </w:tcPr>
          <w:p>
            <w:pPr>
              <w:jc w:val="center"/>
              <w:ind w:left="1188"/>
              <w:spacing w:after="0"/>
              <w:rPr>
                <w:sz w:val="20"/>
                <w:szCs w:val="20"/>
                <w:color w:val="auto"/>
              </w:rPr>
            </w:pPr>
            <w:r>
              <w:rPr>
                <w:rFonts w:ascii="Arial" w:cs="Arial" w:eastAsia="Arial" w:hAnsi="Arial"/>
                <w:sz w:val="14"/>
                <w:szCs w:val="14"/>
                <w:b w:val="1"/>
                <w:bCs w:val="1"/>
                <w:color w:val="auto"/>
                <w:w w:val="93"/>
              </w:rPr>
              <w:t>(314) 423-8000</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3680" w:type="dxa"/>
            <w:vAlign w:val="bottom"/>
            <w:gridSpan w:val="9"/>
          </w:tcPr>
          <w:p>
            <w:pPr>
              <w:jc w:val="center"/>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3800" w:type="dxa"/>
            <w:vAlign w:val="bottom"/>
          </w:tcPr>
          <w:p>
            <w:pPr>
              <w:spacing w:after="0"/>
              <w:rPr>
                <w:sz w:val="24"/>
                <w:szCs w:val="24"/>
                <w:color w:val="auto"/>
              </w:rPr>
            </w:pPr>
          </w:p>
        </w:tc>
        <w:tc>
          <w:tcPr>
            <w:tcW w:w="36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80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Title of Each Class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4"/>
              </w:rPr>
              <w:t>Trading Symbol</w:t>
            </w:r>
          </w:p>
        </w:tc>
        <w:tc>
          <w:tcPr>
            <w:tcW w:w="58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3800" w:type="dxa"/>
            <w:vAlign w:val="bottom"/>
            <w:tcBorders>
              <w:top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BBW</w:t>
            </w:r>
          </w:p>
        </w:tc>
        <w:tc>
          <w:tcPr>
            <w:tcW w:w="56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tcPr>
          <w:p>
            <w:pPr>
              <w:ind w:left="80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74"/>
        </w:trPr>
        <w:tc>
          <w:tcPr>
            <w:tcW w:w="1124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430"/>
        </w:trPr>
        <w:tc>
          <w:tcPr>
            <w:tcW w:w="4520" w:type="dxa"/>
            <w:vAlign w:val="bottom"/>
            <w:gridSpan w:val="3"/>
          </w:tcPr>
          <w:p>
            <w:pPr>
              <w:spacing w:after="0"/>
              <w:rPr>
                <w:sz w:val="24"/>
                <w:szCs w:val="24"/>
                <w:color w:val="auto"/>
              </w:rPr>
            </w:pPr>
          </w:p>
        </w:tc>
        <w:tc>
          <w:tcPr>
            <w:tcW w:w="2260" w:type="dxa"/>
            <w:vAlign w:val="bottom"/>
            <w:tcBorders>
              <w:bottom w:val="single" w:sz="8" w:color="auto"/>
            </w:tcBorders>
            <w:gridSpan w:val="5"/>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3760" w:type="dxa"/>
            <w:vAlign w:val="bottom"/>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335"/>
        </w:trPr>
        <w:tc>
          <w:tcPr>
            <w:tcW w:w="6900" w:type="dxa"/>
            <w:vAlign w:val="bottom"/>
            <w:gridSpan w:val="9"/>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8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80" w:type="dxa"/>
            <w:vAlign w:val="bottom"/>
          </w:tcPr>
          <w:p>
            <w:pPr>
              <w:ind w:left="140"/>
              <w:spacing w:after="0" w:line="161" w:lineRule="exact"/>
              <w:rPr>
                <w:sz w:val="20"/>
                <w:szCs w:val="20"/>
                <w:color w:val="auto"/>
              </w:rPr>
            </w:pPr>
            <w:r>
              <w:rPr>
                <w:rFonts w:ascii="MS PGothic" w:cs="MS PGothic" w:eastAsia="MS PGothic" w:hAnsi="MS PGothic"/>
                <w:sz w:val="14"/>
                <w:szCs w:val="14"/>
                <w:color w:val="auto"/>
                <w:w w:val="99"/>
              </w:rPr>
              <w:t>☐</w:t>
            </w:r>
            <w:r>
              <w:rPr>
                <w:rFonts w:ascii="Arial" w:cs="Arial" w:eastAsia="Arial" w:hAnsi="Arial"/>
                <w:sz w:val="14"/>
                <w:szCs w:val="14"/>
                <w:color w:val="auto"/>
                <w:w w:val="99"/>
              </w:rPr>
              <w:t xml:space="preserve"> Yes</w:t>
            </w:r>
          </w:p>
        </w:tc>
        <w:tc>
          <w:tcPr>
            <w:tcW w:w="37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1" w:name="page2"/>
    <w:bookmarkEnd w:id="1"/>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p>
      <w:pPr>
        <w:spacing w:after="0" w:line="161" w:lineRule="exact"/>
        <w:tabs>
          <w:tab w:leader="none" w:pos="2240" w:val="left"/>
          <w:tab w:leader="none" w:pos="4500" w:val="left"/>
          <w:tab w:leader="none" w:pos="6740" w:val="left"/>
          <w:tab w:leader="none" w:pos="89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7" w:lineRule="exact"/>
        <w:rPr>
          <w:sz w:val="20"/>
          <w:szCs w:val="20"/>
          <w:color w:val="auto"/>
        </w:rPr>
      </w:pPr>
    </w:p>
    <w:p>
      <w:pPr>
        <w:ind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0"/>
          <w:szCs w:val="20"/>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99" w:lineRule="exact"/>
        <w:rPr>
          <w:sz w:val="20"/>
          <w:szCs w:val="20"/>
          <w:color w:val="auto"/>
        </w:rPr>
      </w:pPr>
    </w:p>
    <w:p>
      <w:pPr>
        <w:spacing w:after="0" w:line="161" w:lineRule="exact"/>
        <w:tabs>
          <w:tab w:leader="none" w:pos="6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Yes</w:t>
      </w:r>
      <w:r>
        <w:rPr>
          <w:rFonts w:ascii="MS PGothic" w:cs="MS PGothic" w:eastAsia="MS PGothic" w:hAnsi="MS PGothic"/>
          <w:sz w:val="14"/>
          <w:szCs w:val="14"/>
          <w:color w:val="auto"/>
        </w:rPr>
        <w:t xml:space="preserve">  ☒ </w:t>
      </w:r>
      <w:r>
        <w:rPr>
          <w:rFonts w:ascii="Arial" w:cs="Arial" w:eastAsia="Arial" w:hAnsi="Arial"/>
          <w:sz w:val="14"/>
          <w:szCs w:val="14"/>
          <w:color w:val="auto"/>
        </w:rPr>
        <w:t>No</w:t>
      </w:r>
    </w:p>
    <w:p>
      <w:pPr>
        <w:spacing w:after="0" w:line="177"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There is no non-voting common equity. The aggregate market value of the common stock held by non-affiliates (based upon the closing price of $2.36 for the shares on the New York Stock Exchange on August 1, 2020) was $36.8 million as of August 1, 2020, the last business day of the registrant’s most recently completed second fiscal quarter.</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As of April 12, 2021, there were 15,979,039 issued and outstanding shares of the registrant’s common stock.</w:t>
      </w:r>
    </w:p>
    <w:p>
      <w:pPr>
        <w:spacing w:after="0" w:line="136"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registrant’s Proxy Statement for its June 10, 2021 Annual Meeting of Stockholders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60" w:type="dxa"/>
            <w:vAlign w:val="bottom"/>
            <w:gridSpan w:val="15"/>
          </w:tcPr>
          <w:p>
            <w:pPr>
              <w:jc w:val="center"/>
              <w:ind w:right="3440"/>
              <w:spacing w:after="0"/>
              <w:rPr>
                <w:sz w:val="20"/>
                <w:szCs w:val="20"/>
                <w:color w:val="auto"/>
              </w:rPr>
            </w:pPr>
            <w:r>
              <w:rPr>
                <w:rFonts w:ascii="Arial" w:cs="Arial" w:eastAsia="Arial" w:hAnsi="Arial"/>
                <w:sz w:val="18"/>
                <w:szCs w:val="18"/>
                <w:b w:val="1"/>
                <w:bCs w:val="1"/>
                <w:color w:val="auto"/>
                <w:w w:val="99"/>
              </w:rPr>
              <w:t>BUILD-A-BEAR WORKSHOP, INC.</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60" w:type="dxa"/>
            <w:vAlign w:val="bottom"/>
            <w:gridSpan w:val="15"/>
          </w:tcPr>
          <w:p>
            <w:pPr>
              <w:jc w:val="center"/>
              <w:ind w:right="3440"/>
              <w:spacing w:after="0"/>
              <w:rPr>
                <w:sz w:val="20"/>
                <w:szCs w:val="20"/>
                <w:color w:val="auto"/>
              </w:rPr>
            </w:pPr>
            <w:r>
              <w:rPr>
                <w:rFonts w:ascii="Arial" w:cs="Arial" w:eastAsia="Arial" w:hAnsi="Arial"/>
                <w:sz w:val="18"/>
                <w:szCs w:val="18"/>
                <w:b w:val="1"/>
                <w:bCs w:val="1"/>
                <w:color w:val="auto"/>
              </w:rPr>
              <w:t>INDEX TO FORM 10-K</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Page</w:t>
            </w:r>
          </w:p>
        </w:tc>
      </w:tr>
      <w:tr>
        <w:trPr>
          <w:trHeight w:val="385"/>
        </w:trPr>
        <w:tc>
          <w:tcPr>
            <w:tcW w:w="10680" w:type="dxa"/>
            <w:vAlign w:val="bottom"/>
            <w:gridSpan w:val="3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380" w:type="dxa"/>
            <w:vAlign w:val="bottom"/>
            <w:gridSpan w:val="4"/>
          </w:tcPr>
          <w:p>
            <w:pPr>
              <w:jc w:val="center"/>
              <w:ind w:left="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80" w:type="dxa"/>
            <w:vAlign w:val="bottom"/>
          </w:tcPr>
          <w:p>
            <w:pPr>
              <w:spacing w:after="0"/>
              <w:rPr>
                <w:sz w:val="24"/>
                <w:szCs w:val="24"/>
                <w:color w:val="auto"/>
              </w:rPr>
            </w:pPr>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1"/>
          </w:tcPr>
          <w:p>
            <w:pPr>
              <w:jc w:val="center"/>
              <w:ind w:right="5060"/>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4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60" w:type="dxa"/>
            <w:vAlign w:val="bottom"/>
            <w:tcBorders>
              <w:top w:val="single" w:sz="8" w:color="0000EE"/>
            </w:tcBorders>
          </w:tcPr>
          <w:p>
            <w:pPr>
              <w:spacing w:after="0"/>
              <w:rPr>
                <w:sz w:val="17"/>
                <w:szCs w:val="17"/>
                <w:color w:val="auto"/>
              </w:rPr>
            </w:pPr>
          </w:p>
        </w:tc>
        <w:tc>
          <w:tcPr>
            <w:tcW w:w="5100" w:type="dxa"/>
            <w:vAlign w:val="bottom"/>
            <w:gridSpan w:val="9"/>
          </w:tcPr>
          <w:p>
            <w:pPr>
              <w:spacing w:after="0"/>
              <w:rPr>
                <w:sz w:val="17"/>
                <w:szCs w:val="17"/>
                <w:color w:val="auto"/>
              </w:rPr>
            </w:pPr>
          </w:p>
        </w:tc>
        <w:tc>
          <w:tcPr>
            <w:tcW w:w="380" w:type="dxa"/>
            <w:vAlign w:val="bottom"/>
            <w:gridSpan w:val="4"/>
          </w:tcPr>
          <w:p>
            <w:pPr>
              <w:jc w:val="center"/>
              <w:ind w:left="9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9">
              <w:r>
                <w:rPr>
                  <w:rFonts w:ascii="Arial" w:cs="Arial" w:eastAsia="Arial" w:hAnsi="Arial"/>
                  <w:sz w:val="18"/>
                  <w:szCs w:val="18"/>
                  <w:color w:val="0000EE"/>
                </w:rPr>
                <w:t>Risk Factors</w:t>
              </w:r>
            </w:hyperlink>
          </w:p>
        </w:tc>
        <w:tc>
          <w:tcPr>
            <w:tcW w:w="380" w:type="dxa"/>
            <w:vAlign w:val="bottom"/>
            <w:gridSpan w:val="4"/>
          </w:tcPr>
          <w:p>
            <w:pPr>
              <w:jc w:val="center"/>
              <w:ind w:left="9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1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w w:val="98"/>
              </w:rPr>
              <w:t>Item 1B.</w:t>
            </w:r>
          </w:p>
        </w:tc>
        <w:tc>
          <w:tcPr>
            <w:tcW w:w="10000" w:type="dxa"/>
            <w:vAlign w:val="bottom"/>
            <w:gridSpan w:val="3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gridSpan w:val="4"/>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Properties</w:t>
              </w:r>
            </w:hyperlink>
          </w:p>
        </w:tc>
        <w:tc>
          <w:tcPr>
            <w:tcW w:w="1300" w:type="dxa"/>
            <w:vAlign w:val="bottom"/>
            <w:gridSpan w:val="8"/>
          </w:tcPr>
          <w:p>
            <w:pPr>
              <w:spacing w:after="0"/>
              <w:rPr>
                <w:sz w:val="17"/>
                <w:szCs w:val="17"/>
                <w:color w:val="auto"/>
              </w:rPr>
            </w:pPr>
          </w:p>
        </w:tc>
        <w:tc>
          <w:tcPr>
            <w:tcW w:w="7960" w:type="dxa"/>
            <w:vAlign w:val="bottom"/>
            <w:gridSpan w:val="18"/>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gridSpan w:val="6"/>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Legal Proceedings</w:t>
              </w:r>
            </w:hyperlink>
          </w:p>
        </w:tc>
        <w:tc>
          <w:tcPr>
            <w:tcW w:w="8660" w:type="dxa"/>
            <w:vAlign w:val="bottom"/>
            <w:gridSpan w:val="2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00" w:type="dxa"/>
            <w:vAlign w:val="bottom"/>
            <w:gridSpan w:val="3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1"/>
          </w:tcPr>
          <w:p>
            <w:pPr>
              <w:jc w:val="center"/>
              <w:ind w:right="5080"/>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2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gridSpan w:val="29"/>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Market for Registrant’s Common Equity, Related Stockholder Matters and Issuer Purchases of Equity Securities</w:t>
              </w:r>
            </w:hyperlink>
          </w:p>
        </w:tc>
        <w:tc>
          <w:tcPr>
            <w:tcW w:w="1920" w:type="dxa"/>
            <w:vAlign w:val="bottom"/>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gridSpan w:val="9"/>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Selected Financial Data</w:t>
              </w:r>
            </w:hyperlink>
          </w:p>
        </w:tc>
        <w:tc>
          <w:tcPr>
            <w:tcW w:w="6360" w:type="dxa"/>
            <w:vAlign w:val="bottom"/>
            <w:gridSpan w:val="20"/>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gridSpan w:val="26"/>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540" w:type="dxa"/>
            <w:vAlign w:val="bottom"/>
            <w:gridSpan w:val="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7A. </w:t>
            </w:r>
            <w:hyperlink w:anchor="page35">
              <w:r>
                <w:rPr>
                  <w:rFonts w:ascii="Arial" w:cs="Arial" w:eastAsia="Arial" w:hAnsi="Arial"/>
                  <w:sz w:val="18"/>
                  <w:szCs w:val="18"/>
                  <w:color w:val="0000EE"/>
                </w:rPr>
                <w:t>Quantitative and Qualitative Disclosures About Market Risk</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gridSpan w:val="15"/>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gridSpan w:val="27"/>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Changes in and Disagreements with Accountants on Accounting and Financial Disclosure</w:t>
              </w:r>
            </w:hyperlink>
          </w:p>
        </w:tc>
        <w:tc>
          <w:tcPr>
            <w:tcW w:w="3520" w:type="dxa"/>
            <w:vAlign w:val="bottom"/>
            <w:gridSpan w:val="3"/>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680" w:type="dxa"/>
            <w:vAlign w:val="bottom"/>
            <w:gridSpan w:val="3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9A. </w:t>
            </w:r>
            <w:hyperlink w:anchor="page36">
              <w:r>
                <w:rPr>
                  <w:rFonts w:ascii="Arial" w:cs="Arial" w:eastAsia="Arial" w:hAnsi="Arial"/>
                  <w:sz w:val="18"/>
                  <w:szCs w:val="18"/>
                  <w:color w:val="0000EE"/>
                </w:rPr>
                <w:t>Controls and Procedures</w:t>
              </w:r>
            </w:hyperlink>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w w:val="98"/>
              </w:rPr>
              <w:t>Item 9B.</w:t>
            </w:r>
          </w:p>
        </w:tc>
        <w:tc>
          <w:tcPr>
            <w:tcW w:w="1780" w:type="dxa"/>
            <w:vAlign w:val="bottom"/>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8220" w:type="dxa"/>
            <w:vAlign w:val="bottom"/>
            <w:gridSpan w:val="20"/>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0000EE"/>
            </w:tcBorders>
            <w:gridSpan w:val="7"/>
          </w:tcPr>
          <w:p>
            <w:pPr>
              <w:jc w:val="center"/>
              <w:ind w:right="20"/>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502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gridSpan w:val="16"/>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Directors, Executive Officers and Corporate Governance</w:t>
              </w:r>
            </w:hyperlink>
          </w:p>
        </w:tc>
        <w:tc>
          <w:tcPr>
            <w:tcW w:w="5900" w:type="dxa"/>
            <w:vAlign w:val="bottom"/>
            <w:gridSpan w:val="1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9"/>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Executive Compensation</w:t>
              </w:r>
            </w:hyperlink>
          </w:p>
        </w:tc>
        <w:tc>
          <w:tcPr>
            <w:tcW w:w="5900" w:type="dxa"/>
            <w:vAlign w:val="bottom"/>
            <w:gridSpan w:val="14"/>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8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gridSpan w:val="2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Security Ownership of Certain Beneficial Owners and Management and Related Stockholder Matters</w:t>
              </w:r>
            </w:hyperlink>
          </w:p>
        </w:tc>
        <w:tc>
          <w:tcPr>
            <w:tcW w:w="2700" w:type="dxa"/>
            <w:vAlign w:val="bottom"/>
            <w:gridSpan w:val="2"/>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4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300" w:type="dxa"/>
            <w:vAlign w:val="bottom"/>
            <w:gridSpan w:val="2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Relationships and Related Transactions and Director Independence</w:t>
              </w:r>
            </w:hyperlink>
          </w:p>
        </w:tc>
        <w:tc>
          <w:tcPr>
            <w:tcW w:w="2700" w:type="dxa"/>
            <w:vAlign w:val="bottom"/>
            <w:gridSpan w:val="2"/>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40" w:type="dxa"/>
            <w:vAlign w:val="bottom"/>
            <w:gridSpan w:val="11"/>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0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Accountant Fees and Services</w:t>
              </w:r>
            </w:hyperlink>
          </w:p>
        </w:tc>
        <w:tc>
          <w:tcPr>
            <w:tcW w:w="4600" w:type="dxa"/>
            <w:vAlign w:val="bottom"/>
            <w:gridSpan w:val="5"/>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gridSpan w:val="13"/>
          </w:tcPr>
          <w:p>
            <w:pPr>
              <w:jc w:val="center"/>
              <w:ind w:right="5020"/>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IV</w:t>
              </w:r>
            </w:hyperlink>
          </w:p>
        </w:tc>
        <w:tc>
          <w:tcPr>
            <w:tcW w:w="2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438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 and Financial Statement Schedules</w:t>
              </w:r>
            </w:hyperlink>
          </w:p>
        </w:tc>
        <w:tc>
          <w:tcPr>
            <w:tcW w:w="580" w:type="dxa"/>
            <w:vAlign w:val="bottom"/>
            <w:tcBorders>
              <w:top w:val="single" w:sz="8" w:color="0000EE"/>
            </w:tcBorders>
            <w:gridSpan w:val="5"/>
          </w:tcPr>
          <w:p>
            <w:pPr>
              <w:spacing w:after="0"/>
              <w:rPr>
                <w:sz w:val="17"/>
                <w:szCs w:val="17"/>
                <w:color w:val="auto"/>
              </w:rPr>
            </w:pPr>
          </w:p>
        </w:tc>
        <w:tc>
          <w:tcPr>
            <w:tcW w:w="5040" w:type="dxa"/>
            <w:vAlign w:val="bottom"/>
            <w:gridSpan w:val="7"/>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40" w:type="dxa"/>
            <w:vAlign w:val="bottom"/>
            <w:gridSpan w:val="12"/>
            <w:shd w:val="clear" w:color="auto" w:fill="0000EE"/>
          </w:tcPr>
          <w:p>
            <w:pPr>
              <w:spacing w:after="0" w:line="20" w:lineRule="exact"/>
              <w:rPr>
                <w:sz w:val="1"/>
                <w:szCs w:val="1"/>
                <w:color w:val="auto"/>
              </w:rPr>
            </w:pPr>
          </w:p>
        </w:tc>
        <w:tc>
          <w:tcPr>
            <w:tcW w:w="684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000" w:type="dxa"/>
            <w:vAlign w:val="bottom"/>
            <w:gridSpan w:val="3"/>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Exhibit Index</w:t>
              </w:r>
            </w:hyperlink>
          </w:p>
        </w:tc>
        <w:tc>
          <w:tcPr>
            <w:tcW w:w="9680" w:type="dxa"/>
            <w:vAlign w:val="bottom"/>
            <w:gridSpan w:val="28"/>
          </w:tcPr>
          <w:p>
            <w:pPr>
              <w:spacing w:after="0"/>
              <w:rPr>
                <w:sz w:val="24"/>
                <w:szCs w:val="24"/>
                <w:color w:val="auto"/>
              </w:rPr>
            </w:pPr>
          </w:p>
        </w:tc>
        <w:tc>
          <w:tcPr>
            <w:tcW w:w="560" w:type="dxa"/>
            <w:vAlign w:val="bottom"/>
            <w:gridSpan w:val="5"/>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80" w:type="dxa"/>
            <w:vAlign w:val="bottom"/>
            <w:gridSpan w:val="2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9680" w:type="dxa"/>
            <w:vAlign w:val="bottom"/>
            <w:gridSpan w:val="28"/>
          </w:tcPr>
          <w:p>
            <w:pPr>
              <w:spacing w:after="0"/>
              <w:rPr>
                <w:sz w:val="17"/>
                <w:szCs w:val="17"/>
                <w:color w:val="auto"/>
              </w:rPr>
            </w:pPr>
          </w:p>
        </w:tc>
        <w:tc>
          <w:tcPr>
            <w:tcW w:w="560" w:type="dxa"/>
            <w:vAlign w:val="bottom"/>
            <w:gridSpan w:val="5"/>
          </w:tcPr>
          <w:p>
            <w:pPr>
              <w:jc w:val="cente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r>
      <w:tr>
        <w:trPr>
          <w:trHeight w:val="453"/>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320" w:type="dxa"/>
            <w:vAlign w:val="bottom"/>
            <w:gridSpan w:val="24"/>
          </w:tcPr>
          <w:p>
            <w:pPr>
              <w:jc w:val="center"/>
              <w:ind w:left="4310"/>
              <w:spacing w:after="0"/>
              <w:rPr>
                <w:sz w:val="20"/>
                <w:szCs w:val="20"/>
                <w:color w:val="auto"/>
              </w:rPr>
            </w:pPr>
            <w:r>
              <w:rPr>
                <w:rFonts w:ascii="Arial" w:cs="Arial" w:eastAsia="Arial" w:hAnsi="Arial"/>
                <w:sz w:val="18"/>
                <w:szCs w:val="18"/>
                <w:color w:val="auto"/>
                <w:w w:val="79"/>
              </w:rPr>
              <w:t>3</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97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92" w:lineRule="exact"/>
        <w:rPr>
          <w:sz w:val="20"/>
          <w:szCs w:val="20"/>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future financial performance, especially in light of the continuing effects of the global pandemic on our store operations;</w:t>
      </w:r>
    </w:p>
    <w:p>
      <w:pPr>
        <w:spacing w:after="0" w:line="225" w:lineRule="exact"/>
        <w:rPr>
          <w:rFonts w:ascii="Arial" w:cs="Arial" w:eastAsia="Arial" w:hAnsi="Arial"/>
          <w:sz w:val="18"/>
          <w:szCs w:val="18"/>
          <w:color w:val="auto"/>
        </w:rPr>
      </w:pPr>
    </w:p>
    <w:p>
      <w:pPr>
        <w:ind w:left="260" w:hanging="185"/>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generated from operations and borrowings under our credit facilities;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anticipated operating strategies and future strategic expansion initiatives;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anticipated rate of store relocations, openings and closures;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relocations, openings and closures.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1"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3"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6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Unless the context otherwise requires, references in this Annual Report on Form 10-K to the “Company,” “we,” “us,” and “our” refer to Build-A-Bear Workshop, Inc. and, where appropriate, its subsidiaries.</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discussion contains references to fiscal 2020 and fiscal 2019, which represent our fiscal years ending January 30, 2021 and February 1,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 w:firstLine="486"/>
        <w:spacing w:after="0" w:line="253" w:lineRule="auto"/>
        <w:rPr>
          <w:sz w:val="20"/>
          <w:szCs w:val="20"/>
          <w:color w:val="auto"/>
        </w:rPr>
      </w:pPr>
      <w:r>
        <w:rPr>
          <w:rFonts w:ascii="Arial" w:cs="Arial" w:eastAsia="Arial" w:hAnsi="Arial"/>
          <w:sz w:val="18"/>
          <w:szCs w:val="18"/>
          <w:color w:val="auto"/>
        </w:rPr>
        <w:t>Build-A-Bear Workshop, Inc., a Delaware corporation, was formed in 1997 and is primarily a multi-channel retailer offering a “make your own stuffed animal” interactive retail-entertainment experience. As of January 30, 2021, we operated 354 corporately-managed locations, including 305 stores in the United States (“U.S.”) and Canada, 49 stores in the United Kingdom (“U.K.”) Ireland, and China and had 71 franchised stores operating internationally under the Build-A-Bear Workshop brand. In addition to our stores, we sold product on our company-owned e-commerce sites, third-party marketplaces and franchisee sites and through retailer’s wholesale agreements. There were also 56 locations through our "third-party retail" model in which we sell our products on a wholesale basis to other companies that then in turn execute our retail experience. Select corporately-managed franchised and third party retail locations were temporarily closed due to government mandates as well as our policy related to potential exposure at various times throughout fiscal 2020 as well as at the end of the fiscal year, and most locations operated with other restrictions, such as reduced operating hours and capacity restrictions and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right="140" w:firstLine="486"/>
        <w:spacing w:after="0" w:line="270" w:lineRule="auto"/>
        <w:rPr>
          <w:sz w:val="20"/>
          <w:szCs w:val="20"/>
          <w:color w:val="auto"/>
        </w:rPr>
      </w:pPr>
      <w:r>
        <w:rPr>
          <w:rFonts w:ascii="Arial" w:cs="Arial" w:eastAsia="Arial" w:hAnsi="Arial"/>
          <w:sz w:val="17"/>
          <w:szCs w:val="17"/>
          <w:color w:val="auto"/>
        </w:rPr>
        <w:t>In March 2020, the World Health Organization announced that COVID-19 was a global pandemic. The pandemic has had far-reaching adverse impacts on many aspects of our operation, directly and indirectly, including our people, consumer behavior, distribution, our suppliers, and the market generally, particularly in our first and second quarters of fiscal 2020. In the first half of the year, we rapidly responded to the onset of a global pandemic that forced a government-mandated temporary closure of all of our corporately-operated stores as well as many third party and franchise locations. We took immediate action to protect the financial well-being of the company including aggressive expense management and cash preservation while pivoting to driving e-commerce demand even as our headquarters staff shifted to working remotely. As we moved into the second half and stores reopened on a staggered basis as guidelines transitioned, our focus turned to accelerating key strategic initiatives to drive digital transformation and evolve retail. The strong growth from our e-commerce channel was the main contributor to revenue in the first half after the temporary store closures that occurred and the demand continued in the second half bolstering our second half revenue and profitability.</w:t>
      </w:r>
    </w:p>
    <w:p>
      <w:pPr>
        <w:spacing w:after="0" w:line="181"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scope and nature of these impacts on our business and financial performance are discussed in more detail throughout this report, including within Item 1. "Business", Item 1A. "Risk Factors, Item 7. "Management’s Discussion and Analysis of Financial Condition and Results of Operations", and the footnotes to our financial statements included in Item 15. "Exhibits and Financial Statement Schedules" below.</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jc w:val="both"/>
        <w:ind w:left="20" w:firstLine="486"/>
        <w:spacing w:after="0" w:line="255" w:lineRule="auto"/>
        <w:rPr>
          <w:sz w:val="20"/>
          <w:szCs w:val="20"/>
          <w:color w:val="auto"/>
        </w:rPr>
      </w:pPr>
      <w:r>
        <w:rPr>
          <w:rFonts w:ascii="Arial" w:cs="Arial" w:eastAsia="Arial" w:hAnsi="Arial"/>
          <w:sz w:val="18"/>
          <w:szCs w:val="18"/>
          <w:color w:val="auto"/>
        </w:rPr>
        <w:t>Our 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by geographic area.</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jc w:val="both"/>
        <w:ind w:left="20" w:firstLine="486"/>
        <w:spacing w:after="0" w:line="269" w:lineRule="auto"/>
        <w:rPr>
          <w:sz w:val="20"/>
          <w:szCs w:val="20"/>
          <w:color w:val="auto"/>
        </w:rPr>
      </w:pPr>
      <w:r>
        <w:rPr>
          <w:rFonts w:ascii="Arial" w:cs="Arial" w:eastAsia="Arial" w:hAnsi="Arial"/>
          <w:sz w:val="17"/>
          <w:szCs w:val="17"/>
          <w:color w:val="auto"/>
        </w:rPr>
        <w:t>Currently, we primarily operate specialty stores that provide a “make your own stuffed animal” interactive entertainment experience in which guests, with the help of our associates, visit a variety of stations to “assemble” and customize a stuffed animal. Our concept is a unique combination of experience and product and we are focused on enhancing our brand equity while meeting the needs of consumers by offering a relevant selection of premium products that meet high quality standards and are on trend. In addition, products are sold through e-commerce sites, third-party retail locations, and franchisee sites. Our store experience appeals to a broad range of age groups and demographics, including children, as well as their parents and grandparents, teens, adult collectors and gift givers as well as affinity consumers. We seek to provide outstanding guest service and experiences across all channels and touch points including our stores, our e-commerce sites, our mobile sites and apps as well as traditional, digital and social media. Guests visit our stores for multiple reasons including interactive family experiences, birthdays, parties and other milestone occasions as well as to purchase gifts including the “gift of experience” that comes with a gift card. We believe the hands-on and interactive nature of our stores and high touch service model result in guests forming an emotional connection with our brand.</w:t>
      </w:r>
    </w:p>
    <w:p>
      <w:pPr>
        <w:spacing w:after="0" w:line="185" w:lineRule="exact"/>
        <w:rPr>
          <w:sz w:val="20"/>
          <w:szCs w:val="20"/>
          <w:color w:val="auto"/>
        </w:rPr>
      </w:pPr>
    </w:p>
    <w:p>
      <w:pPr>
        <w:jc w:val="both"/>
        <w:ind w:left="20" w:firstLine="492"/>
        <w:spacing w:after="0" w:line="259" w:lineRule="auto"/>
        <w:rPr>
          <w:sz w:val="20"/>
          <w:szCs w:val="20"/>
          <w:color w:val="auto"/>
        </w:rPr>
      </w:pPr>
      <w:r>
        <w:rPr>
          <w:rFonts w:ascii="Arial" w:cs="Arial" w:eastAsia="Arial" w:hAnsi="Arial"/>
          <w:sz w:val="18"/>
          <w:szCs w:val="18"/>
          <w:color w:val="auto"/>
        </w:rPr>
        <w:t>We believe there are opportunities to leverage the strength of the Build-A-Bear brand to generate incremental revenue and profits given the high consumer recognition and strong positioning as a trusted, high quality brand that is emotionally connected with both kids and their parents as well as other teens and adults through expanded programs including outbound branded licensing and entertainment, which may positively impact other channels of distribution.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jc w:val="both"/>
        <w:ind w:left="40" w:firstLine="486"/>
        <w:spacing w:after="0" w:line="277" w:lineRule="auto"/>
        <w:rPr>
          <w:sz w:val="20"/>
          <w:szCs w:val="20"/>
          <w:color w:val="auto"/>
        </w:rPr>
      </w:pPr>
      <w:r>
        <w:rPr>
          <w:rFonts w:ascii="Arial" w:cs="Arial" w:eastAsia="Arial" w:hAnsi="Arial"/>
          <w:sz w:val="18"/>
          <w:szCs w:val="18"/>
          <w:color w:val="auto"/>
        </w:rPr>
        <w:t>In fiscal 2020, after rapidly responding to the onset of a global pandemic in the fiscal first quarter, we continued to evolve and execute our strategic plan including accelerating key initiatives in the areas outlined below, which are intended to drive long-term shareholder value: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Further acceleration of our digital transformation including content and entertainment initiatives:</w:t>
      </w:r>
    </w:p>
    <w:p>
      <w:pPr>
        <w:spacing w:after="0" w:line="225" w:lineRule="exact"/>
        <w:rPr>
          <w:sz w:val="20"/>
          <w:szCs w:val="20"/>
          <w:color w:val="auto"/>
        </w:rPr>
      </w:pPr>
    </w:p>
    <w:p>
      <w:pPr>
        <w:jc w:val="both"/>
        <w:ind w:left="40" w:firstLine="486"/>
        <w:spacing w:after="0" w:line="255" w:lineRule="auto"/>
        <w:rPr>
          <w:sz w:val="20"/>
          <w:szCs w:val="20"/>
          <w:color w:val="auto"/>
        </w:rPr>
      </w:pPr>
      <w:r>
        <w:rPr>
          <w:rFonts w:ascii="Arial" w:cs="Arial" w:eastAsia="Arial" w:hAnsi="Arial"/>
          <w:sz w:val="18"/>
          <w:szCs w:val="18"/>
          <w:color w:val="auto"/>
        </w:rPr>
        <w:t>We continue to drive efforts to more effectively use technology and improve and enhance fulfillment capabilities while leveraging our expanded digital platforms to inform and drive marketing and content efforts in order to generate sales. This includes advancing our digital capabilities across the enterprise including our CRM (Customer Relations Management) programs with added technology combined with robust consumer data in order to efficiently acquire new consumers and drive lifetime value of existing guests, leveraging our over 10 million opted-in consumer database to increase engagement across social channels and through direct communications and using digital media, content and entertainment as marketing and brand-building tools to engage consumers and drive sales.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Rapidly evolving our retail capabilities which includes expanded e-commerce capabilities:</w:t>
      </w:r>
    </w:p>
    <w:p>
      <w:pPr>
        <w:spacing w:after="0" w:line="225" w:lineRule="exact"/>
        <w:rPr>
          <w:sz w:val="20"/>
          <w:szCs w:val="20"/>
          <w:color w:val="auto"/>
        </w:rPr>
      </w:pPr>
    </w:p>
    <w:p>
      <w:pPr>
        <w:jc w:val="both"/>
        <w:ind w:left="40" w:firstLine="486"/>
        <w:spacing w:after="0" w:line="273" w:lineRule="auto"/>
        <w:rPr>
          <w:sz w:val="20"/>
          <w:szCs w:val="20"/>
          <w:color w:val="auto"/>
        </w:rPr>
      </w:pPr>
      <w:r>
        <w:rPr>
          <w:rFonts w:ascii="Arial" w:cs="Arial" w:eastAsia="Arial" w:hAnsi="Arial"/>
          <w:sz w:val="17"/>
          <w:szCs w:val="17"/>
          <w:color w:val="auto"/>
        </w:rPr>
        <w:t>In the fall of 2017, we launched an upgraded e-commerce platform and have had double-digit or greater sales increases through this channel for every subsequent quarter following the launch. With increased digital demand, we have expanded our digital marketing and fulfillment capabilities to efficiently deliver the increase in order creation by adding diversified capability including improving warehouse throughput, developing buy online ship from store, pickup in store and curbside pickup options as well as partnering with services to provide same day delivery options from local store locations. In addition, we took actions to lower rent in brick-and-mortar store locations for both short- and long-term benefit by renegotiating over 90% of leases while continuing to maintain a high level of lease optionality with over 75% of stores maintaining an event in the next three years.</w:t>
      </w:r>
    </w:p>
    <w:p>
      <w:pPr>
        <w:spacing w:after="0" w:line="178"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u w:val="single" w:color="auto"/>
          <w:color w:val="auto"/>
        </w:rPr>
        <w:t>Maintaining financial stability and managing the liquidity needed to support our business while making strategic investments designed to drive future growth:</w:t>
      </w:r>
    </w:p>
    <w:p>
      <w:pPr>
        <w:spacing w:after="0" w:line="170" w:lineRule="exact"/>
        <w:rPr>
          <w:sz w:val="20"/>
          <w:szCs w:val="20"/>
          <w:color w:val="auto"/>
        </w:rPr>
      </w:pPr>
    </w:p>
    <w:p>
      <w:pPr>
        <w:jc w:val="both"/>
        <w:ind w:left="40" w:firstLine="486"/>
        <w:spacing w:after="0" w:line="286" w:lineRule="auto"/>
        <w:rPr>
          <w:sz w:val="20"/>
          <w:szCs w:val="20"/>
          <w:color w:val="auto"/>
        </w:rPr>
      </w:pPr>
      <w:r>
        <w:rPr>
          <w:rFonts w:ascii="Arial" w:cs="Arial" w:eastAsia="Arial" w:hAnsi="Arial"/>
          <w:sz w:val="17"/>
          <w:szCs w:val="17"/>
          <w:color w:val="auto"/>
        </w:rPr>
        <w:t>We remained focused on maintaining the liquidity needed to support our business including cash preservation and managing working capital as well as disciplined expense management while making strategic investments to upgrade our processes, systems and infrastructure with the goal of achieving long-term profitability improvement. In fiscal 2020, we finalized a five-year asset-based credit facility with PNC Bank.</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jc w:val="both"/>
        <w:ind w:left="40" w:firstLine="486"/>
        <w:spacing w:after="0" w:line="301" w:lineRule="auto"/>
        <w:rPr>
          <w:sz w:val="20"/>
          <w:szCs w:val="20"/>
          <w:color w:val="auto"/>
        </w:rPr>
      </w:pPr>
      <w:r>
        <w:rPr>
          <w:rFonts w:ascii="Arial" w:cs="Arial" w:eastAsia="Arial" w:hAnsi="Arial"/>
          <w:sz w:val="16"/>
          <w:szCs w:val="16"/>
          <w:color w:val="auto"/>
        </w:rPr>
        <w:t>Our stores and e-commerce sites offer an extensive and coordinated selection of merchandise, including a wide range of different styles of plush products to be stuffed, pre-stuffed plush products, sounds and scents that can be added to the stuffed animals and a broad variety of clothing, shoes and accessories, as well as other brand appropriate toy and novelty items, sourced from multiple vendors primarily in China and Vietnam. Our plush products and clothing are produced from high quality, man-made materials or natural fibers, and the stuffing is made of a high-grade polyester fiber.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580" w:right="339" w:bottom="1440" w:gutter="0" w:footer="0" w:header="0"/>
        </w:sectPr>
      </w:pPr>
    </w:p>
    <w:bookmarkStart w:id="6" w:name="page7"/>
    <w:bookmarkEnd w:id="6"/>
    <w:p>
      <w:pPr>
        <w:jc w:val="both"/>
        <w:ind w:firstLine="486"/>
        <w:spacing w:after="0" w:line="269" w:lineRule="auto"/>
        <w:rPr>
          <w:sz w:val="20"/>
          <w:szCs w:val="20"/>
          <w:color w:val="auto"/>
        </w:rPr>
      </w:pPr>
      <w:r>
        <w:rPr>
          <w:rFonts w:ascii="Arial" w:cs="Arial" w:eastAsia="Arial" w:hAnsi="Arial"/>
          <w:sz w:val="17"/>
          <w:szCs w:val="17"/>
          <w:color w:val="auto"/>
        </w:rPr>
        <w:t>We believe we comply with governmental toy safety requirements specific to each country where there are Build-A-Bear Workshop stores. Specifically, we believe all of the products sold in our stores and through our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Chile Standard on Safety of Toys NCh 3251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or other applicable authority. We require our supplier factories to be compliant with the International Council of Toy Industries (ICTI) Ethical Toy Program certification or with other third-party social compliance programs. The ICTI Ethical Toy Program process is a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average time from product conception to the arrival in stores is approximately 12 months, including approximately 90 to 120 days from the beginning of production to in-store delivery. Through an ongoing analysis of selling trends, we regularly update our product assortment by increasing quantities of productive styles and eliminating less productive styles. Our relationships with our vendors generally are on a purchase order basis without contractual obligation to provide adequate supply or acceptable pricing on a long-term basis.</w:t>
      </w:r>
    </w:p>
    <w:p>
      <w:pPr>
        <w:spacing w:after="0" w:line="18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As part of our disciplined approach to working capital and strong management of vendor relationships, as of January 30, 2021 our inventory balance decreased $6.4 million compared to February 1, 2020. While we are comfortable with the receipt flow, level, and composition of our inventory, we continue to manage our supply chain to mitigate logistics disruptions and delays in product shipments.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own a 350,000 square-foot distribution center in Groveport, Ohio (near Columbus) that serves the majority of our stores in the United States and Canada. We also contract with a third-party warehouse in southern California to service our West Coast stores. The contract has a one-year term and is renewable. In Europe, we contract with a third-party distribution center in Selby, England under an agreement that ends in January 2025, to fulfill our store and e-commerce fulfillment needs. This agreement contains clauses that allow for termination if certain performance criteria are not met. In Asia, we contract with a third-party distribution center in Shanghai, China which is currently on a month-to-month extension while negotiations for an agreement are on-going.</w:t>
      </w:r>
    </w:p>
    <w:p>
      <w:pPr>
        <w:spacing w:after="0" w:line="19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Transportation from the warehouses to stores is managed by several third-party logistics providers. In the United States,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every other week or once a week on a regular schedule, which allows us to consolidate shipments in order to reduce distribution and shipping costs. Back-up supplies, such as stuffing for the plush animals, are often stored in limited amounts at regional pool points.</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fiscal 2020, we introduced "Buy Online, Ship From Store" and "Buy Online, Pick Up In Store" for orders placed in the United States and "Click and Collect" for orders placed in the United Kingdom. These programs allow our brick and mortar stores to operate essentially as small distribution centers allowing us to leverage the geographic proximity of stores, available inventory and labor to fulfill e-commerce demand.</w:t>
      </w:r>
    </w:p>
    <w:p>
      <w:pPr>
        <w:spacing w:after="0" w:line="16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March 26, 2020, we announced the temporary closure of our warehouse and e-commerce fulfillment center in Ohio as we reviewed our processes related to workplace safety and assessed the scope of the Ohio statewide "stay at home" order, including social distancing and sanitation practices recommended by the Centers for Disease Control and Prevention and Ohio state health and regulatory authorities. The Ohio warehouse was reopened on April 1, 2020 following the review and reconfiguration of workflow and workspaces to further promote social distancing and minimize interaction as orders are fulfilled. With our guidance, our third-party warehouse in Selby, England implemented updated policies to comply with local social distancing guidelines.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20" w:firstLine="486"/>
        <w:spacing w:after="0" w:line="263" w:lineRule="auto"/>
        <w:rPr>
          <w:sz w:val="20"/>
          <w:szCs w:val="20"/>
          <w:color w:val="auto"/>
        </w:rPr>
      </w:pPr>
      <w:r>
        <w:rPr>
          <w:rFonts w:ascii="Arial" w:cs="Arial" w:eastAsia="Arial" w:hAnsi="Arial"/>
          <w:sz w:val="18"/>
          <w:szCs w:val="18"/>
          <w:color w:val="auto"/>
        </w:rPr>
        <w:t>As of January 30, 2021, we had approximately 1,000 full-time and 2,700 regular part-time employees in the U.S., Canada, the U.K., Ireland and China. The number of part-time employees at all locations fluctuates depending on our seasonal needs. None of our employees is represented by a labor union, and we believe our relationship with our employees is good.</w:t>
      </w:r>
    </w:p>
    <w:p>
      <w:pPr>
        <w:spacing w:after="0" w:line="184" w:lineRule="exact"/>
        <w:rPr>
          <w:sz w:val="20"/>
          <w:szCs w:val="20"/>
          <w:color w:val="auto"/>
        </w:rPr>
      </w:pPr>
    </w:p>
    <w:p>
      <w:pPr>
        <w:jc w:val="both"/>
        <w:ind w:left="20" w:firstLine="486"/>
        <w:spacing w:after="0" w:line="293" w:lineRule="auto"/>
        <w:rPr>
          <w:sz w:val="20"/>
          <w:szCs w:val="20"/>
          <w:color w:val="auto"/>
        </w:rPr>
      </w:pPr>
      <w:r>
        <w:rPr>
          <w:rFonts w:ascii="Arial" w:cs="Arial" w:eastAsia="Arial" w:hAnsi="Arial"/>
          <w:sz w:val="16"/>
          <w:szCs w:val="16"/>
          <w:color w:val="auto"/>
        </w:rPr>
        <w:t>As a result of COVID-19, on March 26, 2020 and the temporary closure of our corporately-managed stores, we announced the furlough of over 90% of our workforce and pay reductions of 20% for those employees not placed on temporary leave, including each of our named executive officers, both effective March 29, 2020. On October 6, 2020, the Compensation Committee of our Board of Directors authorized the return of base salaries to the amounts that were effective prior to the salary reductions for all employees, including our executive officers. The restoration of the base salaries was effective September 27, 2020 and was not retroactive to the date salaries were reduced in March 2020. As of January 30, 2021, the majority of our workforce in the United Kingdom and Ireland was furloughed as a result of all stores again being temporarily closed to comply with government mandates.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20" w:firstLine="486"/>
        <w:spacing w:after="0" w:line="291" w:lineRule="auto"/>
        <w:rPr>
          <w:sz w:val="20"/>
          <w:szCs w:val="20"/>
          <w:color w:val="auto"/>
        </w:rPr>
      </w:pPr>
      <w:r>
        <w:rPr>
          <w:rFonts w:ascii="Arial" w:cs="Arial" w:eastAsia="Arial" w:hAnsi="Arial"/>
          <w:sz w:val="16"/>
          <w:szCs w:val="16"/>
          <w:color w:val="auto"/>
        </w:rPr>
        <w:t>We view the Build-A-Bear Workshop store experience as a distinctive combination of entertainment and retail with limited direct competition. Since we develop proprietary products, we compete indirectly with a number of brands that sell stuffed animals or premium children’s toys in the United States, including, but not limited to, Ty, Fisher Price, Mattel, Ganz, Hasbro, Commonwealth and Vermont Teddy Bear. In the U.K., we compete with a number of retailers including The Entertainer Toy Shop, Smyths Toys Superstores and Hamleys toy stores.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With the majority of our stores currently operating in traditional shopping malls, we also compete with other mall-based retailers, including various apparel, footwear and specialty retailers, for prime mall locations.</w:t>
      </w:r>
    </w:p>
    <w:p>
      <w:pPr>
        <w:spacing w:after="0" w:line="166" w:lineRule="exact"/>
        <w:rPr>
          <w:sz w:val="20"/>
          <w:szCs w:val="20"/>
          <w:color w:val="auto"/>
        </w:rPr>
      </w:pPr>
    </w:p>
    <w:p>
      <w:pPr>
        <w:jc w:val="both"/>
        <w:ind w:left="20" w:firstLine="486"/>
        <w:spacing w:after="0" w:line="308" w:lineRule="auto"/>
        <w:rPr>
          <w:sz w:val="20"/>
          <w:szCs w:val="20"/>
          <w:color w:val="auto"/>
        </w:rPr>
      </w:pPr>
      <w:r>
        <w:rPr>
          <w:rFonts w:ascii="Arial" w:cs="Arial" w:eastAsia="Arial" w:hAnsi="Arial"/>
          <w:sz w:val="17"/>
          <w:szCs w:val="17"/>
          <w:color w:val="auto"/>
        </w:rPr>
        <w:t>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jc w:val="both"/>
        <w:ind w:left="20" w:right="20" w:firstLine="486"/>
        <w:spacing w:after="0" w:line="263"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spacing w:after="0" w:line="184" w:lineRule="exact"/>
        <w:rPr>
          <w:sz w:val="20"/>
          <w:szCs w:val="20"/>
          <w:color w:val="auto"/>
        </w:rPr>
      </w:pPr>
    </w:p>
    <w:p>
      <w:pPr>
        <w:jc w:val="both"/>
        <w:ind w:left="20" w:firstLine="486"/>
        <w:spacing w:after="0" w:line="275" w:lineRule="auto"/>
        <w:rPr>
          <w:sz w:val="20"/>
          <w:szCs w:val="20"/>
          <w:color w:val="auto"/>
        </w:rPr>
      </w:pPr>
      <w:r>
        <w:rPr>
          <w:rFonts w:ascii="Arial" w:cs="Arial" w:eastAsia="Arial" w:hAnsi="Arial"/>
          <w:sz w:val="17"/>
          <w:szCs w:val="17"/>
          <w:color w:val="auto"/>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NBCUniversal, Lucasfilm, Warner Bros., Nintendo, and major professional and collegiate sports along with other culturally relevant brands.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jc w:val="both"/>
        <w:ind w:right="140" w:firstLine="486"/>
        <w:spacing w:after="0" w:line="272" w:lineRule="auto"/>
        <w:rPr>
          <w:sz w:val="20"/>
          <w:szCs w:val="20"/>
          <w:color w:val="auto"/>
        </w:rPr>
      </w:pPr>
      <w:r>
        <w:rPr>
          <w:rFonts w:ascii="Arial" w:cs="Arial" w:eastAsia="Arial" w:hAnsi="Arial"/>
          <w:sz w:val="17"/>
          <w:szCs w:val="17"/>
          <w:color w:val="auto"/>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practicable after we electronically file such material with, or furnish it to, the SEC. You may also request copies of these materials without charge by writing to our Investor Relations department at World Headquarters, 1954 Innerbelt Business Center Drive, St. Louis, Missouri 63114.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8" w:name="page9"/>
    <w:bookmarkEnd w:id="8"/>
    <w:p>
      <w:pPr>
        <w:spacing w:after="0"/>
        <w:tabs>
          <w:tab w:leader="none" w:pos="7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w:t>
      </w:r>
    </w:p>
    <w:p>
      <w:pPr>
        <w:spacing w:after="0" w:line="211"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has had and is expected to continue to have an adverse effect on our business and results of operations.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 March 2020, the World Health Organization announced that COVID-19 was a global pandemic. This pandemic has negatively affected the U.S. and global economies, disrupted global supply chains and financial markets, and led to significant travel and transportation restrictions, including government mandated closures and orders to “shelter-in-place.” The actions that governments around the world have taken, or that private companies have implemented on a voluntary basis, to contain the spread of COVID-19 have resulted in various disruptions, including temporary store closures, limited store operating hours, restricted crowd levels, reduced customer traffic and consumer spending, manufacturing delays, and disruptions in logistics and product shipments. During this period, we have focused on protecting the well-being of our customers, employees, contractors, suppliers, and other business partners. We are also working with our suppliers to minimize potential disruptions, while managing the changing dynamics in our business. These disruptions had a material impact on our business operations and financial performance for fiscal 2020. All of our stores in North America, the United Kingdom and Ireland were closed in March 2020 and almost all remained closed at the beginning of the second quarter. We reopened the majority of our stores by the end of the second quarter 2020 in accordance with local restrictions and where we believed we could provide for the safety and well-being of our employees and customers. Disruptions continued thereafter, however, as certain stores were required to temporarily close either individually or as part of entire geographic region mandates. In the fourth quarter of 2020, all of our stores in the U.K. and Ireland were again temporarily closed due to government mandates with reopenings expected in April 2021. Due to the uncertainty of COVID-19 and the speed at which the pandemic continues to impact our markets, we are continuing to assess the situation, including government-imposed restrictions, market by market.</w:t>
      </w:r>
    </w:p>
    <w:p>
      <w:pPr>
        <w:spacing w:after="0" w:line="17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extent to which the pandemic continues to impact our business, operations and financial results will depend on numerous evolving factors that we may not be able to accurately predict or assess including, the duration and spread of the pandemic, actions taken to limit the spread, and the public’s willingness to comply with such actions, the availability and efficacy of vaccines and treatments for COVID-19, the extent of the impact on global and regional economies and economic activity, including the duration and magnitude of its impact on unemployment rates, consumer discretionary spending and consumer confidence, actions governments take, including governments’ positions towards monetary and/or fiscal policy, including potential stimulus and the impact of governmental regulations that might be imposed in response to the pandemic. Numerous state and local jurisdictions have imposed, and others in the future may impose, shelter-in-place orders, quarantines, executive orders and similar government orders and restrictions for their residents to mitigate the spread of COVID-19. Such orders, restrictions and changes in consumer behavior have negatively impacted our operations. In addition to these more near-term impacts, we are unable to accurately predict the full impact COVID-19 will have on our longer-term operations as well, particularly with respect to our current mix of merchandise offerings, consumer shopping behavior and store traffic trends.</w:t>
      </w:r>
    </w:p>
    <w:p>
      <w:pPr>
        <w:spacing w:after="0" w:line="1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 the extent COVID-19 adversely affects our business, operations, financial condition and operating results, it may also have the effect of heightening many of the other risks described in this “Risk Factors” section, such as those relating to consumer traffic, general global economic conditions, and demand for our interactive retail experience.</w:t>
      </w:r>
    </w:p>
    <w:p>
      <w:pPr>
        <w:spacing w:after="0" w:line="180"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depend upon the shopping malls and tourist locations in which our stores are located to attract guests. Continued or further declines in consumer traffic could adversely affect our financial performance and profitability.</w:t>
      </w:r>
    </w:p>
    <w:p>
      <w:pPr>
        <w:spacing w:after="0" w:line="166" w:lineRule="exact"/>
        <w:rPr>
          <w:sz w:val="20"/>
          <w:szCs w:val="20"/>
          <w:color w:val="auto"/>
        </w:rPr>
      </w:pPr>
    </w:p>
    <w:p>
      <w:pPr>
        <w:jc w:val="both"/>
        <w:ind w:right="140" w:firstLine="486"/>
        <w:spacing w:after="0" w:line="257" w:lineRule="auto"/>
        <w:rPr>
          <w:sz w:val="20"/>
          <w:szCs w:val="20"/>
          <w:color w:val="auto"/>
        </w:rPr>
      </w:pPr>
      <w:r>
        <w:rPr>
          <w:rFonts w:ascii="Arial" w:cs="Arial" w:eastAsia="Arial" w:hAnsi="Arial"/>
          <w:sz w:val="18"/>
          <w:szCs w:val="18"/>
          <w:color w:val="auto"/>
        </w:rPr>
        <w:t>While we invest in integrated marketing efforts and believe we are more of a destination location than other retailers, we rely to a great extent on consumer traffic in the malls and tourist locations in which our stores are located. Traffic to tourist locations in general has been reduced and may continue to be negatively impacted by COVID-19, which might disproportionally affect our business relative to other retailers that have locations in more traditional settings or that have a greater mix of online sales ordering. We rely on the ability of the malls’ anchor tenants, generally large department stores, and on the continuing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The pandemic accelerated a trend that has been occurring for years of consumers shifting behavior to increasingly purchase products from online merchants rather than traditional brick-and-mortar stores. While we had significant positive growth in our e-commerce sales and are working to develop and strengthen our online business, we continue to depend heavily on sales at our physical store locations. Consumer traffic may also be reduced due to factors such as the economy, civil unrest, actual or threatened acts of terrorism to shopping locations, the impact of weather or natural disasters or a decline in consumer confidence resulting from international conflicts or war. A decrease in consumer traffic could have an adverse effect on our financial condition and profitability.</w:t>
      </w:r>
    </w:p>
    <w:p>
      <w:pPr>
        <w:spacing w:after="0" w:line="178" w:lineRule="exact"/>
        <w:rPr>
          <w:sz w:val="20"/>
          <w:szCs w:val="20"/>
          <w:color w:val="auto"/>
        </w:rPr>
      </w:pPr>
    </w:p>
    <w:p>
      <w:pPr>
        <w:jc w:val="both"/>
        <w:ind w:right="20" w:firstLine="486"/>
        <w:spacing w:after="0" w:line="273" w:lineRule="auto"/>
        <w:rPr>
          <w:sz w:val="20"/>
          <w:szCs w:val="20"/>
          <w:color w:val="auto"/>
        </w:rPr>
      </w:pPr>
      <w:r>
        <w:rPr>
          <w:rFonts w:ascii="Arial" w:cs="Arial" w:eastAsia="Arial" w:hAnsi="Arial"/>
          <w:sz w:val="17"/>
          <w:szCs w:val="17"/>
          <w:color w:val="auto"/>
        </w:rPr>
        <w:t>In particular, COVID-19 has caused public health officials to recommend precautions to mitigate the spread of the virus, especially when congregating in areas that attract dense crowds, such as shopping malls. This resulted in temporary store closures in fiscal 2020 and significant declines in mall traffic and continues to pose risks for store closures and continued reductions in traffic in 2021. As an example, our store portfolio in the United Kingdom was temporarily closed as a result of government mandates beginning in November 2020 and continuing into Spring 2021, with only brief openings of a week or less between periods of the mandated lockdown. Further, temporary store closures continue to occur in response to periodic coronavirus exposures in order to comply with government mandates and company policy surrounding the potential exposures.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decline in general global economic conditions could lead to disproportionately reduced discretionary consumer spending and a corresponding reduction in demand for our products and have an adverse effect on our liquidity and profitability.</w:t>
      </w:r>
    </w:p>
    <w:p>
      <w:pPr>
        <w:spacing w:after="0" w:line="16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slowdown in the North American or European economies or in the economies of the countries in which our franchisees and third-party retail partners operate or uncertainty as to the economic outlook could reduce discretionary spending or cause a shift in consumer discretionary spending to other products. For example, the potential adverse effects of COVID-19 across geographies and the U.K.'s decision to leave the European Union ("EU"), commonly referred to as Brexit, in the U.K. market, may be underestimated and the actual effects are dependent on many factors that may be beyond the control of the authorities in the countries in which we operate including the United States, Canada, and the U.K. The potential adverse effects of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our financial condition which may affect our ability to access capital resources under our credit agreement. The amount available for borrowing could be restricted under this agreement if the amount of our assets used to calculate the borrowing base (specified percentages of eligible credit card receivables, eligible inventory, and, under certain circumstances, eligible foreign in-transit inventory and, in the discretion of the agent, eligible receivables) decrease.</w:t>
      </w:r>
    </w:p>
    <w:p>
      <w:pPr>
        <w:spacing w:after="0" w:line="184"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7"/>
          <w:szCs w:val="17"/>
          <w:color w:val="auto"/>
        </w:rPr>
        <w:t>Brexit has increased the uncertainty in the economic and political environment in Europe. On December 24, 2020, the U.K. and the EU reached a post-Brexit Trade and Cooperation Agreement that contains new rules governing the relationship between the U.K. and the EU, including with respect to trade, travel and immigration, among other things. Our business in the U.K.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10" w:name="page11"/>
    <w:bookmarkEnd w:id="10"/>
    <w:p>
      <w:pPr>
        <w:jc w:val="both"/>
        <w:ind w:left="20" w:right="20"/>
        <w:spacing w:after="0" w:line="282" w:lineRule="auto"/>
        <w:rPr>
          <w:sz w:val="20"/>
          <w:szCs w:val="20"/>
          <w:color w:val="auto"/>
        </w:rPr>
      </w:pPr>
      <w:r>
        <w:rPr>
          <w:rFonts w:ascii="Arial" w:cs="Arial" w:eastAsia="Arial" w:hAnsi="Arial"/>
          <w:sz w:val="18"/>
          <w:szCs w:val="18"/>
          <w:b w:val="1"/>
          <w:bCs w:val="1"/>
          <w:color w:val="auto"/>
        </w:rPr>
        <w:t>Consumer interests change rapidly, and our success depends on the ongoing effectiveness of our marketing and online initiatives to build consumer affinity for our brand and drive consumer demand for our products and services.</w:t>
      </w:r>
    </w:p>
    <w:p>
      <w:pPr>
        <w:spacing w:after="0" w:line="166" w:lineRule="exact"/>
        <w:rPr>
          <w:sz w:val="20"/>
          <w:szCs w:val="20"/>
          <w:color w:val="auto"/>
        </w:rPr>
      </w:pPr>
    </w:p>
    <w:p>
      <w:pPr>
        <w:jc w:val="both"/>
        <w:ind w:left="20" w:right="20" w:firstLine="486"/>
        <w:spacing w:after="0" w:line="259" w:lineRule="auto"/>
        <w:rPr>
          <w:sz w:val="20"/>
          <w:szCs w:val="20"/>
          <w:color w:val="auto"/>
        </w:rPr>
      </w:pPr>
      <w:r>
        <w:rPr>
          <w:rFonts w:ascii="Arial" w:cs="Arial" w:eastAsia="Arial" w:hAnsi="Arial"/>
          <w:sz w:val="18"/>
          <w:szCs w:val="18"/>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in a profitable manner and future marketing and advertising efforts that we undertake, including our ability to:</w:t>
      </w:r>
    </w:p>
    <w:p>
      <w:pPr>
        <w:spacing w:after="0" w:line="187" w:lineRule="exact"/>
        <w:rPr>
          <w:sz w:val="20"/>
          <w:szCs w:val="20"/>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greater awareness and affinity of our brand, interactive shopping experience and products;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 consumer awareness into store and e-commerce site visits and product purchases;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optimal level of marketing spend and most efficient marketing channels;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programs locally, nationally and internationally; and</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effectively manage marketing costs (including creative and media) to maintain acceptable operating margins and return on marketing investment.</w:t>
      </w:r>
    </w:p>
    <w:p>
      <w:pPr>
        <w:spacing w:after="0" w:line="248"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Moreover, our branding and marketing efforts could be undermined by the nature of our mall-based, interactive experience, as consumers make different choices in order to continue social distancing practices. The perception that our experience may not be safe, in particular for vulnerable populations, could have a material adverse impact on the effectiveness of our branding and marketing efforts which could negatively impact our financial results. Our planned marketing expenditures may not result in increased total sales or generate sufficient levels of product and brand awareness, which could also have a material adverse effect on our financial condition and profitability. Additionally, we have shifted a number of our marketing programs to digital outlets which may not be as effective as historical programs.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jc w:val="both"/>
        <w:ind w:left="20" w:firstLine="486"/>
        <w:spacing w:after="0" w:line="257" w:lineRule="auto"/>
        <w:rPr>
          <w:sz w:val="20"/>
          <w:szCs w:val="20"/>
          <w:color w:val="auto"/>
        </w:rPr>
      </w:pPr>
      <w:r>
        <w:rPr>
          <w:rFonts w:ascii="Arial" w:cs="Arial" w:eastAsia="Arial" w:hAnsi="Arial"/>
          <w:sz w:val="18"/>
          <w:szCs w:val="18"/>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plush products and stuffing.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business may be adversely impacted at any time by a variety of significant competitive threats.</w:t>
      </w:r>
    </w:p>
    <w:p>
      <w:pPr>
        <w:spacing w:after="0" w:line="229" w:lineRule="exact"/>
        <w:rPr>
          <w:sz w:val="20"/>
          <w:szCs w:val="20"/>
          <w:color w:val="auto"/>
        </w:rPr>
      </w:pPr>
    </w:p>
    <w:p>
      <w:pPr>
        <w:jc w:val="both"/>
        <w:ind w:left="20" w:right="20" w:firstLine="486"/>
        <w:spacing w:after="0" w:line="253" w:lineRule="auto"/>
        <w:rPr>
          <w:sz w:val="20"/>
          <w:szCs w:val="20"/>
          <w:color w:val="auto"/>
        </w:rPr>
      </w:pPr>
      <w:r>
        <w:rPr>
          <w:rFonts w:ascii="Arial" w:cs="Arial" w:eastAsia="Arial" w:hAnsi="Arial"/>
          <w:sz w:val="18"/>
          <w:szCs w:val="18"/>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w:t>
      </w:r>
    </w:p>
    <w:p>
      <w:pPr>
        <w:spacing w:after="0" w:line="3"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be certain that they will not compete directly with us in the future.</w:t>
      </w:r>
    </w:p>
    <w:p>
      <w:pPr>
        <w:spacing w:after="0" w:line="193" w:lineRule="exact"/>
        <w:rPr>
          <w:sz w:val="20"/>
          <w:szCs w:val="20"/>
          <w:color w:val="auto"/>
        </w:rPr>
      </w:pPr>
    </w:p>
    <w:p>
      <w:pPr>
        <w:jc w:val="both"/>
        <w:ind w:left="20" w:right="20" w:firstLine="486"/>
        <w:spacing w:after="0" w:line="311" w:lineRule="auto"/>
        <w:rPr>
          <w:sz w:val="20"/>
          <w:szCs w:val="20"/>
          <w:color w:val="auto"/>
        </w:rPr>
      </w:pPr>
      <w:r>
        <w:rPr>
          <w:rFonts w:ascii="Arial" w:cs="Arial" w:eastAsia="Arial" w:hAnsi="Arial"/>
          <w:sz w:val="16"/>
          <w:szCs w:val="16"/>
          <w:color w:val="auto"/>
        </w:rPr>
        <w:t>Many of our competitors have longer operating histories, significantly greater financial, marketing and other resources, and greater name recognition. We cannot be certain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580" w:right="459" w:bottom="1440" w:gutter="0" w:footer="0" w:header="0"/>
        </w:sectPr>
      </w:pPr>
    </w:p>
    <w:bookmarkStart w:id="11" w:name="page12"/>
    <w:bookmarkEnd w:id="11"/>
    <w:p>
      <w:pPr>
        <w:jc w:val="both"/>
        <w:ind w:firstLine="486"/>
        <w:spacing w:after="0" w:line="257" w:lineRule="auto"/>
        <w:rPr>
          <w:sz w:val="20"/>
          <w:szCs w:val="20"/>
          <w:color w:val="auto"/>
        </w:rPr>
      </w:pPr>
      <w:r>
        <w:rPr>
          <w:rFonts w:ascii="Arial" w:cs="Arial" w:eastAsia="Arial" w:hAnsi="Arial"/>
          <w:sz w:val="18"/>
          <w:szCs w:val="18"/>
          <w:color w:val="auto"/>
        </w:rPr>
        <w:t>The retail sector has experienced an immense increase in sales initiated online and using mobile applications, as well as online sales for both in-store or curbside pick-up. Online and multi-channel retailers continue to focus on delivery services, with customers increasingly seeking faster, guaranteed delivery times and low-cost or free shipping. Our ability to be competitive on delivery times and delivery costs depends on many factors, and our failure to successfully manage these factors and offer competitive delivery options could negatively impact the demand for our products and our profit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4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success depends in large part upon our ability to continue to attract new and repeat guests with our interactive shopping experience, and our ability to anticipate, gauge and respond in a timely manner to changing consumer preferences, such as online buying, and fashion trends including licensed relationships. We cannot be certain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In addition, due to COVID-19, we modified our interactive shopping experience in order to comply with social distancing guidelines and sanitation practices, which could have a negative impact on the appeal of our interactive shopping experience. Conversely, if we do not modify our experience to a sufficient degree to address safety concerns relative to social distancing remediation, the perception that we are not adequately addressing these concerns may adversely affect our brand.</w:t>
      </w:r>
    </w:p>
    <w:p>
      <w:pPr>
        <w:spacing w:after="0" w:line="185" w:lineRule="exact"/>
        <w:rPr>
          <w:sz w:val="20"/>
          <w:szCs w:val="20"/>
          <w:color w:val="auto"/>
        </w:rPr>
      </w:pPr>
    </w:p>
    <w:p>
      <w:pPr>
        <w:jc w:val="both"/>
        <w:ind w:right="20" w:firstLine="486"/>
        <w:spacing w:after="0" w:line="293" w:lineRule="auto"/>
        <w:rPr>
          <w:sz w:val="20"/>
          <w:szCs w:val="20"/>
          <w:color w:val="auto"/>
        </w:rPr>
      </w:pPr>
      <w:r>
        <w:rPr>
          <w:rFonts w:ascii="Arial" w:cs="Arial" w:eastAsia="Arial" w:hAnsi="Arial"/>
          <w:sz w:val="16"/>
          <w:szCs w:val="16"/>
          <w:color w:val="auto"/>
        </w:rPr>
        <w:t>Our future success depends, in part, on the popularity and consumer demand for brands of licensors such as Disney, Lucasfilm, Warner Bros., and Nintendo. If we are not able to meet our contractual commitments or are unable to maintain licensing agreements with key brands, our business would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technology and digital operations.</w:t>
      </w:r>
    </w:p>
    <w:p>
      <w:pPr>
        <w:spacing w:after="0" w:line="229" w:lineRule="exact"/>
        <w:rPr>
          <w:sz w:val="20"/>
          <w:szCs w:val="20"/>
          <w:color w:val="auto"/>
        </w:rPr>
      </w:pPr>
    </w:p>
    <w:p>
      <w:pPr>
        <w:jc w:val="both"/>
        <w:ind w:right="20" w:firstLine="486"/>
        <w:spacing w:after="0" w:line="296" w:lineRule="auto"/>
        <w:rPr>
          <w:sz w:val="20"/>
          <w:szCs w:val="20"/>
          <w:color w:val="auto"/>
        </w:rPr>
      </w:pPr>
      <w:r>
        <w:rPr>
          <w:rFonts w:ascii="Arial" w:cs="Arial" w:eastAsia="Arial" w:hAnsi="Arial"/>
          <w:sz w:val="16"/>
          <w:szCs w:val="16"/>
          <w:color w:val="auto"/>
        </w:rPr>
        <w:t>Our operations are subject to numerous technology related risks, including risks related to the failure of the computer systems that operate our point of sale and inventory systems, websites and mobile sites and their related support systems. We engage key third-party business partners to support various functions of our business, including, but not limited to, information technology, web hosting and cloud-based services. We, and those third party business that support us,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61"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 it could have a material adverse effect on our business. Further, as our online sales have increased and have become critical to our growth, the risk of any interruption of our information technology system capabilities is heightened.</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12" w:name="page13"/>
    <w:bookmarkEnd w:id="12"/>
    <w:p>
      <w:pPr>
        <w:jc w:val="both"/>
        <w:spacing w:after="0" w:line="282" w:lineRule="auto"/>
        <w:rPr>
          <w:sz w:val="20"/>
          <w:szCs w:val="20"/>
          <w:color w:val="auto"/>
        </w:rPr>
      </w:pPr>
      <w:r>
        <w:rPr>
          <w:rFonts w:ascii="Arial" w:cs="Arial" w:eastAsia="Arial" w:hAnsi="Arial"/>
          <w:sz w:val="18"/>
          <w:szCs w:val="18"/>
          <w:b w:val="1"/>
          <w:bCs w:val="1"/>
          <w:color w:val="auto"/>
        </w:rPr>
        <w:t>If we are unable to renew, renegotiate or replace our store leases or enter into leases for new stores on favorable terms, or if we violate any of the terms of our current leases, our revenue and profitability could be harmed.</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 or ours. Although we have largely shifted our leases in North America to shorter term leases to provide flexibility in aligning stores with market trends, this strategy has risk if we renew leases at a time when commercial rental rates are higher than the rate we could have secured with a longer term lease.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incur expenses and charges associated with those closures that could negatively impact our profitability.</w:t>
      </w:r>
    </w:p>
    <w:p>
      <w:pPr>
        <w:spacing w:after="0" w:line="18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Additionally, several large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4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leases in the U.K.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company-owned distribution center that services the majority of our stores in North America and our third-party distribution center providers used in the western United States and Europe may be required to close and operations may experience disruptions or may operate inefficiently.</w:t>
      </w:r>
    </w:p>
    <w:p>
      <w:pPr>
        <w:spacing w:after="0" w:line="18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operation of our stores is dependent on our ability to distribute merchandise to locations throughout the U.S., Canada, Europe and China in a timely manner. We own a 350,000-square-foot distribution center in Groveport, Ohio and rely on this warehouse to receive, store and distribute merchandise for the majority of our North America stores. To operate this location, our ability to meet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Europe and in China. For example, as noted above, in Europe, we contract with a third-party distribution center in Selby, England under an agreement that ends in January 2025, and the effects of Brexit could adversely affect this distribution arrangement. Any significant interruption in the operation of the distribution centers due to natural disasters or severe weather, events such as fire, accidents, power outages, system failures, public health issues such as the current COVID-19 pandemic (or other future pandemics), or other unforeseen causes could damage a significant portion of our inventory. These factors may also impair our ability to adequately stock our stores and fulfill e-commerce orders and could decrease our sales and increase our costs associated with our supply chain.</w:t>
      </w:r>
    </w:p>
    <w:p>
      <w:pPr>
        <w:spacing w:after="0" w:line="16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March 2020, we announced the temporary closure of our warehouse and e-commerce fulfillment center in Ohio as it reviewed its processes related to workplace safety and assessed the scope of the Ohio statewide "stay at home" order, including social distancing and sanitation practices recommended by the Centers for Disease Control and Prevention and Ohio state health and regulatory authorities. The Ohio warehouse was reopened at the beginning of April 2020 following the review and reconfiguration of workflow and workspaces to further promote social distancing and minimize interaction as orders are fulfilled. Additional closures may be required or voluntarily adopted by us under federal and state law guidelines, and any such closure(s) may be long term. In addition, the newly implemented changes to workflow and workspaces could slow our order processing times and impact our ability to optimize the e-commerce channel.</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3" w:name="page14"/>
    <w:bookmarkEnd w:id="13"/>
    <w:p>
      <w:pPr>
        <w:jc w:val="both"/>
        <w:ind w:right="20"/>
        <w:spacing w:after="0" w:line="266" w:lineRule="auto"/>
        <w:rPr>
          <w:sz w:val="20"/>
          <w:szCs w:val="20"/>
          <w:color w:val="auto"/>
        </w:rPr>
      </w:pPr>
      <w:r>
        <w:rPr>
          <w:rFonts w:ascii="Arial" w:cs="Arial" w:eastAsia="Arial" w:hAnsi="Arial"/>
          <w:sz w:val="18"/>
          <w:szCs w:val="18"/>
          <w:b w:val="1"/>
          <w:bCs w:val="1"/>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80"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7"/>
          <w:szCs w:val="17"/>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For example, our strategy includes a focus on tourist locations due to changing consumer preferences and declining traditional mall traffic and we cannot be certain that this strategy will be successful. Our ability to manage our portfolio of stores in future years, in desirable locations as well as operate stores profitably, particularly in multi-store markets, is a key factor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 For example, in January 2018, we closed a flagship store in Anaheim, California. This store had much larger annual sales than our typical mall-based stores.</w:t>
      </w:r>
    </w:p>
    <w:p>
      <w:pPr>
        <w:spacing w:after="0" w:line="178"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Additionally, in fiscal 2020 we operated 22 stores located within other retailers’ stores and 56 stores through our "third-party wholesale" model and as such are subject to the operational risks of these retailers, including but not limited to, ineffective store operations, labor disputes and negative publicity, all of which could have a negative impact on our sales and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operate our international corporately-managed locations profitably.</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to our U.S. locations, we currently operate stores in the U.K., Canada, Ireland and China. Our future success in international markets may be impacted by differences in consumer demand, regulatory and cultural differences, economic conditions, public health issues such as COVID-19, changes in foreign government policies and regulations, changes in trading status, compliance with U.S. laws affecting operations outside the U.S., such as the Foreign Corrupt Practices Act, as well as other risks that we may not anticipate. Brand awareness in international markets may be lower than in the U.S. and we may face higher labor and rent costs, as well as different holiday schedules. Although we have realized benefits from our operations in the U.K. and Ireland, we may be unable to continue to do so on a consistent basis. For example, in the U.K. we have recorded a full valuation allowance as of the end of fiscal 2020 on our deferred tax assets and during fiscal 2020 we recorded $1.9 million in long-lived asset impairments including right-of-use assets. In 2016, we opened our first corporately-managed location in China and subsequently recognized an impairment charge on a substantial portion of the store’s assets. In addition, the impacts of COVID-19 on our internationally corporately-managed locations, including government mandated temporary store closures, limited store operating hours, restricted crowd levels and reduced customer traffic and consumer spending, such as those seen in the U.K. in 2020 and 2021, may affect profitability at these locations.</w:t>
      </w:r>
    </w:p>
    <w:p>
      <w:pPr>
        <w:spacing w:after="0" w:line="182"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we may purchase products in U.S. dollars but sell them to customers in local currencies, which exposes us to foreign exchange risk, as described in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r>
        <w:rPr>
          <w:rFonts w:ascii="Arial" w:cs="Arial" w:eastAsia="Arial" w:hAnsi="Arial"/>
          <w:sz w:val="18"/>
          <w:szCs w:val="18"/>
          <w:color w:val="auto"/>
        </w:rPr>
        <w:t>” below. In addition, we could experience restrictions on the transfer of funds to and from foreign countries, including potentially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consequences.</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4" w:name="page15"/>
    <w:bookmarkEnd w:id="14"/>
    <w:p>
      <w:pPr>
        <w:jc w:val="both"/>
        <w:ind w:right="120"/>
        <w:spacing w:after="0" w:line="312" w:lineRule="auto"/>
        <w:rPr>
          <w:sz w:val="20"/>
          <w:szCs w:val="20"/>
          <w:color w:val="auto"/>
        </w:rPr>
      </w:pPr>
      <w:r>
        <w:rPr>
          <w:rFonts w:ascii="Arial" w:cs="Arial" w:eastAsia="Arial" w:hAnsi="Arial"/>
          <w:sz w:val="17"/>
          <w:szCs w:val="17"/>
          <w:b w:val="1"/>
          <w:bCs w:val="1"/>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spacing w:after="0" w:line="144" w:lineRule="exact"/>
        <w:rPr>
          <w:sz w:val="20"/>
          <w:szCs w:val="20"/>
          <w:color w:val="auto"/>
        </w:rPr>
      </w:pPr>
    </w:p>
    <w:p>
      <w:pPr>
        <w:jc w:val="both"/>
        <w:ind w:right="100" w:firstLine="486"/>
        <w:spacing w:after="0" w:line="269" w:lineRule="auto"/>
        <w:rPr>
          <w:sz w:val="20"/>
          <w:szCs w:val="20"/>
          <w:color w:val="auto"/>
        </w:rPr>
      </w:pPr>
      <w:r>
        <w:rPr>
          <w:rFonts w:ascii="Arial" w:cs="Arial" w:eastAsia="Arial" w:hAnsi="Arial"/>
          <w:sz w:val="17"/>
          <w:szCs w:val="17"/>
          <w:color w:val="auto"/>
        </w:rPr>
        <w:t>We do not own or operate any factories that produce our plush products, clothing, shoes or accessories. For the past two years, we purchased nearly 80% of our merchandise from four vendors. These vendors in turn contract for the production of merchandise with multiple manufacturing facilities, located primarily in China and Vietnam.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Such disruptions may result from public health issues such as the current COVID-19 pandemic (or other future pandemics), weather related events, natural disasters, trade restrictions, tariffs, work stoppages or slowdowns, shipping capacity constraints, supply or shipping interruptions, or other factors beyond our control.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purchase the majority of our merchandise directly from manufacturers in foreign countries, primarily in China and Vietnam. Any event causing a disruption of imports, including the imposition of import restrictions, taxes or fees, or labor strikes or lockouts and pandemics, could adversely affect our business. For example, our vendors in China were temporarily closed in early 2020 as a result of COVID-19, ceasing production of inventory and supplies.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that would impact our revenue and profit in various markets. Additionally, because most of our foreign subsidiaries buy their inventory in U.S. dollars, we are also exposed to risk when their functional currencies fluctuate relative to the U.S. dollar. For example, the decision by the U.K. to leave the EU (Brexit) has increased the uncertainty in the economic and political environment in Europe. On December 24, 2020, the U.K. and EU reached a post-Brexit Trade and Cooperation Agreement that contains new rules governing the new relationship between the U.K. and the EU, including with respect to trade, travel and immigration among other things. Our business in the U.K.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w:t>
      </w:r>
    </w:p>
    <w:p>
      <w:pPr>
        <w:spacing w:after="0" w:line="178" w:lineRule="exact"/>
        <w:rPr>
          <w:sz w:val="20"/>
          <w:szCs w:val="20"/>
          <w:color w:val="auto"/>
        </w:rPr>
      </w:pPr>
    </w:p>
    <w:p>
      <w:pPr>
        <w:jc w:val="both"/>
        <w:ind w:right="120"/>
        <w:spacing w:after="0" w:line="312"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44"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As of January 30, 2021, there were 71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operated markets, which impact the performance of these stores. Additionally, our franchisees may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 w:name="page16"/>
    <w:bookmarkEnd w:id="15"/>
    <w:p>
      <w:pPr>
        <w:ind w:left="20" w:right="80"/>
        <w:spacing w:after="0" w:line="259" w:lineRule="auto"/>
        <w:rPr>
          <w:sz w:val="20"/>
          <w:szCs w:val="20"/>
          <w:color w:val="auto"/>
        </w:rPr>
      </w:pPr>
      <w:r>
        <w:rPr>
          <w:rFonts w:ascii="Arial" w:cs="Arial" w:eastAsia="Arial" w:hAnsi="Arial"/>
          <w:sz w:val="18"/>
          <w:szCs w:val="18"/>
          <w:color w:val="auto"/>
        </w:rPr>
        <w:t>experience financing, merchandising and distribution expenses and challenges that are different from those we encounter in our corporately-managed markets. The operations and results of our franchisees could be negatively impacted by the economic, public health (such as COVID-19), or political factors in the countries in which they operate or foreign currency fluctuations. These challenges, as well as others, could have a material adverse effect on our business, financial condition and results of operations.</w:t>
      </w:r>
    </w:p>
    <w:p>
      <w:pPr>
        <w:spacing w:after="0" w:line="187" w:lineRule="exact"/>
        <w:rPr>
          <w:sz w:val="20"/>
          <w:szCs w:val="20"/>
          <w:color w:val="auto"/>
        </w:rPr>
      </w:pPr>
    </w:p>
    <w:p>
      <w:pPr>
        <w:jc w:val="both"/>
        <w:ind w:left="20" w:right="20" w:firstLine="441"/>
        <w:spacing w:after="0" w:line="289" w:lineRule="auto"/>
        <w:rPr>
          <w:sz w:val="20"/>
          <w:szCs w:val="20"/>
          <w:color w:val="auto"/>
        </w:rPr>
      </w:pPr>
      <w:r>
        <w:rPr>
          <w:rFonts w:ascii="Arial" w:cs="Arial" w:eastAsia="Arial" w:hAnsi="Arial"/>
          <w:sz w:val="16"/>
          <w:szCs w:val="16"/>
          <w:color w:val="auto"/>
        </w:rPr>
        <w:t>The success of our franchising strategy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If franchisees perform below expectations, we may transfer those agreements to other parties, take over the operations directly or discontinue the franchise agreement. For example, in 2016, we consented to the sale of the franchise in South Africa to new owners. Furthermore, the interests of franchisees might sometimes conflict with our interests. For example, whereas franchisees are concerned with their individual business objectives, we are responsible for ensuring the success of the Build-A-Bear brand and all of our stores. In addition, we have recently terminated franchise agreements covering Mexico, Thailand and Germany resulting in the closure of all stores in these territories.</w:t>
      </w:r>
    </w:p>
    <w:p>
      <w:pPr>
        <w:spacing w:after="0" w:line="166" w:lineRule="exact"/>
        <w:rPr>
          <w:sz w:val="20"/>
          <w:szCs w:val="20"/>
          <w:color w:val="auto"/>
        </w:rPr>
      </w:pPr>
    </w:p>
    <w:p>
      <w:pPr>
        <w:jc w:val="both"/>
        <w:ind w:left="20" w:right="20" w:firstLine="441"/>
        <w:spacing w:after="0" w:line="286" w:lineRule="auto"/>
        <w:rPr>
          <w:sz w:val="20"/>
          <w:szCs w:val="20"/>
          <w:color w:val="auto"/>
        </w:rPr>
      </w:pPr>
      <w:r>
        <w:rPr>
          <w:rFonts w:ascii="Arial" w:cs="Arial" w:eastAsia="Arial" w:hAnsi="Arial"/>
          <w:sz w:val="17"/>
          <w:szCs w:val="17"/>
          <w:color w:val="auto"/>
        </w:rPr>
        <w:t>The laws of the various foreign countries in which our franchisees operate as well as compliance with U.S. laws affecting operations outside the U.S., such as the Foreign Corrupt Practices Act, governs our relationships with our franchisees. These laws, and any new laws that may be enacted, may detrimentally affect the rights and obligations between us and our franchisees and could expose us to additional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TECHNOLOGY AND INTELLECTUAL PROPERTY RISKS</w:t>
      </w:r>
    </w:p>
    <w:p>
      <w:pPr>
        <w:spacing w:after="0" w:line="225"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80" w:lineRule="exact"/>
        <w:rPr>
          <w:sz w:val="20"/>
          <w:szCs w:val="20"/>
          <w:color w:val="auto"/>
        </w:rPr>
      </w:pPr>
    </w:p>
    <w:p>
      <w:pPr>
        <w:jc w:val="both"/>
        <w:ind w:left="20" w:right="20" w:firstLine="486"/>
        <w:spacing w:after="0" w:line="255" w:lineRule="auto"/>
        <w:rPr>
          <w:sz w:val="20"/>
          <w:szCs w:val="20"/>
          <w:color w:val="auto"/>
        </w:rPr>
      </w:pPr>
      <w:r>
        <w:rPr>
          <w:rFonts w:ascii="Arial" w:cs="Arial" w:eastAsia="Arial" w:hAnsi="Arial"/>
          <w:sz w:val="18"/>
          <w:szCs w:val="18"/>
          <w:color w:val="auto"/>
        </w:rPr>
        <w:t>Information technology is a critically important part of our business operations. We depend on information systems to process transactions, manage inventory, operate our websites, manage consumer databases,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“Acts of God,” human error or other causes.</w:t>
      </w:r>
    </w:p>
    <w:p>
      <w:pPr>
        <w:spacing w:after="0" w:line="192" w:lineRule="exact"/>
        <w:rPr>
          <w:sz w:val="20"/>
          <w:szCs w:val="20"/>
          <w:color w:val="auto"/>
        </w:rPr>
      </w:pPr>
    </w:p>
    <w:p>
      <w:pPr>
        <w:jc w:val="both"/>
        <w:ind w:left="20" w:right="20" w:firstLine="486"/>
        <w:spacing w:after="0" w:line="290" w:lineRule="auto"/>
        <w:rPr>
          <w:sz w:val="20"/>
          <w:szCs w:val="20"/>
          <w:color w:val="auto"/>
        </w:rPr>
      </w:pPr>
      <w:r>
        <w:rPr>
          <w:rFonts w:ascii="Arial" w:cs="Arial" w:eastAsia="Arial" w:hAnsi="Arial"/>
          <w:sz w:val="16"/>
          <w:szCs w:val="16"/>
          <w:color w:val="auto"/>
        </w:rPr>
        <w:t>Our business involves the storage and transmission of consumers’ personal information, such as personal preferences and credit card information. We invest in industry-standard security technology to protect our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65" w:lineRule="exact"/>
        <w:rPr>
          <w:sz w:val="20"/>
          <w:szCs w:val="20"/>
          <w:color w:val="auto"/>
        </w:rPr>
      </w:pPr>
    </w:p>
    <w:p>
      <w:pPr>
        <w:jc w:val="both"/>
        <w:ind w:left="20" w:firstLine="486"/>
        <w:spacing w:after="0" w:line="272"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In addition, due to COVID-19, our workforce is in a state of transition to a combination of remote work and flexible work schedules opening us up for cyber-security threats and potential breaches as a result of increased employee usage of</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584" w:right="459" w:bottom="1440" w:gutter="0" w:footer="0" w:header="0"/>
        </w:sectPr>
      </w:pPr>
    </w:p>
    <w:bookmarkStart w:id="16" w:name="page17"/>
    <w:bookmarkEnd w:id="16"/>
    <w:p>
      <w:pPr>
        <w:ind w:right="120"/>
        <w:spacing w:after="0" w:line="286" w:lineRule="auto"/>
        <w:rPr>
          <w:sz w:val="20"/>
          <w:szCs w:val="20"/>
          <w:color w:val="auto"/>
        </w:rPr>
      </w:pPr>
      <w:r>
        <w:rPr>
          <w:rFonts w:ascii="Arial" w:cs="Arial" w:eastAsia="Arial" w:hAnsi="Arial"/>
          <w:sz w:val="17"/>
          <w:szCs w:val="17"/>
          <w:color w:val="auto"/>
        </w:rPr>
        <w:t>networks other than company-owned.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65"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including children, from whom we collect information, and our websites are designed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the parents of young children and young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EU’s General Data Protection Regulation (“GDPR”), which became effective in May 2018, and the California Consumer Privacy Act (“CCPA”), which became effective in January 2020, greatly increase the jurisdictional reach of EU and California law, respectively, and adds a broad array of requirements related to personal data, including individual notice and opt-out preferences and the public disclosure of significant data breaches. Additionally, violations of GDPR can result in fines calculated as a percentage of a company’s annual revenue and CCPA provides civil penalty violations, as well as a private right of action for data breaches. Other governments have enacted or are enacting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spacing w:after="0" w:line="18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80"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Other parties have asserted in the past, and may assert in the future, trademark, patent, copyright or other intellectual property rights that are important to our business. We cannot be certain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88"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was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17" w:name="page18"/>
    <w:bookmarkEnd w:id="17"/>
    <w:p>
      <w:pPr>
        <w:jc w:val="both"/>
        <w:ind w:right="20"/>
        <w:spacing w:after="0" w:line="266"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80"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color w:val="auto"/>
        </w:rPr>
        <w:t>Although we require our manufacturers to meet governmental safety standards, including food safety regulations for certain locations, and our product specifications as well as submitting our products for testing, we cannot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5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our brand may be negatively impacted.</w:t>
      </w:r>
    </w:p>
    <w:p>
      <w:pPr>
        <w:spacing w:after="0" w:line="19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violate labor laws or engage in practices that consumers believe are unethical.</w:t>
      </w:r>
    </w:p>
    <w:p>
      <w:pPr>
        <w:spacing w:after="0" w:line="166"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6"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80" w:lineRule="exact"/>
        <w:rPr>
          <w:sz w:val="20"/>
          <w:szCs w:val="20"/>
          <w:color w:val="auto"/>
        </w:rPr>
      </w:pPr>
    </w:p>
    <w:p>
      <w:pPr>
        <w:jc w:val="both"/>
        <w:ind w:right="20" w:firstLine="486"/>
        <w:spacing w:after="0" w:line="273" w:lineRule="auto"/>
        <w:rPr>
          <w:sz w:val="20"/>
          <w:szCs w:val="20"/>
          <w:color w:val="auto"/>
        </w:rPr>
      </w:pPr>
      <w:r>
        <w:rPr>
          <w:rFonts w:ascii="Arial" w:cs="Arial" w:eastAsia="Arial" w:hAnsi="Arial"/>
          <w:sz w:val="17"/>
          <w:szCs w:val="17"/>
          <w:color w:val="auto"/>
        </w:rPr>
        <w:t>From time to time, we have repurchased shares under plans authorized by our Board of Directors. Currently, there is no authorized plan but one may be authorized in the future. Such programs generally do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any share repurchase program may not be as beneficial as expected. In addition, our credit agreement restricts our ability to repurchase shares when certain liquidity conditions exist.</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70" w:lineRule="exact"/>
        <w:rPr>
          <w:sz w:val="20"/>
          <w:szCs w:val="20"/>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total revenues;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shopping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 including those associated with major motion pictures;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health issues such as COVID-19</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25" w:lineRule="exact"/>
        <w:rPr>
          <w:rFonts w:ascii="Arial" w:cs="Arial" w:eastAsia="Arial" w:hAnsi="Arial"/>
          <w:sz w:val="18"/>
          <w:szCs w:val="18"/>
          <w:color w:val="auto"/>
        </w:rPr>
      </w:pPr>
    </w:p>
    <w:p>
      <w:pPr>
        <w:ind w:left="960" w:hanging="385"/>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53rd week in our fiscal year, which occurs approximately every six years, (e.g., one extra week in the one fiscal month transition period, December 31, 2017 through February 3, 2018, for the fiscal year-end change and fiscal 2023).</w:t>
      </w:r>
    </w:p>
    <w:p>
      <w:pPr>
        <w:spacing w:after="0" w:line="17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is subject to volatility, which could attract the interest of activist shareholders.</w:t>
      </w:r>
    </w:p>
    <w:p>
      <w:pPr>
        <w:spacing w:after="0" w:line="229" w:lineRule="exact"/>
        <w:rPr>
          <w:sz w:val="20"/>
          <w:szCs w:val="20"/>
          <w:color w:val="auto"/>
        </w:rPr>
      </w:pPr>
    </w:p>
    <w:p>
      <w:pPr>
        <w:jc w:val="both"/>
        <w:ind w:right="260" w:firstLine="486"/>
        <w:spacing w:after="0" w:line="269" w:lineRule="auto"/>
        <w:rPr>
          <w:sz w:val="20"/>
          <w:szCs w:val="20"/>
          <w:color w:val="auto"/>
        </w:rPr>
      </w:pPr>
      <w:r>
        <w:rPr>
          <w:rFonts w:ascii="Arial" w:cs="Arial" w:eastAsia="Arial" w:hAnsi="Arial"/>
          <w:sz w:val="17"/>
          <w:szCs w:val="17"/>
          <w:color w:val="auto"/>
        </w:rPr>
        <w:t>During fiscal 2020, the price of our common stock fluctuated between $1.02 and $6.78 per share, and traded as high as $9.01 per share in early fiscal 2021.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or other strategic initiatives) by us or other similar companies.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such volatility could attract the interest of activist shareholders. Responding to activist shareholders can be costly and time-consuming, and the perceived uncertainties as to our future direction resulting from responding to activist strategies could itself then further affect the market price and volatility of our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right="140"/>
        <w:spacing w:after="0" w:line="312" w:lineRule="auto"/>
        <w:rPr>
          <w:sz w:val="20"/>
          <w:szCs w:val="20"/>
          <w:color w:val="auto"/>
        </w:rPr>
      </w:pPr>
      <w:r>
        <w:rPr>
          <w:rFonts w:ascii="Arial" w:cs="Arial" w:eastAsia="Arial" w:hAnsi="Arial"/>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37" w:lineRule="exact"/>
        <w:rPr>
          <w:sz w:val="20"/>
          <w:szCs w:val="20"/>
          <w:color w:val="auto"/>
        </w:rPr>
      </w:pPr>
    </w:p>
    <w:p>
      <w:pPr>
        <w:ind w:left="500" w:hanging="37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25" w:lineRule="exact"/>
        <w:rPr>
          <w:rFonts w:ascii="Arial" w:cs="Arial" w:eastAsia="Arial" w:hAnsi="Arial"/>
          <w:sz w:val="18"/>
          <w:szCs w:val="18"/>
          <w:color w:val="auto"/>
        </w:rPr>
      </w:pPr>
    </w:p>
    <w:p>
      <w:pPr>
        <w:ind w:left="500" w:right="20" w:hanging="37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170" w:lineRule="exact"/>
        <w:rPr>
          <w:rFonts w:ascii="Arial" w:cs="Arial" w:eastAsia="Arial" w:hAnsi="Arial"/>
          <w:sz w:val="18"/>
          <w:szCs w:val="18"/>
          <w:color w:val="auto"/>
        </w:rPr>
      </w:pPr>
    </w:p>
    <w:p>
      <w:pPr>
        <w:ind w:left="500" w:hanging="371"/>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0" w:lineRule="exact"/>
        <w:rPr>
          <w:sz w:val="20"/>
          <w:szCs w:val="20"/>
          <w:color w:val="auto"/>
        </w:rPr>
      </w:pPr>
    </w:p>
    <w:p>
      <w:pPr>
        <w:spacing w:after="0" w:line="378" w:lineRule="exact"/>
        <w:rPr>
          <w:sz w:val="20"/>
          <w:szCs w:val="20"/>
          <w:color w:val="auto"/>
        </w:rPr>
      </w:pPr>
    </w:p>
    <w:p>
      <w:pPr>
        <w:ind w:left="500" w:hanging="37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170" w:lineRule="exact"/>
        <w:rPr>
          <w:rFonts w:ascii="Arial" w:cs="Arial" w:eastAsia="Arial" w:hAnsi="Arial"/>
          <w:sz w:val="18"/>
          <w:szCs w:val="18"/>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may not be able to operate successfully if we lose key personnel, are unable to hire qualified additional personnel, or experience turnover of our management team.</w:t>
      </w:r>
    </w:p>
    <w:p>
      <w:pPr>
        <w:spacing w:after="0" w:line="166"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success of our business depends upon the quality of associates throughout our organization and our ability to attract and retain qualified key employees.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61"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b w:val="1"/>
          <w:bCs w:val="1"/>
          <w:color w:val="auto"/>
        </w:rPr>
        <w:t>We may be unsuccessful in acquiring businesses or engaging in other strategic transactions, which may negatively affect our financial condition and profitability.</w:t>
      </w:r>
    </w:p>
    <w:p>
      <w:pPr>
        <w:spacing w:after="0" w:line="166" w:lineRule="exact"/>
        <w:rPr>
          <w:sz w:val="20"/>
          <w:szCs w:val="20"/>
          <w:color w:val="auto"/>
        </w:rPr>
      </w:pPr>
    </w:p>
    <w:p>
      <w:pPr>
        <w:jc w:val="both"/>
        <w:ind w:right="120" w:firstLine="486"/>
        <w:spacing w:after="0" w:line="301" w:lineRule="auto"/>
        <w:rPr>
          <w:sz w:val="20"/>
          <w:szCs w:val="20"/>
          <w:color w:val="auto"/>
        </w:rPr>
      </w:pPr>
      <w:r>
        <w:rPr>
          <w:rFonts w:ascii="Arial" w:cs="Arial" w:eastAsia="Arial" w:hAnsi="Arial"/>
          <w:sz w:val="16"/>
          <w:szCs w:val="16"/>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may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lease all of our store locations. As of January 30, 2021, we operated 354 retail stores located primarily in major malls throughout the U.S., Canada, the U.K., Ireland and China in our DTC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to leasing all of our store locations, we own a warehouse and distribution center in Groveport, Ohio, which is utilized primarily by our DTC segment. The facility is approximately 350,000 square feet and includes our North American e-commerce fulfillment center. In June 2020, we moved our corporate headquarters to downtown St. Louis, Missouri into a 51,600 square foot building with a lease of eleven years commencing in June 2020. After the move of our corporate headquarters, we continued to lease an approximately 9,250 square foot portion of our prior headquarters with the lease commencing in July 2020 and continuing through June 2023. In the U.K., we lease approximately 6,500 square feet for our regional headquarters in Slough, England under a lease that commenced in March 2016 with a term of 10 years. We also contract with a third-party warehouse in southern California to service our West Coast stores. The contract has a one-year term and is renewable. In Europe, we contract with a third-party distribution center in Selby, England under an agreement that ends in January 2025. This agreement contains clauses that allow for termination if certain performance criteria are not met. In Asia, we contract with a third-party distribution center in Shanghai, China which is currently on a month-to-month extension while negotiations for an agreement are on-going.</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00" w:right="8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12, 2021, the number of holders of record of the Company’s common stock totaled approximately 1,945.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1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c>
          <w:tcPr>
            <w:tcW w:w="1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1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 Total Number of</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Value) of Shares (or</w:t>
            </w:r>
          </w:p>
        </w:tc>
        <w:tc>
          <w:tcPr>
            <w:tcW w:w="1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Shares (or Units)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Units) that May Yet</w:t>
            </w:r>
          </w:p>
        </w:tc>
        <w:tc>
          <w:tcPr>
            <w:tcW w:w="1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(a) Total Number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 Average Price</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178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9"/>
              </w:rPr>
              <w:t>Be Purchased Under</w:t>
            </w:r>
          </w:p>
        </w:tc>
      </w:tr>
      <w:tr>
        <w:trPr>
          <w:trHeight w:val="216"/>
        </w:trPr>
        <w:tc>
          <w:tcPr>
            <w:tcW w:w="37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Paid Per Share (or</w:t>
            </w:r>
          </w:p>
        </w:tc>
        <w:tc>
          <w:tcPr>
            <w:tcW w:w="1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Publicly Announced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c>
          <w:tcPr>
            <w:tcW w:w="16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7"/>
              </w:rPr>
              <w:t>Unit)</w:t>
            </w:r>
          </w:p>
        </w:tc>
        <w:tc>
          <w:tcPr>
            <w:tcW w:w="2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Nov. 1, 2020 – Nov. 28, 2020</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456"/>
              <w:spacing w:after="0"/>
              <w:rPr>
                <w:sz w:val="20"/>
                <w:szCs w:val="20"/>
                <w:color w:val="auto"/>
              </w:rPr>
            </w:pPr>
            <w:r>
              <w:rPr>
                <w:rFonts w:ascii="Arial" w:cs="Arial" w:eastAsia="Arial" w:hAnsi="Arial"/>
                <w:sz w:val="15"/>
                <w:szCs w:val="15"/>
                <w:color w:val="auto"/>
                <w:w w:val="71"/>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Nov. 29, 2020 – Jan. 2, 2021</w:t>
            </w:r>
          </w:p>
        </w:tc>
        <w:tc>
          <w:tcPr>
            <w:tcW w:w="1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56"/>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Jan. 3, 2021 – Jan. 30, 2021</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456"/>
              <w:spacing w:after="0"/>
              <w:rPr>
                <w:sz w:val="20"/>
                <w:szCs w:val="20"/>
                <w:color w:val="auto"/>
              </w:rPr>
            </w:pPr>
            <w:r>
              <w:rPr>
                <w:rFonts w:ascii="Arial" w:cs="Arial" w:eastAsia="Arial" w:hAnsi="Arial"/>
                <w:sz w:val="15"/>
                <w:szCs w:val="15"/>
                <w:color w:val="auto"/>
                <w:w w:val="71"/>
              </w:rPr>
              <w:t>$</w:t>
            </w:r>
          </w:p>
        </w:tc>
        <w:tc>
          <w:tcPr>
            <w:tcW w:w="16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374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r>
      <w:tr>
        <w:trPr>
          <w:trHeight w:val="209"/>
        </w:trPr>
        <w:tc>
          <w:tcPr>
            <w:tcW w:w="37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56"/>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7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00" w:lineRule="exact"/>
        <w:rPr>
          <w:sz w:val="20"/>
          <w:szCs w:val="20"/>
          <w:color w:val="auto"/>
        </w:rPr>
      </w:pP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March 2020, the spread of COVID-19 was declared a global pandemic by the World Health Organization. We have been and continue to closely monitor the impact of COVID-19 on all facets of our business. We have taken decisive actions to protect the safety of our employees and customers and to manage the business throughout the fluid and challenging environment resulting from COVID-19. The pandemic has negatively affected the U.S. and global economies, disrupted global supply chains and financial markets, and led to significant travel and transportation restrictions, including government mandated closures and orders to "shelter-in-place." The actions that governments around the world have taken to mitigate the spread of COVID-19 have resulted in a period of disruption, including temporary closure of our stores, limited store operating hours, reduced customer traffic and consumer spending and delays in manufacturing and shipping of products</w:t>
      </w:r>
    </w:p>
    <w:p>
      <w:pPr>
        <w:spacing w:after="0" w:line="19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response to the government recommendations and for the health and safety of our employees and customers, on March 17, 2020 we announced the temporary closure of all corporately-managed stores in the United States, Canada, the United Kingdom, Denmark and Ireland. On March 26, 2020 we announced the temporary closure of our warehouse and e-commerce fulfillment center in Ohio which was subsequently reopened on April 1, 2020 following the review and reconfiguration of workflow and workspaces. Additionally, on March 26, 2020 we announced the furlough of over 90% of our workforce, effective March 29, 2020; reduced pay by 20% for the remaining employees; delayed payment of bonuses earned based on fiscal 2019 performance; and delayed the Company matching contribution to our 401(k) plan. During the second quarter of fiscal 2020, we reopened the majority of our stores with the remainder reopening in the third quarter and brought back our workforce from furloughs over the same period. Further, in the third quarter our compensation committee authorized the return of base salary amounts, the payment of 2019 performance bonuses in December 2020, and the matching contribution to our 401(k) plan in December 2020.</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Disruptions continued thereafter, however, as certain stores were required to temporarily close either individually or as part of entire geographic region mandates in response to COVID-19. At the end of fiscal 2020, 47 of our stores in the United Kingdom and Ireland were closed as a result of government mandate. These stores are expected to open in the first quarter of fiscal 2021, however these reopenings are dependent on the lifting of restrictions. Due to the uncertainty of COVID-19 and the speed at which the pandemic continues to impact our markets, we are continuing to assess the situation, including government-imposed restrictions, market by market.</w:t>
      </w:r>
    </w:p>
    <w:p>
      <w:pPr>
        <w:spacing w:after="0" w:line="18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results of operations for the fiscal year ended January 30, 2021 were significantly impacted by the effects of COVID-19. Total revenues decreased $ 83.2 million or 25% for fiscal 2020 compared to fiscal 2019, but strategic investments made to enhance our omnichannel capabilities have enabled us to support increased e-commerce demand and strong guest engagement. In addition to decreased total revenue, our overall profitability also decreased as compared to the prior year. These developments have required us to recognize certain long-lived asset impairment charges. Further, in connection with the Coronavirus Aid, Relief, and Economic Securities Act and United Kingdom government programs, we recognized payroll subsidies as a reduction of Selling, general and administrative expenses in the Condensed Consolidated Statement of Operations and Comprehensive Income (Loss). In addition, the United Kingdom government offered grants for businesses in the retail, hospitality and leisure sectors. These grants were applied for on a per-property basis to support businesses through the latest lockdown restrictions and were recorded as "other income" within the Selling, general and administrative line in the Condensed Consolidated Statement of Operations and Comprehensive Income (Loss).</w:t>
      </w:r>
    </w:p>
    <w:p>
      <w:pPr>
        <w:spacing w:after="0" w:line="16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Operations and financial performance are expected to be challenged as events continue to change, and we are unable to accurately predict the future impact that COVID-19 will have on our results of operations due to uncertainties including, but not limited to, additional periodic temporary reclosing of certain of our stores, additional periodic temporary restrictions on certain store operating hours and/or in-store capacity, the duration of potential future quarantines, "shelter-in-place" orders and other travel restrictions within the U.S. and other affected countries, the duration of the pandemic, the emergence of more dangerous variants of the virus, the duration, timing and severity of the impact on consumer spending, the timing and effectiveness of vaccine distribution, and how quickly and to what extent economic and operating conditions can return.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20" w:firstLine="486"/>
        <w:spacing w:after="0" w:line="301" w:lineRule="auto"/>
        <w:rPr>
          <w:sz w:val="20"/>
          <w:szCs w:val="20"/>
          <w:color w:val="auto"/>
        </w:rPr>
      </w:pPr>
      <w:r>
        <w:rPr>
          <w:rFonts w:ascii="Arial" w:cs="Arial" w:eastAsia="Arial" w:hAnsi="Arial"/>
          <w:sz w:val="16"/>
          <w:szCs w:val="16"/>
          <w:color w:val="auto"/>
        </w:rPr>
        <w:t>In fiscal 2020 we leveraged our unique capabilities, including our supply chain expertise, flexible store operating model and ability to drive demand through our digital platforms. We provided customers with multiple options for how, when and where they shopped with us to ensure we satisfied their need for safety and convenience. Throughout the pandemic and across all the ways customers can shop, we adhered to safety protocols that limited store capacity, followed strict social distancing practices and used proper protective equipment, including requiring our employees to wear masks.</w:t>
      </w:r>
    </w:p>
    <w:p>
      <w:pPr>
        <w:spacing w:after="0" w:line="157" w:lineRule="exact"/>
        <w:rPr>
          <w:sz w:val="20"/>
          <w:szCs w:val="20"/>
          <w:color w:val="auto"/>
        </w:rPr>
      </w:pPr>
    </w:p>
    <w:p>
      <w:pPr>
        <w:jc w:val="both"/>
        <w:ind w:left="20" w:firstLine="486"/>
        <w:spacing w:after="0" w:line="293" w:lineRule="auto"/>
        <w:rPr>
          <w:sz w:val="20"/>
          <w:szCs w:val="20"/>
          <w:color w:val="auto"/>
        </w:rPr>
      </w:pPr>
      <w:r>
        <w:rPr>
          <w:rFonts w:ascii="Arial" w:cs="Arial" w:eastAsia="Arial" w:hAnsi="Arial"/>
          <w:sz w:val="16"/>
          <w:szCs w:val="16"/>
          <w:color w:val="auto"/>
        </w:rPr>
        <w:t>The pandemic and the shift in customer buying behavior underscores the importance of our expanded multi-channel capabilities. In fiscal 2020 our ecommerce demand grew significantly compared to the prior year and we believe it is essential to provide options that let customers choose what works best for them. To best serve our customers during the pandemic, we had to be innovative and flexible. Early in the year, we quickly rolled out enhanced order fulfillment and pick-up across our stores in the United States and later in the year in the United Kingdom to provide our customers convenience when we were required by government mandates to close our stores in March 2020. Throughout the year, we accelerated initiatives to expand fulfillment options and were able to provide services that customers have come to expect like fast home delivery, in-store pick-up and curbside pick-up.</w:t>
      </w:r>
    </w:p>
    <w:p>
      <w:pPr>
        <w:spacing w:after="0" w:line="164" w:lineRule="exact"/>
        <w:rPr>
          <w:sz w:val="20"/>
          <w:szCs w:val="20"/>
          <w:color w:val="auto"/>
        </w:rPr>
      </w:pPr>
    </w:p>
    <w:p>
      <w:pPr>
        <w:jc w:val="both"/>
        <w:ind w:left="20" w:firstLine="486"/>
        <w:spacing w:after="0" w:line="259" w:lineRule="auto"/>
        <w:rPr>
          <w:sz w:val="20"/>
          <w:szCs w:val="20"/>
          <w:color w:val="auto"/>
        </w:rPr>
      </w:pPr>
      <w:r>
        <w:rPr>
          <w:rFonts w:ascii="Arial" w:cs="Arial" w:eastAsia="Arial" w:hAnsi="Arial"/>
          <w:sz w:val="18"/>
          <w:szCs w:val="18"/>
          <w:color w:val="auto"/>
        </w:rPr>
        <w:t>As we look forward, the environment is still evolving, and our operating model and supporting cost structure are evolving as well. The pandemic has accelerated the evolution of retail and compelled us to change our operating model which we believe is in the best interests of our employees and customers. We have also expedited some planned strategic initiatives that we believe will allow us to emerge from this time stronger and better positioned for long-term success.</w:t>
      </w:r>
    </w:p>
    <w:p>
      <w:pPr>
        <w:spacing w:after="0" w:line="187" w:lineRule="exact"/>
        <w:rPr>
          <w:sz w:val="20"/>
          <w:szCs w:val="20"/>
          <w:color w:val="auto"/>
        </w:rPr>
      </w:pPr>
    </w:p>
    <w:p>
      <w:pPr>
        <w:jc w:val="both"/>
        <w:ind w:left="20" w:firstLine="486"/>
        <w:spacing w:after="0" w:line="273" w:lineRule="auto"/>
        <w:rPr>
          <w:sz w:val="20"/>
          <w:szCs w:val="20"/>
          <w:color w:val="auto"/>
        </w:rPr>
      </w:pPr>
      <w:r>
        <w:rPr>
          <w:rFonts w:ascii="Arial" w:cs="Arial" w:eastAsia="Arial" w:hAnsi="Arial"/>
          <w:sz w:val="17"/>
          <w:szCs w:val="17"/>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January 30, 2021, we operated 354 stores globally and had 71 franchised stores operating internationally under the Build-A-Bear Workshop brand. In addition to our stores, we sold product on our company-owned e-commerce sites, third party marketplaces and franchisee sites and through retailer's wholesale agreements. There were also 56 locations operating through our "third-party retail" model in which we sell our products on a wholesale basis to other companies that then in turn execute our retail experience.</w:t>
      </w:r>
    </w:p>
    <w:p>
      <w:pPr>
        <w:spacing w:after="0" w:line="178" w:lineRule="exact"/>
        <w:rPr>
          <w:sz w:val="20"/>
          <w:szCs w:val="20"/>
          <w:color w:val="auto"/>
        </w:rPr>
      </w:pPr>
    </w:p>
    <w:p>
      <w:pPr>
        <w:jc w:val="both"/>
        <w:ind w:left="20" w:right="2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60" w:hanging="324"/>
        <w:spacing w:after="0" w:line="25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to Consumer (“DTC”) – Corporately-managed retail stores located in the U.S., Canada, Puerto Rico, the U.K., Ireland, Denmark and China and two e-commerce sites;</w:t>
      </w:r>
    </w:p>
    <w:p>
      <w:pPr>
        <w:spacing w:after="0" w:line="1" w:lineRule="exact"/>
        <w:rPr>
          <w:rFonts w:ascii="Arial" w:cs="Arial" w:eastAsia="Arial" w:hAnsi="Arial"/>
          <w:sz w:val="18"/>
          <w:szCs w:val="18"/>
          <w:color w:val="auto"/>
        </w:rPr>
      </w:pPr>
    </w:p>
    <w:p>
      <w:pPr>
        <w:ind w:left="460" w:hanging="324"/>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460" w:hanging="324"/>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International franchising – Royalties as well as product and fixture sales from other international operations under franchise agreements.</w:t>
      </w:r>
    </w:p>
    <w:p>
      <w:pPr>
        <w:spacing w:after="0" w:line="222" w:lineRule="exact"/>
        <w:rPr>
          <w:sz w:val="20"/>
          <w:szCs w:val="20"/>
          <w:color w:val="auto"/>
        </w:rPr>
      </w:pPr>
    </w:p>
    <w:p>
      <w:pPr>
        <w:ind w:left="20" w:firstLine="441"/>
        <w:spacing w:after="0" w:line="277" w:lineRule="auto"/>
        <w:rPr>
          <w:sz w:val="20"/>
          <w:szCs w:val="20"/>
          <w:color w:val="auto"/>
        </w:rPr>
      </w:pPr>
      <w:r>
        <w:rPr>
          <w:rFonts w:ascii="Arial" w:cs="Arial" w:eastAsia="Arial" w:hAnsi="Arial"/>
          <w:sz w:val="18"/>
          <w:szCs w:val="18"/>
          <w:color w:val="auto"/>
        </w:rPr>
        <w:t>Selected financial data attributable to each segment for fiscal 2020 and 2019 are set forth in Note 15 — Segment Information to our consolidated financial statements included elsewhere in this Annual Report on Form 10-K.</w:t>
      </w:r>
    </w:p>
    <w:p>
      <w:pPr>
        <w:spacing w:after="0" w:line="170" w:lineRule="exact"/>
        <w:rPr>
          <w:sz w:val="20"/>
          <w:szCs w:val="20"/>
          <w:color w:val="auto"/>
        </w:rPr>
      </w:pPr>
    </w:p>
    <w:p>
      <w:pPr>
        <w:jc w:val="both"/>
        <w:ind w:right="120" w:firstLine="324"/>
        <w:spacing w:after="0" w:line="287" w:lineRule="auto"/>
        <w:rPr>
          <w:sz w:val="20"/>
          <w:szCs w:val="20"/>
          <w:color w:val="auto"/>
        </w:rPr>
      </w:pPr>
      <w:r>
        <w:rPr>
          <w:rFonts w:ascii="Arial" w:cs="Arial" w:eastAsia="Arial" w:hAnsi="Arial"/>
          <w:sz w:val="16"/>
          <w:szCs w:val="16"/>
          <w:color w:val="auto"/>
        </w:rPr>
        <w:t>Our consolidated net loss was $23.0 million in fiscal 2020 compared to net income of $0.3 million in fiscal 2019. We believe that we have a concept that has broad demographic appeal which, for North American stores open for the entire year other than periods of temporary government-mandated closures, averaged net retail sales per store of $0.6 million and $0.8 million in fiscal 2020 and 2019, respectively. With retail as a significant driver of our performance, in order to effectively measure our store operations, we use store contribution as the key performance metric. The diversification of our real estate portfolio and shift to smaller more flexible store formats may result in lower average store revenue but is expected to improve store contribution on a long-term basis. Consolidated store contribution as a percentage of net retail sales was 8.5% for fiscal 2020 reflecting the negative impact of COVD-19, and 15.4% for fiscal 2019. Consolidated store contribution consists of store location net retail sales less cost of product, marketing and store related expenses. Non-store general and administrative expenses are excluded as are our revenues and expenses associated with e-commerce sites and adjustments to deferred revenue related to gift card breakage and our loyalty program. See “Non-GAAP Financial Measures” for a reconciliation of store contribution to net income. The decrease in consolidated store contribution as a percent of net retail sales in fiscal 2020 was primarily due to temporary store closures as a result of COVID-19 resulting in a decrease in retail gross margin as a percent of revenue of 470 basis-points. Specifically, warehouse and distribution costs increased as a percentage of revenue primarily due to increased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 xml:space="preserve">customer shipping costs resulting from increased sales from ecommerce. Additionally, occupancy costs increased as a percentage of revenue due to expense recognition under </w:t>
      </w:r>
      <w:r>
        <w:rPr>
          <w:rFonts w:ascii="Arial" w:cs="Arial" w:eastAsia="Arial" w:hAnsi="Arial"/>
          <w:sz w:val="17"/>
          <w:szCs w:val="17"/>
          <w:i w:val="1"/>
          <w:iCs w:val="1"/>
          <w:color w:val="auto"/>
        </w:rPr>
        <w:t>ASC 842 Leases</w:t>
      </w:r>
      <w:r>
        <w:rPr>
          <w:rFonts w:ascii="Arial" w:cs="Arial" w:eastAsia="Arial" w:hAnsi="Arial"/>
          <w:sz w:val="17"/>
          <w:szCs w:val="17"/>
          <w:color w:val="auto"/>
        </w:rPr>
        <w:t xml:space="preserve"> when our stores were temporarily closed and abatements or deferrals were negotiated from landlords for the same period. The effects of these abatements and deferrals on expense recognition are spread across the remainder of the lease term.</w:t>
      </w:r>
    </w:p>
    <w:p>
      <w:pPr>
        <w:spacing w:after="0" w:line="16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ended fiscal 2020 with no borrowings under our credit agreement and with $34.8 million in cash, cash equivalents and restricted cash after investing $5.0 million in capital projects throughout the year. We did not repurchase any shares during fiscal 2020. Our prior stock repurchase authorization expired in September 2020 and our Board of Directors has not authorized a new stock repurchase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retail sales, commercial revenue and international franchising: </w:t>
      </w:r>
      <w:r>
        <w:rPr>
          <w:rFonts w:ascii="Arial" w:cs="Arial" w:eastAsia="Arial" w:hAnsi="Arial"/>
          <w:sz w:val="18"/>
          <w:szCs w:val="18"/>
          <w:color w:val="auto"/>
        </w:rPr>
        <w:t>See Note 3 — Revenue to the consolidated financial statements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information.</w:t>
      </w:r>
    </w:p>
    <w:p>
      <w:pPr>
        <w:spacing w:after="0" w:line="170"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We use net retail sales per square foot as a performance measure for our business. The following table details net retail sales per square foot for stores open throughout the fiscal year other than periods of temporary government-mandated closures, for the periods presented:</w:t>
      </w:r>
    </w:p>
    <w:p>
      <w:pPr>
        <w:spacing w:after="0" w:line="142"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January 30,</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February 1,</w:t>
            </w:r>
          </w:p>
        </w:tc>
        <w:tc>
          <w:tcPr>
            <w:tcW w:w="80" w:type="dxa"/>
            <w:vAlign w:val="bottom"/>
          </w:tcPr>
          <w:p>
            <w:pPr>
              <w:spacing w:after="0"/>
              <w:rPr>
                <w:sz w:val="16"/>
                <w:szCs w:val="16"/>
                <w:color w:val="auto"/>
              </w:rPr>
            </w:pPr>
          </w:p>
        </w:tc>
      </w:tr>
      <w:tr>
        <w:trPr>
          <w:trHeight w:val="234"/>
        </w:trPr>
        <w:tc>
          <w:tcPr>
            <w:tcW w:w="6400" w:type="dxa"/>
            <w:vAlign w:val="bottom"/>
          </w:tcPr>
          <w:p>
            <w:pPr>
              <w:ind w:left="20"/>
              <w:spacing w:after="0"/>
              <w:rPr>
                <w:sz w:val="20"/>
                <w:szCs w:val="20"/>
                <w:color w:val="auto"/>
              </w:rPr>
            </w:pPr>
            <w:r>
              <w:rPr>
                <w:rFonts w:ascii="Arial" w:cs="Arial" w:eastAsia="Arial" w:hAnsi="Arial"/>
                <w:sz w:val="18"/>
                <w:szCs w:val="18"/>
                <w:color w:val="auto"/>
              </w:rPr>
              <w:t>Net retail sales per square foot</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640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North America </w:t>
            </w:r>
            <w:r>
              <w:rPr>
                <w:rFonts w:ascii="Arial" w:cs="Arial" w:eastAsia="Arial" w:hAnsi="Arial"/>
                <w:sz w:val="24"/>
                <w:szCs w:val="24"/>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w:t>
            </w:r>
          </w:p>
        </w:tc>
      </w:tr>
      <w:tr>
        <w:trPr>
          <w:trHeight w:val="390"/>
        </w:trPr>
        <w:tc>
          <w:tcPr>
            <w:tcW w:w="6400" w:type="dxa"/>
            <w:vAlign w:val="bottom"/>
          </w:tcPr>
          <w:p>
            <w:pPr>
              <w:ind w:left="20"/>
              <w:spacing w:after="0"/>
              <w:rPr>
                <w:sz w:val="20"/>
                <w:szCs w:val="20"/>
                <w:color w:val="auto"/>
              </w:rPr>
            </w:pPr>
            <w:r>
              <w:rPr>
                <w:rFonts w:ascii="Arial" w:cs="Arial" w:eastAsia="Arial" w:hAnsi="Arial"/>
                <w:sz w:val="18"/>
                <w:szCs w:val="18"/>
                <w:color w:val="auto"/>
              </w:rPr>
              <w:t xml:space="preserve">United Kingdom </w:t>
            </w:r>
            <w:r>
              <w:rPr>
                <w:rFonts w:ascii="Arial" w:cs="Arial" w:eastAsia="Arial" w:hAnsi="Arial"/>
                <w:sz w:val="29"/>
                <w:szCs w:val="29"/>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r>
    </w:tbl>
    <w:p>
      <w:pPr>
        <w:spacing w:after="0" w:line="28" w:lineRule="exact"/>
        <w:rPr>
          <w:sz w:val="20"/>
          <w:szCs w:val="20"/>
          <w:color w:val="auto"/>
        </w:rPr>
      </w:pPr>
    </w:p>
    <w:p>
      <w:pPr>
        <w:ind w:left="440" w:hanging="432"/>
        <w:spacing w:after="0" w:line="291"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retail sales per square foot in North America represents net retail sales from stores open throughout the entire period in North America, other than periods of temporary government-mandated closures, excluding e-commerce sales, divided by the total leased square footage of such stores.</w:t>
      </w:r>
    </w:p>
    <w:p>
      <w:pPr>
        <w:ind w:left="440" w:right="20" w:hanging="432"/>
        <w:spacing w:after="0" w:line="290"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retail sales per square foot in the U.K. represents net retail sales from stores open throughout the entire period in the U.K., other than periods of temporary government-mandated closures, excluding e-commerce sales, divided by the total selling square footage of such stores.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Cost of merchandise sold: </w:t>
      </w:r>
      <w:r>
        <w:rPr>
          <w:rFonts w:ascii="Arial" w:cs="Arial" w:eastAsia="Arial" w:hAnsi="Arial"/>
          <w:sz w:val="17"/>
          <w:szCs w:val="17"/>
          <w:color w:val="auto"/>
        </w:rPr>
        <w:t>Cost of merchandise sold is driven primarily by our retail segment. Cost of merchandise sold – retail includes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merchandise, including royalties paid to licensors of third party branded merchandise; store occupancy cost, including store depreciation and store asset impairment charges (See Note 5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margin is defined as net retail sales less the cost of merchandise sold - retail. For the commercial segment, cost of merchandise includes the cost of merchandise sold to third-party retailers on a wholesale basis for sale within their stores. For the franchise segment, cost of merchandise includes the sale of furniture, fixtures, and supplies to our franchise partners.</w:t>
      </w:r>
    </w:p>
    <w:p>
      <w:pPr>
        <w:spacing w:after="0" w:line="17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 (“SGA”): </w:t>
      </w:r>
      <w:r>
        <w:rPr>
          <w:rFonts w:ascii="Arial" w:cs="Arial" w:eastAsia="Arial" w:hAnsi="Arial"/>
          <w:sz w:val="16"/>
          <w:szCs w:val="16"/>
          <w:color w:val="auto"/>
        </w:rPr>
        <w:t>These expenses include store payroll and benefits, advertising, credit card fees, store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and normal 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as well as the amortization of intellectual property and other assets. Certain store expenses such as credit card fees historically have increased or decreased proportionately with net retail sales. In addition, bad debt expenses and accounts receivable related charges are recorded in SGA. See Note 5 — Property and Equipment, net to the consolidated financial statements for additional accounting information regarding store asset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color w:val="auto"/>
        </w:rPr>
        <w:t>impairment. Additionally, as a result of COVID-19, governments enacted relief legislation and stimulus packages to help combat the economic effects of the pandemic through such things as payroll expense reimbursement and business grants, whose effects are recorded within SGA.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Corporately-managed locations: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Build-A-Bear Workshop stores in the U.S., Canada and Puerto Rico (collectively, North America), the U.K., Ireland and Denmark (collectively, Europe) and China for the last two fiscal years is summarized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2"/>
              </w:rPr>
              <w:t>Fiscal year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9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2"/>
              </w:rPr>
              <w:t>January 30, 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8"/>
              </w:rPr>
              <w:t>February 1, 2020</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1920" w:type="dxa"/>
            <w:vAlign w:val="bottom"/>
          </w:tcPr>
          <w:p>
            <w:pPr>
              <w:spacing w:after="0"/>
              <w:rPr>
                <w:sz w:val="16"/>
                <w:szCs w:val="16"/>
                <w:color w:val="auto"/>
              </w:rPr>
            </w:pPr>
          </w:p>
        </w:tc>
        <w:tc>
          <w:tcPr>
            <w:tcW w:w="9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North</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Europe</w:t>
            </w:r>
          </w:p>
        </w:tc>
        <w:tc>
          <w:tcPr>
            <w:tcW w:w="180" w:type="dxa"/>
            <w:vAlign w:val="bottom"/>
          </w:tcPr>
          <w:p>
            <w:pPr>
              <w:spacing w:after="0"/>
              <w:rPr>
                <w:sz w:val="20"/>
                <w:szCs w:val="20"/>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1"/>
              </w:rPr>
              <w:t>China</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China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Opened</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6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r>
      <w:tr>
        <w:trPr>
          <w:trHeight w:val="20"/>
        </w:trPr>
        <w:tc>
          <w:tcPr>
            <w:tcW w:w="1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During fiscal 2020, our retail business model continued to evolve to address changing shopping patterns by diversifying our locations, formats and geographies. We are updating our store portfolio with our Discovery format, which represented 40% of our store base as of January 30, 2021. During fiscal 2020, we halted many of our planned new store openings as a result of COVID-19 resulting in the opening of three stores, one Discovery, one concourse, and one temporary location which was closed prior to the end of the fiscal year. Through our third-party retail model, there were 56 stores in operation with relationships that included Carnival Cruise Line, Great Wolf Lodge Resorts, Landry's and Beaches Family Resorts, with select locations temporarily closed due to government mandates or self-imposed reductions in operating days, reduced operating hours and/or capacity restrictions and limitations. As in prior years, we operated in a number of other non-traditional locations as well as shop-in-shop arrangements within other retailers’ stores. In one location in the year, we deployed a temporary store which we deemed prudent and profitable. Temporary locations generally have lease terms of two to eighteen months. These specific sites are designed to capitalize on short-term opportunities. During fiscal 2020, we closed 21 stores as part of natural lease events or through negotiations with landlords as part of COVID-19 related renegotiations. In the future, we expect to close certain stores in accordance with natural lease events as an ongoing part of our real estate management and day-to-day operational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assortments as our corporately-managed stores. As of January 30, 2021, we had six master franchise agreements, which typically grant franchise rights for a particular country or group of countries, covering an aggregate of 12 countries.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international, franchised stores opened and closed for the periods presented below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9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Fiscal year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January 30, 2021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February 1, 2020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4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8"/>
                <w:szCs w:val="18"/>
                <w:color w:val="auto"/>
              </w:rPr>
              <w:t>Opened</w:t>
            </w:r>
          </w:p>
        </w:tc>
        <w:tc>
          <w:tcPr>
            <w:tcW w:w="462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30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80" w:type="dxa"/>
            <w:vAlign w:val="bottom"/>
            <w:vMerge w:val="restart"/>
          </w:tcPr>
          <w:p>
            <w:pPr>
              <w:jc w:val="right"/>
              <w:ind w:right="1330"/>
              <w:spacing w:after="0"/>
              <w:rPr>
                <w:sz w:val="20"/>
                <w:szCs w:val="20"/>
                <w:color w:val="auto"/>
              </w:rPr>
            </w:pPr>
            <w:r>
              <w:rPr>
                <w:rFonts w:ascii="Arial" w:cs="Arial" w:eastAsia="Arial" w:hAnsi="Arial"/>
                <w:sz w:val="18"/>
                <w:szCs w:val="18"/>
                <w:color w:val="auto"/>
              </w:rPr>
              <w:t>26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6" w:name="page27"/>
    <w:bookmarkEnd w:id="26"/>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w w:val="99"/>
              </w:rPr>
              <w:t>As of January 30, 2021, the distribution of franchised locations among these countries was as follows:</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8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7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Australia </w:t>
            </w:r>
            <w:r>
              <w:rPr>
                <w:rFonts w:ascii="Arial" w:cs="Arial" w:eastAsia="Arial" w:hAnsi="Arial"/>
                <w:sz w:val="25"/>
                <w:szCs w:val="25"/>
                <w:color w:val="auto"/>
                <w:vertAlign w:val="superscript"/>
              </w:rPr>
              <w:t>(1)</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r>
      <w:tr>
        <w:trPr>
          <w:trHeight w:val="216"/>
        </w:trPr>
        <w:tc>
          <w:tcPr>
            <w:tcW w:w="68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South Africa</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w:t>
            </w:r>
          </w:p>
        </w:tc>
      </w:tr>
      <w:tr>
        <w:trPr>
          <w:trHeight w:val="216"/>
        </w:trPr>
        <w:tc>
          <w:tcPr>
            <w:tcW w:w="680" w:type="dxa"/>
            <w:vAlign w:val="bottom"/>
          </w:tcPr>
          <w:p>
            <w:pPr>
              <w:spacing w:after="0"/>
              <w:rPr>
                <w:sz w:val="18"/>
                <w:szCs w:val="18"/>
                <w:color w:val="auto"/>
              </w:rPr>
            </w:pPr>
          </w:p>
        </w:tc>
        <w:tc>
          <w:tcPr>
            <w:tcW w:w="7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India </w:t>
            </w:r>
            <w:r>
              <w:rPr>
                <w:rFonts w:ascii="Arial" w:cs="Arial" w:eastAsia="Arial" w:hAnsi="Arial"/>
                <w:sz w:val="25"/>
                <w:szCs w:val="25"/>
                <w:color w:val="auto"/>
                <w:vertAlign w:val="superscript"/>
              </w:rPr>
              <w:t>(2)</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w:t>
            </w:r>
          </w:p>
        </w:tc>
      </w:tr>
      <w:tr>
        <w:trPr>
          <w:trHeight w:val="216"/>
        </w:trPr>
        <w:tc>
          <w:tcPr>
            <w:tcW w:w="680" w:type="dxa"/>
            <w:vAlign w:val="bottom"/>
          </w:tcPr>
          <w:p>
            <w:pPr>
              <w:spacing w:after="0"/>
              <w:rPr>
                <w:sz w:val="18"/>
                <w:szCs w:val="18"/>
                <w:color w:val="auto"/>
              </w:rPr>
            </w:pPr>
          </w:p>
        </w:tc>
        <w:tc>
          <w:tcPr>
            <w:tcW w:w="7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China </w:t>
            </w:r>
            <w:r>
              <w:rPr>
                <w:rFonts w:ascii="Arial" w:cs="Arial" w:eastAsia="Arial" w:hAnsi="Arial"/>
                <w:sz w:val="25"/>
                <w:szCs w:val="25"/>
                <w:color w:val="auto"/>
                <w:vertAlign w:val="superscript"/>
              </w:rPr>
              <w:t>(3)</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r>
      <w:tr>
        <w:trPr>
          <w:trHeight w:val="216"/>
        </w:trPr>
        <w:tc>
          <w:tcPr>
            <w:tcW w:w="680" w:type="dxa"/>
            <w:vAlign w:val="bottom"/>
          </w:tcPr>
          <w:p>
            <w:pPr>
              <w:spacing w:after="0"/>
              <w:rPr>
                <w:sz w:val="18"/>
                <w:szCs w:val="18"/>
                <w:color w:val="auto"/>
              </w:rPr>
            </w:pPr>
          </w:p>
        </w:tc>
        <w:tc>
          <w:tcPr>
            <w:tcW w:w="7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Gulf States </w:t>
            </w:r>
            <w:r>
              <w:rPr>
                <w:rFonts w:ascii="Arial" w:cs="Arial" w:eastAsia="Arial" w:hAnsi="Arial"/>
                <w:sz w:val="25"/>
                <w:szCs w:val="25"/>
                <w:color w:val="auto"/>
                <w:vertAlign w:val="superscript"/>
              </w:rPr>
              <w:t>(4)</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r>
      <w:tr>
        <w:trPr>
          <w:trHeight w:val="216"/>
        </w:trPr>
        <w:tc>
          <w:tcPr>
            <w:tcW w:w="68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Chile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r>
      <w:tr>
        <w:trPr>
          <w:trHeight w:val="20"/>
        </w:trPr>
        <w:tc>
          <w:tcPr>
            <w:tcW w:w="6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8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71</w:t>
            </w:r>
          </w:p>
        </w:tc>
      </w:tr>
      <w:tr>
        <w:trPr>
          <w:trHeight w:val="20"/>
        </w:trPr>
        <w:tc>
          <w:tcPr>
            <w:tcW w:w="68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Australia master franchise agreement includes Singapore where there is not currently any open stores.</w:t>
      </w:r>
    </w:p>
    <w:p>
      <w:pPr>
        <w:spacing w:after="0" w:line="23"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India master franchise agreement includes Sri Lanka where there is not currently any open stores.</w:t>
      </w:r>
    </w:p>
    <w:p>
      <w:pPr>
        <w:spacing w:after="0" w:line="9"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China master franchise agreement includes Hong Kong.</w:t>
      </w:r>
    </w:p>
    <w:p>
      <w:pPr>
        <w:spacing w:after="0" w:line="9" w:lineRule="exact"/>
        <w:rPr>
          <w:rFonts w:ascii="Arial" w:cs="Arial" w:eastAsia="Arial" w:hAnsi="Arial"/>
          <w:sz w:val="18"/>
          <w:szCs w:val="18"/>
          <w:color w:val="auto"/>
        </w:rPr>
      </w:pPr>
    </w:p>
    <w:p>
      <w:pPr>
        <w:ind w:left="760" w:right="40" w:hanging="320"/>
        <w:spacing w:after="0" w:line="260"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Gulf States master franchise agreement includes Kuwait, Qatar and the United Arab Emirates which all have stores as well as Bahrain and Oman where there are not currently stores open.</w:t>
      </w:r>
    </w:p>
    <w:p>
      <w:pPr>
        <w:spacing w:after="0" w:line="185"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In the ordinary course of business, we anticipate signing additional master franchise agreements in the future and terminating other such agreements. We believe there is a total market potential for approximately 300 international stores outside of the U.S., Canada, the U.K., Ireland and Denmark.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 We expect to develop market expansion through both new and existing franchisees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Overview</w:t>
      </w:r>
    </w:p>
    <w:p>
      <w:pPr>
        <w:spacing w:after="0" w:line="22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COVID-19 pandemic had a profound impact on the retail industry and our business, particularly in our first and second quarters of fiscal 2020. In the first half of the year, we rapidly responded to the onset of a global pandemic that forced a government-mandated temporary closure of all of our corporately-operated stores as well as many third party and franchise locations. We took immediate action to protect the financial well-being of the company including aggressive expense management and cash preservation while pivoting to driving e-commerce demand even as our headquarters staff shifted to working remotely. As we moved into the second half and stores reopened on a staggered basis as guidelines transitioned, our focus turned to accelerating key strategic initiatives to drive digital transformation and evolve retail. In the second half of the year, we earned revenues of $168.3 million compared to first half revenues of $87.0 million, a 94% increase. Consolidated gross profit increased by $66.2 million or 425% when comparing second half results to first half results and pre-tax income increased $45.1 million or 138% over the same period. The strong growth from our e-commerce channel was the main contributor to revenue in the first half after the temporary store closures that occurred and the demand continued in the second half bolstering our second half revenue and profitability. Additionally, our focus on expense management throughout the year saw Selling, general and administrative expense decrease as a percentage of revenue by 14%, contributing to our second half profitability.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ind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immaterial rounding:</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40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580" w:type="dxa"/>
            <w:vAlign w:val="bottom"/>
          </w:tcPr>
          <w:p>
            <w:pPr>
              <w:spacing w:after="0"/>
              <w:rPr>
                <w:sz w:val="16"/>
                <w:szCs w:val="16"/>
                <w:color w:val="auto"/>
              </w:rPr>
            </w:pPr>
          </w:p>
        </w:tc>
        <w:tc>
          <w:tcPr>
            <w:tcW w:w="17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January 30,</w:t>
            </w:r>
          </w:p>
        </w:tc>
        <w:tc>
          <w:tcPr>
            <w:tcW w:w="15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6"/>
                <w:szCs w:val="16"/>
                <w:color w:val="auto"/>
              </w:rPr>
            </w:pPr>
          </w:p>
        </w:tc>
      </w:tr>
      <w:tr>
        <w:trPr>
          <w:trHeight w:val="234"/>
        </w:trPr>
        <w:tc>
          <w:tcPr>
            <w:tcW w:w="558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95.6%</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r>
      <w:tr>
        <w:trPr>
          <w:trHeight w:val="20"/>
        </w:trPr>
        <w:tc>
          <w:tcPr>
            <w:tcW w:w="5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0"/>
        </w:trPr>
        <w:tc>
          <w:tcPr>
            <w:tcW w:w="558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59.3</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54.6</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55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41.5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r>
      <w:tr>
        <w:trPr>
          <w:trHeight w:val="216"/>
        </w:trPr>
        <w:tc>
          <w:tcPr>
            <w:tcW w:w="558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Cost of merchandise sold - international franchising </w:t>
            </w:r>
            <w:r>
              <w:rPr>
                <w:rFonts w:ascii="Arial" w:cs="Arial" w:eastAsia="Arial" w:hAnsi="Arial"/>
                <w:sz w:val="25"/>
                <w:szCs w:val="25"/>
                <w:color w:val="auto"/>
                <w:vertAlign w:val="superscript"/>
              </w:rPr>
              <w:t>(1)</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55.9</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w:t>
            </w:r>
          </w:p>
        </w:tc>
      </w:tr>
      <w:tr>
        <w:trPr>
          <w:trHeight w:val="20"/>
        </w:trPr>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980"/>
              <w:spacing w:after="0"/>
              <w:rPr>
                <w:sz w:val="20"/>
                <w:szCs w:val="20"/>
                <w:color w:val="auto"/>
              </w:rPr>
            </w:pPr>
            <w:r>
              <w:rPr>
                <w:rFonts w:ascii="Arial" w:cs="Arial" w:eastAsia="Arial" w:hAnsi="Arial"/>
                <w:sz w:val="18"/>
                <w:szCs w:val="18"/>
                <w:color w:val="auto"/>
              </w:rPr>
              <w:t>Total cost of merchandise sold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61.8</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54.6</w:t>
            </w:r>
          </w:p>
        </w:tc>
      </w:tr>
      <w:tr>
        <w:trPr>
          <w:trHeight w:val="20"/>
        </w:trPr>
        <w:tc>
          <w:tcPr>
            <w:tcW w:w="5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980"/>
              <w:spacing w:after="0"/>
              <w:rPr>
                <w:sz w:val="20"/>
                <w:szCs w:val="20"/>
                <w:color w:val="auto"/>
              </w:rPr>
            </w:pPr>
            <w:r>
              <w:rPr>
                <w:rFonts w:ascii="Arial" w:cs="Arial" w:eastAsia="Arial" w:hAnsi="Arial"/>
                <w:sz w:val="18"/>
                <w:szCs w:val="18"/>
                <w:color w:val="auto"/>
              </w:rPr>
              <w:t>(Loss) income before income taxes</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980"/>
              <w:spacing w:after="0"/>
              <w:rPr>
                <w:sz w:val="20"/>
                <w:szCs w:val="20"/>
                <w:color w:val="auto"/>
              </w:rPr>
            </w:pPr>
            <w:r>
              <w:rPr>
                <w:rFonts w:ascii="Arial" w:cs="Arial" w:eastAsia="Arial" w:hAnsi="Arial"/>
                <w:sz w:val="18"/>
                <w:szCs w:val="18"/>
                <w:color w:val="auto"/>
              </w:rPr>
              <w:t>Net (loss) income</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0"/>
        </w:trPr>
        <w:tc>
          <w:tcPr>
            <w:tcW w:w="55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390"/>
        </w:trPr>
        <w:tc>
          <w:tcPr>
            <w:tcW w:w="5580" w:type="dxa"/>
            <w:vAlign w:val="bottom"/>
          </w:tcPr>
          <w:p>
            <w:pPr>
              <w:ind w:left="20"/>
              <w:spacing w:after="0"/>
              <w:rPr>
                <w:sz w:val="20"/>
                <w:szCs w:val="20"/>
                <w:color w:val="auto"/>
              </w:rPr>
            </w:pPr>
            <w:r>
              <w:rPr>
                <w:rFonts w:ascii="Arial" w:cs="Arial" w:eastAsia="Arial" w:hAnsi="Arial"/>
                <w:sz w:val="18"/>
                <w:szCs w:val="18"/>
                <w:color w:val="auto"/>
              </w:rPr>
              <w:t xml:space="preserve">Retail gross margin </w:t>
            </w:r>
            <w:r>
              <w:rPr>
                <w:rFonts w:ascii="Arial" w:cs="Arial" w:eastAsia="Arial" w:hAnsi="Arial"/>
                <w:sz w:val="29"/>
                <w:szCs w:val="29"/>
                <w:color w:val="auto"/>
                <w:vertAlign w:val="superscript"/>
              </w:rPr>
              <w:t>(2)</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45.4%</w:t>
            </w:r>
          </w:p>
        </w:tc>
      </w:tr>
    </w:tbl>
    <w:p>
      <w:pPr>
        <w:spacing w:after="0" w:line="28" w:lineRule="exact"/>
        <w:rPr>
          <w:sz w:val="20"/>
          <w:szCs w:val="20"/>
          <w:color w:val="auto"/>
        </w:rPr>
      </w:pPr>
    </w:p>
    <w:p>
      <w:pPr>
        <w:ind w:left="440" w:hanging="432"/>
        <w:spacing w:after="0" w:line="291"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40" w:right="420" w:hanging="432"/>
        <w:spacing w:after="0" w:line="260"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January 30, 2021 Compared to Fiscal Year Ended February 1, 2020</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$249.2 million for fiscal 2020, compared to $323.5 million for fiscal 2019, a decrease of $74.3 million or 23.0%.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this decrease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Fiscal year ended</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January 30, 2021</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(dollars in millions)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from:</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Existing stores</w:t>
            </w:r>
          </w:p>
        </w:tc>
        <w:tc>
          <w:tcPr>
            <w:tcW w:w="480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E-commerce</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New stores</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closures</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Gift card breakage</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4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Deferred revenue estimates</w:t>
            </w: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4800" w:type="dxa"/>
            <w:vAlign w:val="bottom"/>
            <w:gridSpan w:val="2"/>
            <w:shd w:val="clear" w:color="auto" w:fill="CCEEFF"/>
          </w:tcPr>
          <w:p>
            <w:pPr>
              <w:ind w:left="4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240" w:type="dxa"/>
            <w:vAlign w:val="bottom"/>
            <w:tcBorders>
              <w:top w:val="single" w:sz="8" w:color="CCEEFF"/>
            </w:tcBorders>
          </w:tcPr>
          <w:p>
            <w:pPr>
              <w:spacing w:after="0"/>
              <w:rPr>
                <w:sz w:val="24"/>
                <w:szCs w:val="24"/>
                <w:color w:val="auto"/>
              </w:rPr>
            </w:pPr>
          </w:p>
        </w:tc>
        <w:tc>
          <w:tcPr>
            <w:tcW w:w="4240" w:type="dxa"/>
            <w:vAlign w:val="bottom"/>
            <w:tcBorders>
              <w:top w:val="single" w:sz="8" w:color="CCEEFF"/>
            </w:tcBorders>
          </w:tcPr>
          <w:p>
            <w:pPr>
              <w:jc w:val="right"/>
              <w:ind w:right="2790"/>
              <w:spacing w:after="0"/>
              <w:rPr>
                <w:sz w:val="20"/>
                <w:szCs w:val="20"/>
                <w:color w:val="auto"/>
              </w:rPr>
            </w:pPr>
            <w:r>
              <w:rPr>
                <w:rFonts w:ascii="Arial" w:cs="Arial" w:eastAsia="Arial" w:hAnsi="Arial"/>
                <w:sz w:val="18"/>
                <w:szCs w:val="18"/>
                <w:color w:val="auto"/>
              </w:rPr>
              <w:t>28</w:t>
            </w:r>
          </w:p>
        </w:tc>
        <w:tc>
          <w:tcPr>
            <w:tcW w:w="5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8" w:name="page29"/>
    <w:bookmarkEnd w:id="28"/>
    <w:p>
      <w:pPr>
        <w:jc w:val="both"/>
        <w:ind w:firstLine="441"/>
        <w:spacing w:after="0" w:line="263" w:lineRule="auto"/>
        <w:rPr>
          <w:sz w:val="20"/>
          <w:szCs w:val="20"/>
          <w:color w:val="auto"/>
        </w:rPr>
      </w:pPr>
      <w:r>
        <w:rPr>
          <w:rFonts w:ascii="Arial" w:cs="Arial" w:eastAsia="Arial" w:hAnsi="Arial"/>
          <w:sz w:val="18"/>
          <w:szCs w:val="18"/>
          <w:color w:val="auto"/>
        </w:rPr>
        <w:t>The retail revenue decrease was driven primarily by temporary store closures, reductions in store operating days, fewer operating hours and capacity restrictions and limitations as a result of COVID-19 partially offset by increased e-commerce sales in North America and the United Kingdom resulting from our pivot to digital sales due to the aforementioned temporary store closures.</w:t>
      </w:r>
    </w:p>
    <w:p>
      <w:pPr>
        <w:spacing w:after="0" w:line="184"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Commercial revenue was $4.4 million for fiscal 2020 compared to $11.9 million for fiscal 2019, a decrease of $7.5 million primarily due to decreased sales volume from our commercial customers as a result of COVID-19, which we believe is principally because the third-party retail locations serviced by our commercial customers were either temporarily closed or operated under similar operating restrictions for our own stores (government-mandated or self-imposed reductions in operating days, reduced operating hours and/or capacity restrictions and limitations) for portions of the fiscal year.</w:t>
      </w:r>
    </w:p>
    <w:p>
      <w:pPr>
        <w:spacing w:after="0" w:line="15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Revenue from international franchising was $1.7 million for fiscal 2020 compared to $3.2 million for fiscal 2019. This $1.5 million decrease was primarily the result of the temporary store closures of franchise locations due to governmentally-mandated restrictions and a reduction in new store openings resulting in a lower level of inventory and fixtures sales to franchisees to support these openings.</w:t>
      </w:r>
    </w:p>
    <w:p>
      <w:pPr>
        <w:spacing w:after="0" w:line="184"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i w:val="1"/>
          <w:iCs w:val="1"/>
          <w:color w:val="auto"/>
        </w:rPr>
        <w:t>Retail gross margin</w:t>
      </w:r>
      <w:r>
        <w:rPr>
          <w:rFonts w:ascii="Arial" w:cs="Arial" w:eastAsia="Arial" w:hAnsi="Arial"/>
          <w:sz w:val="16"/>
          <w:szCs w:val="16"/>
          <w:color w:val="auto"/>
        </w:rPr>
        <w:t>. Retail gross margin was $101.4 million in fiscal 2020 compared to $146.8 million in fiscal 2019, a decrease of $45.4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percentage of net retail sales, retail gross margin decreased to 40.7% for fiscal 2020 from 45.4% for fiscal 2019, or 470 basis points as a percentage of net retail sales. Specifically, warehouse and distribution costs increased as a percentage of revenue primarily due to increase customer shipping costs resulting from increased sales from our e-commerce channel. Additionally, occupancy costs increased as a percentage of revenue due to expense recognition under </w:t>
      </w:r>
      <w:r>
        <w:rPr>
          <w:rFonts w:ascii="Arial" w:cs="Arial" w:eastAsia="Arial" w:hAnsi="Arial"/>
          <w:sz w:val="16"/>
          <w:szCs w:val="16"/>
          <w:i w:val="1"/>
          <w:iCs w:val="1"/>
          <w:color w:val="auto"/>
        </w:rPr>
        <w:t xml:space="preserve">ASC 842 Leases </w:t>
      </w:r>
      <w:r>
        <w:rPr>
          <w:rFonts w:ascii="Arial" w:cs="Arial" w:eastAsia="Arial" w:hAnsi="Arial"/>
          <w:sz w:val="16"/>
          <w:szCs w:val="16"/>
          <w:color w:val="auto"/>
        </w:rPr>
        <w:t>when our stores were temporarily closed and abatements or deferrals were negotiated from landlords for the same period. The effects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abatements and deferrals on expense recognition are spread across the remainder of each lease term.</w:t>
      </w:r>
    </w:p>
    <w:p>
      <w:pPr>
        <w:spacing w:after="0" w:line="16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i w:val="1"/>
          <w:iCs w:val="1"/>
          <w:color w:val="auto"/>
        </w:rPr>
        <w:t xml:space="preserve">Impairment of long-lived assets, including right-of-use assets. </w:t>
      </w:r>
      <w:r>
        <w:rPr>
          <w:rFonts w:ascii="Arial" w:cs="Arial" w:eastAsia="Arial" w:hAnsi="Arial"/>
          <w:sz w:val="17"/>
          <w:szCs w:val="17"/>
          <w:color w:val="auto"/>
        </w:rPr>
        <w:t>As a result of COVID-19, we experienced lower revenues, especially in the first half</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fiscal year, and identified indicators of impairment for our store fleet. We performed undiscounted future cash flow analysis over the long-lived assets and right-of-use assets for the remaining useful life of the asset and determined that certain stores had long-lived and right-of-use assets with carrying values that exceeded their estimated undiscounted future cash flows. We estimated fair values of these long-lived assets based on our discounted future cash flows or market rent assessments. Our analysis indicated that the carrying values of our long-lived assets exceeded their respective fair values. For fiscal 2020, we recognized long-lived asset impairment charges totaling $7.3 million, with approximately $3.8 million for right-of-use operating lease assets and $3.5 million for fixed assets including leasehold improvements and fixtures, furniture and fixtures, machinery and equipment, and construction-in-progress. These impairment charges were primarily driven by lower than projected revenues and the effect of temporary store closures. The majority of the impairment was recorded for assets associated with stores in North America and the United Kingdom.</w:t>
      </w:r>
    </w:p>
    <w:p>
      <w:pPr>
        <w:spacing w:after="0" w:line="18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Selling, general and administrative expenses were $117.6 million for fiscal 2020 as compared to $152.0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fiscal 2019, a decrease of $34.4 million. Selling, general and administrative expenses were lower primarily due to lower labor costs from temporary store closures, salary reductions and employee furloughs due to COVID-19 as well as a decrease in marketing spend throughout the year.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expense, net of interest income, decreased an immaterial amount for fiscal 2020 as compared to fiscal 2019.</w:t>
      </w:r>
    </w:p>
    <w:p>
      <w:pPr>
        <w:spacing w:after="0" w:line="24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provision for income taxes was $2.8 million in fiscal 2020 compared to $1.3 million in fiscal 2019. The 2020</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rate of (13.9%) differed from the statutory rate of 21% primarily due to no tax benefit being recorded on the current year pretax loss as a full valuation allowance has now been recorded globally. Fiscal 2020 was also impacted by the $3.3 million valuation allowance recorded on the beginning balance of the net deferred tax assets in certain jurisdictions. The 2019 effective rate of 83.0% differed from the statutory rate of 21% primarily due to the valuation allowance recorded in certain foreign jurisdictions and a $0.2 million tax impact of equity awards.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use the term “store contribution” throughout this Annual Report on Form 10-K. Store contribution consists of income (loss) before income tax expense, interest, general and administrative expense, excluding income from franchise and commercial activities and contribution from our e-commerce sites, locations, other than periods of temporary government-mandated closures, for the full fiscal year and adjustments to deferred revenue related to our loyalty program and gift card breakage. This term, as we define it, may not be comparable to similarly titled measures used by other companies and is not a measure of performance presented in accordance with U.S. generally accepted accounting principles (“GAAP”). We use store contribution as a measure of our stores’ operating performance.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8"/>
          <w:szCs w:val="18"/>
          <w:color w:val="auto"/>
        </w:rPr>
        <w:t>Store contribution should not be considered a substitute for net income, net income per store, cash flows provided by operating activities, cash flows provided by operating activities per store, or other income or cash flow data prepared in accordance with U.S. GAAP. Additionally, store-level performance measures are inherently limited in that they exclude certain expenses that are recurring in nature and are necessary to support the operation and development of our stores. We believe store contribution is useful to investors in evaluating our operating performance because it, along with the number of stores in operation, directly impacts our profitability.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sets forth a reconciliation of store contribution to net income (loss) for our corporately-managed stores located in the U.S., Canada and Puerto Rico (collectively “North America”); stores located in the U.K., Ireland and Denmark (collectively “Europe”); and China, for our consolidated store base (dollars in thousands). For fiscal 2020, corporately-managed stores included are those that were not newly opened or permanently closed in fiscal 2020. As our entire store fleet was temporarily closed during portions of the year due to COVID-19, no stores qualified as operating for the full year. For year-over-year comparison purposes such temporary closed stores were included in the below table. For fiscal 2019, corporately-managed stores included all stores open throughout the entire period.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97"/>
              </w:rPr>
              <w:t>Fiscal 2020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1"/>
              </w:rPr>
              <w:t>Fiscal 2019</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6"/>
                <w:szCs w:val="16"/>
                <w:color w:val="auto"/>
              </w:rPr>
            </w:pPr>
          </w:p>
        </w:tc>
        <w:tc>
          <w:tcPr>
            <w:tcW w:w="12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color w:val="auto"/>
                <w:w w:val="95"/>
              </w:rPr>
              <w:t>North</w:t>
            </w:r>
          </w:p>
        </w:tc>
        <w:tc>
          <w:tcPr>
            <w:tcW w:w="120" w:type="dxa"/>
            <w:vAlign w:val="bottom"/>
          </w:tcPr>
          <w:p>
            <w:pPr>
              <w:spacing w:after="0"/>
              <w:rPr>
                <w:sz w:val="16"/>
                <w:szCs w:val="16"/>
                <w:color w:val="auto"/>
              </w:rPr>
            </w:pPr>
          </w:p>
        </w:tc>
        <w:tc>
          <w:tcPr>
            <w:tcW w:w="1280" w:type="dxa"/>
            <w:vAlign w:val="bottom"/>
            <w:gridSpan w:val="2"/>
          </w:tcPr>
          <w:p>
            <w:pPr>
              <w:jc w:val="right"/>
              <w:ind w:right="600"/>
              <w:spacing w:after="0" w:line="191" w:lineRule="exact"/>
              <w:rPr>
                <w:sz w:val="20"/>
                <w:szCs w:val="20"/>
                <w:color w:val="auto"/>
              </w:rPr>
            </w:pPr>
            <w:r>
              <w:rPr>
                <w:rFonts w:ascii="Arial" w:cs="Arial" w:eastAsia="Arial" w:hAnsi="Arial"/>
                <w:sz w:val="18"/>
                <w:szCs w:val="18"/>
                <w:color w:val="auto"/>
              </w:rPr>
              <w:t>Europe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America</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and China</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America</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and China</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(24,256)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Items excluded: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3080" w:type="dxa"/>
            <w:vAlign w:val="bottom"/>
          </w:tcPr>
          <w:p>
            <w:pPr>
              <w:ind w:left="340"/>
              <w:spacing w:after="0"/>
              <w:rPr>
                <w:sz w:val="20"/>
                <w:szCs w:val="20"/>
                <w:color w:val="auto"/>
              </w:rPr>
            </w:pPr>
            <w:r>
              <w:rPr>
                <w:rFonts w:ascii="Arial" w:cs="Arial" w:eastAsia="Arial" w:hAnsi="Arial"/>
                <w:sz w:val="18"/>
                <w:szCs w:val="18"/>
                <w:color w:val="auto"/>
              </w:rPr>
              <w:t>Interest expense (income)</w:t>
            </w:r>
          </w:p>
        </w:tc>
        <w:tc>
          <w:tcPr>
            <w:tcW w:w="1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5,429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080" w:type="dxa"/>
            <w:vAlign w:val="bottom"/>
          </w:tcPr>
          <w:p>
            <w:pPr>
              <w:ind w:left="340"/>
              <w:spacing w:after="0" w:line="206" w:lineRule="exact"/>
              <w:rPr>
                <w:sz w:val="20"/>
                <w:szCs w:val="20"/>
                <w:color w:val="auto"/>
              </w:rPr>
            </w:pPr>
            <w:r>
              <w:rPr>
                <w:rFonts w:ascii="Arial" w:cs="Arial" w:eastAsia="Arial" w:hAnsi="Arial"/>
                <w:sz w:val="18"/>
                <w:szCs w:val="18"/>
                <w:color w:val="auto"/>
                <w:w w:val="94"/>
              </w:rPr>
              <w:t>General and administrative expense</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41,972</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44,629</w:t>
            </w:r>
          </w:p>
        </w:tc>
        <w:tc>
          <w:tcPr>
            <w:tcW w:w="160" w:type="dxa"/>
            <w:vAlign w:val="bottom"/>
          </w:tcPr>
          <w:p>
            <w:pPr>
              <w:spacing w:after="0"/>
              <w:rPr>
                <w:sz w:val="17"/>
                <w:szCs w:val="17"/>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50,566</w:t>
            </w:r>
          </w:p>
        </w:tc>
        <w:tc>
          <w:tcPr>
            <w:tcW w:w="120" w:type="dxa"/>
            <w:vAlign w:val="bottom"/>
          </w:tcPr>
          <w:p>
            <w:pPr>
              <w:spacing w:after="0"/>
              <w:rPr>
                <w:sz w:val="17"/>
                <w:szCs w:val="17"/>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3,653</w:t>
            </w:r>
          </w:p>
        </w:tc>
        <w:tc>
          <w:tcPr>
            <w:tcW w:w="22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54,219</w:t>
            </w:r>
          </w:p>
        </w:tc>
        <w:tc>
          <w:tcPr>
            <w:tcW w:w="0" w:type="dxa"/>
            <w:vAlign w:val="bottom"/>
          </w:tcPr>
          <w:p>
            <w:pPr>
              <w:spacing w:after="0"/>
              <w:rPr>
                <w:sz w:val="1"/>
                <w:szCs w:val="1"/>
                <w:color w:val="auto"/>
              </w:rPr>
            </w:pPr>
          </w:p>
        </w:tc>
      </w:tr>
      <w:tr>
        <w:trPr>
          <w:trHeight w:val="186"/>
        </w:trPr>
        <w:tc>
          <w:tcPr>
            <w:tcW w:w="3080" w:type="dxa"/>
            <w:vAlign w:val="bottom"/>
          </w:tcPr>
          <w:p>
            <w:pPr>
              <w:ind w:left="340"/>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Contribution from other retail</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40"/>
              <w:spacing w:after="0" w:line="230" w:lineRule="exact"/>
              <w:rPr>
                <w:sz w:val="20"/>
                <w:szCs w:val="20"/>
                <w:color w:val="auto"/>
              </w:rPr>
            </w:pPr>
            <w:r>
              <w:rPr>
                <w:rFonts w:ascii="Arial" w:cs="Arial" w:eastAsia="Arial" w:hAnsi="Arial"/>
                <w:sz w:val="16"/>
                <w:szCs w:val="16"/>
                <w:color w:val="auto"/>
              </w:rPr>
              <w:t xml:space="preserve">activities </w:t>
            </w:r>
            <w:r>
              <w:rPr>
                <w:rFonts w:ascii="Arial" w:cs="Arial" w:eastAsia="Arial" w:hAnsi="Arial"/>
                <w:sz w:val="26"/>
                <w:szCs w:val="26"/>
                <w:color w:val="auto"/>
                <w:vertAlign w:val="superscript"/>
              </w:rPr>
              <w:t>(2)</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(10,632)</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(14,758)</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(6,244)</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(1,627)</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16"/>
        </w:trPr>
        <w:tc>
          <w:tcPr>
            <w:tcW w:w="30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5"/>
                <w:szCs w:val="25"/>
                <w:color w:val="auto"/>
                <w:vertAlign w:val="superscript"/>
              </w:rPr>
              <w:t>(3)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43,087</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216,809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255,310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290,883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47,660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338,543</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Items excluded: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w w:val="95"/>
              </w:rPr>
              <w:t>Revenues from other retail activities</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(43,951)</w:t>
            </w: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(19,154)</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(63,105)</w:t>
            </w: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(38,261)</w:t>
            </w: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(5,400)</w:t>
            </w: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(43,661)</w:t>
            </w:r>
          </w:p>
        </w:tc>
        <w:tc>
          <w:tcPr>
            <w:tcW w:w="0" w:type="dxa"/>
            <w:vAlign w:val="bottom"/>
          </w:tcPr>
          <w:p>
            <w:pPr>
              <w:spacing w:after="0"/>
              <w:rPr>
                <w:sz w:val="1"/>
                <w:szCs w:val="1"/>
                <w:color w:val="auto"/>
              </w:rPr>
            </w:pPr>
          </w:p>
        </w:tc>
      </w:tr>
      <w:tr>
        <w:trPr>
          <w:trHeight w:val="186"/>
        </w:trPr>
        <w:tc>
          <w:tcPr>
            <w:tcW w:w="30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80" w:type="dxa"/>
            <w:vAlign w:val="bottom"/>
          </w:tcPr>
          <w:p>
            <w:pPr>
              <w:ind w:left="340"/>
              <w:spacing w:after="0" w:line="201" w:lineRule="exact"/>
              <w:rPr>
                <w:sz w:val="20"/>
                <w:szCs w:val="20"/>
                <w:color w:val="auto"/>
              </w:rPr>
            </w:pPr>
            <w:r>
              <w:rPr>
                <w:rFonts w:ascii="Arial" w:cs="Arial" w:eastAsia="Arial" w:hAnsi="Arial"/>
                <w:sz w:val="18"/>
                <w:szCs w:val="18"/>
                <w:color w:val="auto"/>
              </w:rPr>
              <w:t>Other revenues from external</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(6,101)</w:t>
            </w:r>
          </w:p>
        </w:tc>
        <w:tc>
          <w:tcPr>
            <w:tcW w:w="16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(13,860)</w:t>
            </w:r>
          </w:p>
        </w:tc>
        <w:tc>
          <w:tcPr>
            <w:tcW w:w="12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(1,192)</w:t>
            </w:r>
          </w:p>
        </w:tc>
        <w:tc>
          <w:tcPr>
            <w:tcW w:w="22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17"/>
        </w:trPr>
        <w:tc>
          <w:tcPr>
            <w:tcW w:w="3080" w:type="dxa"/>
            <w:vAlign w:val="bottom"/>
          </w:tcPr>
          <w:p>
            <w:pPr>
              <w:ind w:left="340"/>
              <w:spacing w:after="0" w:line="217" w:lineRule="exact"/>
              <w:rPr>
                <w:sz w:val="20"/>
                <w:szCs w:val="20"/>
                <w:color w:val="auto"/>
              </w:rPr>
            </w:pPr>
            <w:r>
              <w:rPr>
                <w:rFonts w:ascii="Arial" w:cs="Arial" w:eastAsia="Arial" w:hAnsi="Arial"/>
                <w:sz w:val="16"/>
                <w:szCs w:val="16"/>
                <w:color w:val="auto"/>
              </w:rPr>
              <w:t xml:space="preserve">customers </w:t>
            </w:r>
            <w:r>
              <w:rPr>
                <w:rFonts w:ascii="Arial" w:cs="Arial" w:eastAsia="Arial" w:hAnsi="Arial"/>
                <w:sz w:val="25"/>
                <w:szCs w:val="25"/>
                <w:color w:val="auto"/>
                <w:vertAlign w:val="superscript"/>
              </w:rPr>
              <w:t>(4)</w:t>
            </w: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Store location net retail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167,214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186,104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238,762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41,068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279,830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tcPr>
          <w:p>
            <w:pPr>
              <w:spacing w:after="0" w:line="182" w:lineRule="exact"/>
              <w:rPr>
                <w:sz w:val="20"/>
                <w:szCs w:val="20"/>
                <w:color w:val="auto"/>
              </w:rPr>
            </w:pPr>
            <w:r>
              <w:rPr>
                <w:rFonts w:ascii="Arial" w:cs="Arial" w:eastAsia="Arial" w:hAnsi="Arial"/>
                <w:sz w:val="18"/>
                <w:szCs w:val="18"/>
                <w:color w:val="auto"/>
              </w:rPr>
              <w:t>Store contribution as a percentage of</w:t>
            </w:r>
          </w:p>
        </w:tc>
        <w:tc>
          <w:tcPr>
            <w:tcW w:w="16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5"/>
                <w:szCs w:val="15"/>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5"/>
                <w:szCs w:val="15"/>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5"/>
                <w:szCs w:val="15"/>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0"/>
        </w:trPr>
        <w:tc>
          <w:tcPr>
            <w:tcW w:w="3080" w:type="dxa"/>
            <w:vAlign w:val="bottom"/>
          </w:tcPr>
          <w:p>
            <w:pPr>
              <w:spacing w:after="0" w:line="190" w:lineRule="exact"/>
              <w:rPr>
                <w:sz w:val="20"/>
                <w:szCs w:val="20"/>
                <w:color w:val="auto"/>
              </w:rPr>
            </w:pPr>
            <w:r>
              <w:rPr>
                <w:rFonts w:ascii="Arial" w:cs="Arial" w:eastAsia="Arial" w:hAnsi="Arial"/>
                <w:sz w:val="18"/>
                <w:szCs w:val="18"/>
                <w:color w:val="auto"/>
              </w:rPr>
              <w:t>store location net retail sales</w:t>
            </w: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Total net income (loss) as a percentage</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of total revenues</w:t>
            </w: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40" w:hanging="432"/>
        <w:spacing w:after="0" w:line="286"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and administrative expense consists primarily of non-store related expenses such as management compensation, travel, information systems, accounting, purchasing and legal costs. Additionally, non-store related depreciation and amortization, store closing and pre-opening expenses are included within general and administrative expense as well as certain intercompany charges in Europe. Further, general and administrative expenses include marketing costs, primarily payroll and related benefits expense, but exclude advertising expenses, which are included in store contribution.</w:t>
      </w:r>
    </w:p>
    <w:p>
      <w:pPr>
        <w:spacing w:after="0" w:line="1" w:lineRule="exact"/>
        <w:rPr>
          <w:rFonts w:ascii="Arial" w:cs="Arial" w:eastAsia="Arial" w:hAnsi="Arial"/>
          <w:sz w:val="16"/>
          <w:szCs w:val="16"/>
          <w:color w:val="auto"/>
        </w:rPr>
      </w:pPr>
    </w:p>
    <w:p>
      <w:pPr>
        <w:ind w:left="440" w:hanging="432"/>
        <w:spacing w:after="0" w:line="250"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retail activities are comprised primarily of our e-commerce sites, stores not open for the full year and adjustments to deferred revenue related to our loyalty program and gift card breakage.</w:t>
      </w:r>
    </w:p>
    <w:p>
      <w:pPr>
        <w:ind w:left="440" w:right="20" w:hanging="432"/>
        <w:spacing w:after="0" w:line="265"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contribution includes commercial revenue, international franchising and intercompany revenues as well as all expenses attributable to the commercial and international franchising segments, excluding interest expense (income) and income tax expense (benefit).</w:t>
      </w: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revenues from external customers are comprised of commercial revenue and international 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-1236345</wp:posOffset>
            </wp:positionV>
            <wp:extent cx="71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cash requirements are primarily for the opening, remodeling or reformatting of stores, installation and upgrades of information systems and working capital. Over the past several years, we have met these requirements through cash generated from operations.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2"/>
              </w:rPr>
              <w:t>January 30,</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February 1,</w:t>
            </w:r>
          </w:p>
        </w:tc>
        <w:tc>
          <w:tcPr>
            <w:tcW w:w="80" w:type="dxa"/>
            <w:vAlign w:val="bottom"/>
          </w:tcPr>
          <w:p>
            <w:pPr>
              <w:spacing w:after="0"/>
              <w:rPr>
                <w:sz w:val="16"/>
                <w:szCs w:val="16"/>
                <w:color w:val="auto"/>
              </w:rPr>
            </w:pPr>
          </w:p>
        </w:tc>
      </w:tr>
      <w:tr>
        <w:trPr>
          <w:trHeight w:val="234"/>
        </w:trPr>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21,609</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(12,384)</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Effect of exchange rates on cash</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0"/>
        </w:trPr>
        <w:tc>
          <w:tcPr>
            <w:tcW w:w="5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8,840</w:t>
            </w: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$13.4 million and $21.6 million in fiscal years 2020 and 2019,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from operating activities decreased in fiscal 2020 as compared to 2019 primarily driven by the temporary closure of corporately managed retail stores and reduced operating hours in North America and the United Kingdom during periods of the fiscal year.</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flows used in investing activities were $5.0 million and $12.4 million in fiscal years 2020 and 2019, respectively.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investing activities in fiscal 2020 decreased as compared to fiscal 2019 primarily driven by reductions in planned capital expenditures as a result of COVID-19.</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$0.1 million and $0.2 million in fiscal years 2020 and 2019, respectively.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in fiscal 2020 decreased as compared to fiscal 2019, driven by less stock-based compensation vesting in fiscal 2020 compared to the prior year resulting in the need for fewer shares withheld for taxes.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Capital Resources</w:t>
      </w:r>
      <w:r>
        <w:rPr>
          <w:rFonts w:ascii="Arial" w:cs="Arial" w:eastAsia="Arial" w:hAnsi="Arial"/>
          <w:sz w:val="17"/>
          <w:szCs w:val="17"/>
          <w:color w:val="auto"/>
        </w:rPr>
        <w:t>. As of January 30, 2021, we had a cash balance of $34.8 million, of which 63% was domiciled within the United States.</w:t>
      </w:r>
    </w:p>
    <w:p>
      <w:pPr>
        <w:spacing w:after="0" w:line="23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On August 25, 2020, we entered into a Revolving Credit and Security Agreement with PNC Bank, National Association, as agent. The agreement provides for a senior secured revolving loan in aggregate principal amount of up to $25,000,000 (subject to a borrowing base formula), which may be increased with the consent of the lenders by an amount not to exceed $25,000,000. Borrowings under the agreement bear interest at (a) a base rate determined under the agreement, or (b) the borrower's option, at a rate based on LIBOR, plus in either case a margin based on average undrawn availability as determined in accordance with the agreement. The agreement matures on August 25, 2025 (unless terminated earlier in accordance with its terms) and requires compliance with conditions precedent that must be satisfied prior to any borrowing. The agreement also contains various representations, warranties and covenants that we consider customary for an asset-based credit facility. The agreement requires us to comply with one financial covenant, specifically, that we maintain availability (as determined in accordance with the agreement) at all times equal to or greater than the greater of (a) 12.5% of the loan cap and (b) $3,125,000 (subject to increase upon exercise of the increase option). The “loan cap” is the lesser of (1) $25,000,000 less the outstanding amount of loans and letters of credit under the agreement and (2) the borrowing base from time to time under the agreement. The agreement also contains various information and reporting requirements and provides for various fees customary for an asset-based lending facility. We anticipate the annual costs of maintaining the agreement, including interest and fees, will be between $500,000 and $600,000. The agreement contains customary events of default, including without limitation events of default based on payment obligations, material inaccuracies of representations and warranties, covenant defaults, final judgments and orders, unenforceability of the agreement, material ERISA events, change in control, insolvency proceedings, and defaults under certain other obligations.</w:t>
      </w:r>
    </w:p>
    <w:p>
      <w:pPr>
        <w:spacing w:after="0" w:line="18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 event of default may cause the applicable interest rate and fees to increase by 2% until such event of default has been cured, waived, or amended. The agreement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486"/>
        <w:spacing w:after="0" w:line="263" w:lineRule="auto"/>
        <w:rPr>
          <w:sz w:val="20"/>
          <w:szCs w:val="20"/>
          <w:color w:val="auto"/>
        </w:rPr>
      </w:pPr>
      <w:r>
        <w:rPr>
          <w:rFonts w:ascii="Arial" w:cs="Arial" w:eastAsia="Arial" w:hAnsi="Arial"/>
          <w:sz w:val="18"/>
          <w:szCs w:val="18"/>
          <w:color w:val="auto"/>
        </w:rPr>
        <w:t>At the closing date of the credit agreement with PNC Bank, we had no outstanding indebtedness. As of January 30, 2021, our borrowing base was slightly more than $19.8 million. As a result of a $1.0 million letter of credit against the line of credit at the end of the fiscal year, $18.8 million was available for borrowing.</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Additionally, on August 25, 2020, upon execution of the agreement with PNC Bank, we terminated our existing bank credit line with U.S. Bank, under the Fourth Amended and Restated Loan Agreement, as amended. The former agreement with U.S. Bank provided for a maximum borrowing capacity of up to $10,000,000, subject to compliance with certain financial tests. The former credit agreement would have matured on September 30, 2020. At the time of termination, we did not have any outstanding borrowings under the agreement with U.S. Bank and we were in compliance with the amended covenants. The $1.0 million letter of credit that was outstanding under the agreement with U.S. Bank at the time of termination was subsequently cancelled and a replacement $1.0 million letter of credit was issued under the credit agreement with PNC Bank.</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fiscal year, we renegotiated a large portion of our store lease portfolio resulting in a combination of rent reductions, deferments, and abatements in North America, the United Kingdom and Ireland. These negotiations have increased the percentage of leases with variable rent structures resulting in the increase in variable rent expense in fiscal 2020 compared to fiscal 2019. For these renegotiated leases, under ASC 842 Leases, we assessed if the renegotiated leases represented a new, separate contract or a modification of the existing lease.</w:t>
      </w:r>
    </w:p>
    <w:p>
      <w:pPr>
        <w:spacing w:after="0" w:line="171"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Most of our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8"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and quarterly and paid in advance.</w:t>
      </w:r>
    </w:p>
    <w:p>
      <w:pPr>
        <w:spacing w:after="0" w:line="157"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Capital spending in fiscal 2020 totaled $5.0 million, which reflects previously committed investments in infrastructure to support our digital initiatives. Apart from these committed expenditures in response to COVID-19, we reduced capital expenditures during fiscal 2020 to maintenance levels.</w:t>
      </w:r>
    </w:p>
    <w:p>
      <w:pPr>
        <w:spacing w:after="0" w:line="12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August 2017, our Board of Directors adopted a share repurchase program authorizing the repurchase of up to $20 million of our common stock. From the date of the program approval through the program expiration on September 30, 2020, we repurchased a total of 1.3 million shares at an average price of $8.75 per share for an aggregate amount of $11.2 million. No share repurchase program is currently authorized. In addition, our ability to repurchase shares is subject to satisfaction of conditions set forth in our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However, we can provide no assurance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In accordance with ASC 360-10-35, we assess the potential impairment of long-lived assets, which include property, plant and equipment and operating lease assets (subsequent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operating lease assets, we determine the fair value of the assets by comparing the contractual rent payments to estimated market rental rates. Fair value is calculated as the present value of estimated future cash flows for each asset group.</w:t>
      </w:r>
    </w:p>
    <w:p>
      <w:pPr>
        <w:spacing w:after="0" w:line="164"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For purposes of evaluating store assets for impairment, we have determined that each store location is an asset group, inclusive of the right-of-use asset attributable to each store.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the full year’s results. We consider a historical and/or projected negative cash flow trend for a store location to be an indicator that the carrying value of that asset group may not be recoverable. Impairment charges related to this assessment are typically included in cost of merchandise sold</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retail as a component of income (loss) before income taxes in the DTC segment. See Note 4 - Leases and Note 6 - Property and Equipment, Net to our consolidated financial statements for further discussion.</w:t>
      </w:r>
    </w:p>
    <w:p>
      <w:pPr>
        <w:spacing w:after="0" w:line="18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Given the reductions in our revenues in our revenues and cash flows as a result of COVID-19, primarily in the first and second quarters of fiscal 2020, we identified triggering events that required us to assess the need for potential impairment charges. As a result of these activities we recorded store impairment charges of $7.3 million, with approximately $3.8 million for right-of-use operating lease assets and $3.5 million for fixed assets including leasehold improvements and fixtures, furniture and fixtures, machinery and equipment, and construction-in-progress.</w:t>
      </w:r>
    </w:p>
    <w:p>
      <w:pPr>
        <w:spacing w:after="0" w:line="17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486"/>
        <w:spacing w:after="0" w:line="279" w:lineRule="auto"/>
        <w:rPr>
          <w:sz w:val="20"/>
          <w:szCs w:val="20"/>
          <w:color w:val="auto"/>
        </w:rPr>
      </w:pPr>
      <w:r>
        <w:rPr>
          <w:rFonts w:ascii="Arial" w:cs="Arial" w:eastAsia="Arial" w:hAnsi="Arial"/>
          <w:sz w:val="17"/>
          <w:szCs w:val="17"/>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general economic trends, public health issues (such as the COVID-19 pandemic) and thus could be significantly different than historical results. The assumptions used in future calculations of fair value may change significantly which could result in further impairment charges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For our gift cards, revenue is deferred for single transactions until redemption including any related gift card discounts. Historically, most gift card redemptions have occurred within three years of purchase and approximately 75% of gift cards have been redeemed within the first twelve months. In addition, unredeemed gift cards or breakage revenue is recorded in proportion to the customer’s redemption pattern using an estimated breakage rate based on historical experience.</w:t>
      </w:r>
    </w:p>
    <w:p>
      <w:pPr>
        <w:spacing w:after="0" w:line="17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7"/>
          <w:szCs w:val="17"/>
          <w:color w:val="auto"/>
        </w:rPr>
        <w:t>For certain qualifying transactions, a portion of revenue transactions are deferred for the obligation related to our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our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 and contract liabilities related to the loyalty program are classified as deferred revenue and other.</w:t>
      </w:r>
    </w:p>
    <w:p>
      <w:pPr>
        <w:spacing w:after="0" w:line="166"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During 2020, we experienced lower redemptions of our gift cards as a result of COVID-19 for all periods of outstanding activated cards. The redemption patterns used to determine the gift card breakage rate, especially in the first year after gift card purchase, currently cards sold in 2019 and 2020, resulted in changes to the breakage rate. We do not believe that the redemption pattern experienced in fiscal 2020 reflects the pattern in the future and have adjusted the breakage rates to exclude certain current year activity.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Revenue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determine if an arrangement is a lease at inception. The fair value of right-of-use assets and liabilities are recognized at the commencement date based on the present value of lease payments using a discounted cash flow analysis, considering market rent and market discount rates,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majority of our leases do not provide an implicit rate and therefore, we estimate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 The weighted average risk-free rates were based on the Treasury BVAL rates curve in Bloomberg. Rates were developed for length of lease term for each year 1 through 10 and for 12, 15, 20, 25, and 30-year terms.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80" w:firstLine="324"/>
        <w:spacing w:after="0" w:line="286" w:lineRule="auto"/>
        <w:rPr>
          <w:sz w:val="20"/>
          <w:szCs w:val="20"/>
          <w:color w:val="auto"/>
        </w:rPr>
      </w:pPr>
      <w:r>
        <w:rPr>
          <w:rFonts w:ascii="Arial" w:cs="Arial" w:eastAsia="Arial" w:hAnsi="Arial"/>
          <w:sz w:val="16"/>
          <w:szCs w:val="16"/>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consider our ability to carry back our tax losses or credits for refunds, the availability of tax planning strategies and reversals of existing taxable temporary differences as well as projections of future taxable income. In the first quarter of fiscal 2020, as we had anticipated incurring a cumulative book loss in North America over the three-year period ended January 30, 2021, we evaluated the realizability of our North America deferred tax assets. We performed an analysis of all available positive and negative evidence. The three-year cumulative loss is a significant piece of negative evidence. ASC 740, Income Taxes, requires objective historical evidence be given more weight than subjective evidence, such as forecasts of future income. Accordingly, in the first quarter of fiscal 2020, we recorded a $3.3 million valuation allowance on our North America deferred tax assets. As we had incurred a cumulative book loss in the U.K. over the three-year period ended February 2, 2019, we evaluated the realizability of our UK deferred tax assets and, accordingly, in the fourth quarter of fiscal 2018, we recorded a $3.7 million valuation allowance on our U.K. deferred tax assets.</w:t>
      </w:r>
    </w:p>
    <w:p>
      <w:pPr>
        <w:spacing w:after="0" w:line="174" w:lineRule="exact"/>
        <w:rPr>
          <w:sz w:val="20"/>
          <w:szCs w:val="20"/>
          <w:color w:val="auto"/>
        </w:rPr>
      </w:pPr>
    </w:p>
    <w:p>
      <w:pPr>
        <w:jc w:val="both"/>
        <w:ind w:left="80" w:firstLine="324"/>
        <w:spacing w:after="0" w:line="275" w:lineRule="auto"/>
        <w:rPr>
          <w:sz w:val="20"/>
          <w:szCs w:val="20"/>
          <w:color w:val="auto"/>
        </w:rPr>
      </w:pPr>
      <w:r>
        <w:rPr>
          <w:rFonts w:ascii="Arial" w:cs="Arial" w:eastAsia="Arial" w:hAnsi="Arial"/>
          <w:sz w:val="17"/>
          <w:szCs w:val="17"/>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our returns in the jurisdictions in which we do business. Management regularly assesses the tax risk of our return filing positions and believes our accruals for uncertain tax benefits are adequate as of January 30, 2021 and February 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 Summary of Significant Accounting Policies for additional information.</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schedules are listed under Item 15(a)(1)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January 30, 2021, the end of the period covered by this Annual Report.</w:t>
      </w:r>
    </w:p>
    <w:p>
      <w:pPr>
        <w:spacing w:after="0" w:line="192"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January 30, 2021.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9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in Internal Control-Integrated Framework (2013 framework). Based upon this evaluation, our management has concluded that our internal control over financial reporting as of January 30, 2021 is effective.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internal control over financial reporting (as defined in Exchange Act Rules 13a-15(f) and 15d-15(f)) that occurred during the fiscal 2020 fourth quarter that have materially affected, or are reasonably likely to materially affect, our internal control over financial reporting.</w:t>
      </w:r>
    </w:p>
    <w:p>
      <w:pPr>
        <w:spacing w:after="0" w:line="3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Information concerning directors, appearing in the sections titled “Directors,” “The Board of Directors and its Committees,” and “Committee Charters, Corporate Governance Guidelines, Business Conduct Policy and Code of Ethics” in our Proxy Statement (the “Proxy Statement”) to be filed with the SEC in connection with our Annual Meeting of Stockholders scheduled to be held on June 10, 2021,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information appearing in the sections titled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Sharon Price John</w:t>
      </w:r>
      <w:r>
        <w:rPr>
          <w:rFonts w:ascii="Arial" w:cs="Arial" w:eastAsia="Arial" w:hAnsi="Arial"/>
          <w:sz w:val="17"/>
          <w:szCs w:val="17"/>
          <w:color w:val="auto"/>
        </w:rPr>
        <w:t>, 57, was appointed to the Board of Directors on June 3, 2013, in connection with her employment as Chief Executive Officer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Bear of the Company. Effective March 2016, she now holds the title of President and Chief Executive Officer.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Eric Fencl</w:t>
      </w:r>
      <w:r>
        <w:rPr>
          <w:rFonts w:ascii="Arial" w:cs="Arial" w:eastAsia="Arial" w:hAnsi="Arial"/>
          <w:sz w:val="17"/>
          <w:szCs w:val="17"/>
          <w:i w:val="1"/>
          <w:iCs w:val="1"/>
          <w:color w:val="auto"/>
        </w:rPr>
        <w:t>, 58</w:t>
      </w:r>
      <w:r>
        <w:rPr>
          <w:rFonts w:ascii="Arial" w:cs="Arial" w:eastAsia="Arial" w:hAnsi="Arial"/>
          <w:sz w:val="17"/>
          <w:szCs w:val="17"/>
          <w:color w:val="auto"/>
        </w:rPr>
        <w:t>, joined Build-A-Bear Workshop in July 2008 as Chief Bearrister—General Counsel. Effective October 2015, Mr. Fencl now holds the 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Chief 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Mr. Fencl held legal positions at Monsanto Company, McDonnell Douglas Corporation and Bryan Cave Leighton Paisner LLP (formerly known as Bryan Cave LLP). Mr. Fencl began his career as an auditor with Arthur Young &amp; Company.</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J. Christopher Hurt</w:t>
      </w:r>
      <w:r>
        <w:rPr>
          <w:rFonts w:ascii="Arial" w:cs="Arial" w:eastAsia="Arial" w:hAnsi="Arial"/>
          <w:sz w:val="17"/>
          <w:szCs w:val="17"/>
          <w:i w:val="1"/>
          <w:iCs w:val="1"/>
          <w:color w:val="auto"/>
        </w:rPr>
        <w:t>, 55</w:t>
      </w:r>
      <w:r>
        <w:rPr>
          <w:rFonts w:ascii="Arial" w:cs="Arial" w:eastAsia="Arial" w:hAnsi="Arial"/>
          <w:sz w:val="17"/>
          <w:szCs w:val="17"/>
          <w:color w:val="auto"/>
        </w:rPr>
        <w:t>, joined Build-A-Bear Workshop in April 2015 as Chief Operations Officer. Effective June 2020, he now holds the title of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and Experience Officer. Prior to joining the Company, Mr. Hurt was at American 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3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Jennifer Kretchmar</w:t>
      </w:r>
      <w:r>
        <w:rPr>
          <w:rFonts w:ascii="Arial" w:cs="Arial" w:eastAsia="Arial" w:hAnsi="Arial"/>
          <w:sz w:val="17"/>
          <w:szCs w:val="17"/>
          <w:color w:val="auto"/>
        </w:rPr>
        <w:t>, 48, joined Build-A-Bear Workshop in August 2014 as Chief Product Officer and Innovation Bear. In March 2016, she became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Merchandising Officer and, effective June 2020, she now holds the title of Chief Digital and Merchandising Officer. Ms. Kretchmar serves on the Board of Directors of Mace Security International, Inc., a publicly traded personal security company. Prior to joining the Company, Ms. Kretchmar was Senior Vice President of Product and Brand Management with the Stride Rite Children’s Group of Wolverine World 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93" w:lineRule="auto"/>
        <w:rPr>
          <w:sz w:val="20"/>
          <w:szCs w:val="20"/>
          <w:color w:val="auto"/>
        </w:rPr>
      </w:pPr>
      <w:r>
        <w:rPr>
          <w:rFonts w:ascii="Arial" w:cs="Arial" w:eastAsia="Arial" w:hAnsi="Arial"/>
          <w:sz w:val="16"/>
          <w:szCs w:val="16"/>
          <w:b w:val="1"/>
          <w:bCs w:val="1"/>
          <w:i w:val="1"/>
          <w:iCs w:val="1"/>
          <w:color w:val="auto"/>
        </w:rPr>
        <w:t>Voin Todorovic</w:t>
      </w:r>
      <w:r>
        <w:rPr>
          <w:rFonts w:ascii="Arial" w:cs="Arial" w:eastAsia="Arial" w:hAnsi="Arial"/>
          <w:sz w:val="16"/>
          <w:szCs w:val="16"/>
          <w:color w:val="auto"/>
        </w:rPr>
        <w:t>, 46, joined Build-A-Bear Workshop in September 2014 as Chief Financial Officer. Prior to joining the Company, Mr. Todorovic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employed at Wolverine World Wide, Inc., a leading global footwear and apparel company, where since September 2013 Mr. Todorovic served as the head of finance and operations for its Lifestyle Group, which includes a portfolio of iconic brands such as Sperry Top-Sider®, Hush Puppies®, Keds®, and Stride Rite®. From 2011 to 2013 Mr. Todorovic was Vice President—Finance and Administration of the Stride Rite Children’s Group business, operating in wholesale, direct to consumer and international franchising, and from 2010 to 2011 Mr. Todorovic was Vice President of the Performance + Lifestyle Group. Prior to his tenure at Wolverine World Wide he held positions of increasing responsibility at Collective Brands, Inc. and Payless ShoeSource.</w:t>
      </w:r>
    </w:p>
    <w:p>
      <w:pPr>
        <w:spacing w:after="0" w:line="3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jc w:val="both"/>
        <w:ind w:left="100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60" w:type="dxa"/>
            <w:vAlign w:val="bottom"/>
            <w:gridSpan w:val="7"/>
          </w:tcPr>
          <w:p>
            <w:pPr>
              <w:ind w:left="820"/>
              <w:spacing w:after="0"/>
              <w:rPr>
                <w:sz w:val="20"/>
                <w:szCs w:val="20"/>
                <w:color w:val="auto"/>
              </w:rPr>
            </w:pPr>
            <w:r>
              <w:rPr>
                <w:rFonts w:ascii="Arial" w:cs="Arial" w:eastAsia="Arial" w:hAnsi="Arial"/>
                <w:sz w:val="18"/>
                <w:szCs w:val="18"/>
                <w:b w:val="1"/>
                <w:bCs w:val="1"/>
                <w:color w:val="auto"/>
              </w:rPr>
              <w:t>Equity Compensation Plan Information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securities to</w:t>
            </w:r>
          </w:p>
        </w:tc>
        <w:tc>
          <w:tcPr>
            <w:tcW w:w="8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Weighted-average</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be issued upon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exercise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 of</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outstanding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options,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warrants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warrants and</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6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rights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rights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column (a))</w:t>
            </w:r>
          </w:p>
        </w:tc>
      </w:tr>
      <w:tr>
        <w:trPr>
          <w:trHeight w:val="210"/>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gridSpan w:val="2"/>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8"/>
        </w:trPr>
        <w:tc>
          <w:tcPr>
            <w:tcW w:w="5240" w:type="dxa"/>
            <w:vAlign w:val="bottom"/>
            <w:gridSpan w:val="4"/>
          </w:tcPr>
          <w:p>
            <w:pPr>
              <w:spacing w:after="0" w:line="189" w:lineRule="exact"/>
              <w:rPr>
                <w:sz w:val="20"/>
                <w:szCs w:val="20"/>
                <w:color w:val="auto"/>
              </w:rPr>
            </w:pPr>
            <w:r>
              <w:rPr>
                <w:rFonts w:ascii="Arial" w:cs="Arial" w:eastAsia="Arial" w:hAnsi="Arial"/>
                <w:sz w:val="18"/>
                <w:szCs w:val="18"/>
                <w:color w:val="auto"/>
              </w:rPr>
              <w:t>Equity compensation plans approved by security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holders</w:t>
            </w:r>
          </w:p>
        </w:tc>
        <w:tc>
          <w:tcPr>
            <w:tcW w:w="186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805,701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9.96</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568,523</w:t>
            </w:r>
          </w:p>
        </w:tc>
      </w:tr>
      <w:tr>
        <w:trPr>
          <w:trHeight w:val="20"/>
        </w:trPr>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805,701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568,523</w:t>
            </w: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80" w:type="dxa"/>
            <w:vAlign w:val="bottom"/>
            <w:gridSpan w:val="6"/>
          </w:tcPr>
          <w:p>
            <w:pPr>
              <w:jc w:val="center"/>
              <w:ind w:right="3500"/>
              <w:spacing w:after="0"/>
              <w:rPr>
                <w:sz w:val="20"/>
                <w:szCs w:val="20"/>
                <w:color w:val="auto"/>
              </w:rPr>
            </w:pPr>
            <w:r>
              <w:rPr>
                <w:rFonts w:ascii="Arial" w:cs="Arial" w:eastAsia="Arial" w:hAnsi="Arial"/>
                <w:sz w:val="18"/>
                <w:szCs w:val="18"/>
                <w:b w:val="1"/>
                <w:bCs w:val="1"/>
                <w:color w:val="auto"/>
              </w:rPr>
              <w:t>PART IV</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60" w:type="dxa"/>
            <w:vAlign w:val="bottom"/>
            <w:gridSpan w:val="1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12"/>
          </w:tcPr>
          <w:p>
            <w:pPr>
              <w:ind w:left="4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12"/>
          </w:tcPr>
          <w:p>
            <w:pPr>
              <w:ind w:left="420"/>
              <w:spacing w:after="0"/>
              <w:rPr>
                <w:sz w:val="20"/>
                <w:szCs w:val="20"/>
                <w:color w:val="auto"/>
              </w:rPr>
            </w:pPr>
            <w:r>
              <w:rPr>
                <w:rFonts w:ascii="Arial" w:cs="Arial" w:eastAsia="Arial" w:hAnsi="Arial"/>
                <w:sz w:val="18"/>
                <w:szCs w:val="18"/>
                <w:color w:val="auto"/>
                <w:w w:val="90"/>
              </w:rPr>
              <w:t>The financial statements and schedules set forth below are filed on the indicated pages as part of this Annual Report on Form 10-K.</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9240" w:type="dxa"/>
            <w:vAlign w:val="bottom"/>
            <w:gridSpan w:val="10"/>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3"/>
              </w:rPr>
              <w:t>Page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9240" w:type="dxa"/>
            <w:vAlign w:val="bottom"/>
            <w:gridSpan w:val="10"/>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180"/>
              <w:spacing w:after="0" w:line="169"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360" w:type="dxa"/>
            <w:vAlign w:val="bottom"/>
            <w:gridSpan w:val="6"/>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Balance Sheets as of January 30, 2021 and February 1, 2020</w:t>
              </w:r>
            </w:hyperlink>
          </w:p>
        </w:tc>
        <w:tc>
          <w:tcPr>
            <w:tcW w:w="404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9400" w:type="dxa"/>
            <w:vAlign w:val="bottom"/>
            <w:gridSpan w:val="11"/>
          </w:tcPr>
          <w:p>
            <w:pPr>
              <w:spacing w:after="0" w:line="196"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Consolidated Statements of Operations and Comprehensive Income (Loss) for the fiscal years ended January 30, 2021</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and February 1, 2020</w:t>
              </w:r>
            </w:hyperlink>
          </w:p>
        </w:tc>
        <w:tc>
          <w:tcPr>
            <w:tcW w:w="880" w:type="dxa"/>
            <w:vAlign w:val="bottom"/>
            <w:gridSpan w:val="2"/>
          </w:tcPr>
          <w:p>
            <w:pPr>
              <w:spacing w:after="0"/>
              <w:rPr>
                <w:sz w:val="17"/>
                <w:szCs w:val="17"/>
                <w:color w:val="auto"/>
              </w:rPr>
            </w:pPr>
          </w:p>
        </w:tc>
        <w:tc>
          <w:tcPr>
            <w:tcW w:w="720" w:type="dxa"/>
            <w:vAlign w:val="bottom"/>
            <w:gridSpan w:val="3"/>
          </w:tcPr>
          <w:p>
            <w:pPr>
              <w:jc w:val="center"/>
              <w:ind w:right="180"/>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8280" w:type="dxa"/>
            <w:vAlign w:val="bottom"/>
            <w:gridSpan w:val="8"/>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Stockholders’ Equity for the fiscal years ended January 30, 2021 and February 1, 2020</w:t>
              </w:r>
            </w:hyperlink>
          </w:p>
        </w:tc>
        <w:tc>
          <w:tcPr>
            <w:tcW w:w="1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Cash Flows for the fiscal years ended January 30, 2021 and February 1, 2020</w:t>
              </w:r>
            </w:hyperlink>
          </w:p>
        </w:tc>
        <w:tc>
          <w:tcPr>
            <w:tcW w:w="680" w:type="dxa"/>
            <w:vAlign w:val="bottom"/>
          </w:tcPr>
          <w:p>
            <w:pPr>
              <w:spacing w:after="0"/>
              <w:rPr>
                <w:sz w:val="17"/>
                <w:szCs w:val="17"/>
                <w:color w:val="auto"/>
              </w:rPr>
            </w:pPr>
          </w:p>
        </w:tc>
        <w:tc>
          <w:tcPr>
            <w:tcW w:w="1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3160" w:type="dxa"/>
            <w:vAlign w:val="bottom"/>
            <w:gridSpan w:val="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4440" w:type="dxa"/>
            <w:vAlign w:val="bottom"/>
            <w:gridSpan w:val="4"/>
          </w:tcPr>
          <w:p>
            <w:pPr>
              <w:spacing w:after="0"/>
              <w:rPr>
                <w:sz w:val="17"/>
                <w:szCs w:val="17"/>
                <w:color w:val="auto"/>
              </w:rPr>
            </w:pPr>
          </w:p>
        </w:tc>
        <w:tc>
          <w:tcPr>
            <w:tcW w:w="18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center"/>
              <w:ind w:right="360"/>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9400" w:type="dxa"/>
            <w:vAlign w:val="bottom"/>
            <w:gridSpan w:val="1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Schedule II - Valuation and Qualifying Accounts</w:t>
              </w:r>
            </w:hyperlink>
          </w:p>
        </w:tc>
        <w:tc>
          <w:tcPr>
            <w:tcW w:w="720" w:type="dxa"/>
            <w:vAlign w:val="bottom"/>
            <w:gridSpan w:val="3"/>
          </w:tcPr>
          <w:p>
            <w:pPr>
              <w:jc w:val="center"/>
              <w:ind w:right="180"/>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65</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3520" w:type="dxa"/>
            <w:vAlign w:val="bottom"/>
            <w:tcBorders>
              <w:top w:val="single" w:sz="8" w:color="0000EE"/>
            </w:tcBorders>
            <w:gridSpan w:val="4"/>
          </w:tcPr>
          <w:p>
            <w:pPr>
              <w:spacing w:after="0"/>
              <w:rPr>
                <w:sz w:val="24"/>
                <w:szCs w:val="24"/>
                <w:color w:val="auto"/>
              </w:rPr>
            </w:pP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39</w:t>
            </w:r>
          </w:p>
        </w:tc>
        <w:tc>
          <w:tcPr>
            <w:tcW w:w="2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Build-A-Bear Workshop,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audited the accompanying consolidated balance sheets of Build-A-Bear Workshop, Inc. and Subsidiaries (collectively, the Company) as of January 30, 2021 and February 1, 2020, the related consolidated statements of operations and comprehensive income (loss), stockholders' equity and cash flows for each of the two years in the period ended January 30, 2021,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January 30, 2021 and February 1, 2020, and the results of its operations and its cash flows for each of the two years in the period ended January 30, 2021,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8920" w:type="dxa"/>
            <w:vAlign w:val="bottom"/>
          </w:tcPr>
          <w:p>
            <w:pPr>
              <w:ind w:left="1820"/>
              <w:spacing w:after="0"/>
              <w:rPr>
                <w:sz w:val="20"/>
                <w:szCs w:val="20"/>
                <w:color w:val="auto"/>
              </w:rPr>
            </w:pPr>
            <w:r>
              <w:rPr>
                <w:rFonts w:ascii="Arial" w:cs="Arial" w:eastAsia="Arial" w:hAnsi="Arial"/>
                <w:sz w:val="18"/>
                <w:szCs w:val="18"/>
                <w:b w:val="1"/>
                <w:bCs w:val="1"/>
                <w:color w:val="auto"/>
              </w:rPr>
              <w:t>Revenue recognition - gift card breakage</w:t>
            </w:r>
          </w:p>
        </w:tc>
      </w:tr>
      <w:tr>
        <w:trPr>
          <w:trHeight w:val="418"/>
        </w:trPr>
        <w:tc>
          <w:tcPr>
            <w:tcW w:w="2320" w:type="dxa"/>
            <w:vAlign w:val="bottom"/>
          </w:tcPr>
          <w:p>
            <w:pPr>
              <w:spacing w:after="0"/>
              <w:rPr>
                <w:sz w:val="20"/>
                <w:szCs w:val="20"/>
                <w:color w:val="auto"/>
              </w:rPr>
            </w:pPr>
            <w:r>
              <w:rPr>
                <w:rFonts w:ascii="Arial" w:cs="Arial" w:eastAsia="Arial" w:hAnsi="Arial"/>
                <w:sz w:val="18"/>
                <w:szCs w:val="18"/>
                <w:i w:val="1"/>
                <w:iCs w:val="1"/>
                <w:color w:val="auto"/>
              </w:rPr>
              <w:t>Description of the Matter</w:t>
            </w:r>
          </w:p>
        </w:tc>
        <w:tc>
          <w:tcPr>
            <w:tcW w:w="8920" w:type="dxa"/>
            <w:vAlign w:val="bottom"/>
          </w:tcPr>
          <w:p>
            <w:pPr>
              <w:ind w:left="500"/>
              <w:spacing w:after="0"/>
              <w:rPr>
                <w:sz w:val="20"/>
                <w:szCs w:val="20"/>
                <w:color w:val="auto"/>
              </w:rPr>
            </w:pPr>
            <w:r>
              <w:rPr>
                <w:rFonts w:ascii="Arial" w:cs="Arial" w:eastAsia="Arial" w:hAnsi="Arial"/>
                <w:sz w:val="18"/>
                <w:szCs w:val="18"/>
                <w:color w:val="auto"/>
                <w:w w:val="93"/>
              </w:rPr>
              <w:t>As described in Note 3, for the Company’s gift cards, revenue is deferred for single transactions until redemption.</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w w:val="90"/>
              </w:rPr>
              <w:t>The unredeemed gift cards or breakage revenue is recorded in proportion to the customer’s redemption pattern using</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w w:val="95"/>
              </w:rPr>
              <w:t>an estimated breakage rate based on historical experience. The Company recognized $3.7 million in breakage</w:t>
            </w:r>
          </w:p>
        </w:tc>
      </w:tr>
      <w:tr>
        <w:trPr>
          <w:trHeight w:val="230"/>
        </w:trPr>
        <w:tc>
          <w:tcPr>
            <w:tcW w:w="2320" w:type="dxa"/>
            <w:vAlign w:val="bottom"/>
          </w:tcPr>
          <w:p>
            <w:pPr>
              <w:spacing w:after="0"/>
              <w:rPr>
                <w:sz w:val="20"/>
                <w:szCs w:val="20"/>
                <w:color w:val="auto"/>
              </w:rPr>
            </w:pPr>
          </w:p>
        </w:tc>
        <w:tc>
          <w:tcPr>
            <w:tcW w:w="8920" w:type="dxa"/>
            <w:vAlign w:val="bottom"/>
          </w:tcPr>
          <w:p>
            <w:pPr>
              <w:ind w:left="500"/>
              <w:spacing w:after="0"/>
              <w:rPr>
                <w:sz w:val="20"/>
                <w:szCs w:val="20"/>
                <w:color w:val="auto"/>
              </w:rPr>
            </w:pPr>
            <w:r>
              <w:rPr>
                <w:rFonts w:ascii="Arial" w:cs="Arial" w:eastAsia="Arial" w:hAnsi="Arial"/>
                <w:sz w:val="18"/>
                <w:szCs w:val="18"/>
                <w:color w:val="auto"/>
              </w:rPr>
              <w:t>revenue in 2020.</w:t>
            </w:r>
          </w:p>
        </w:tc>
      </w:tr>
      <w:tr>
        <w:trPr>
          <w:trHeight w:val="432"/>
        </w:trPr>
        <w:tc>
          <w:tcPr>
            <w:tcW w:w="232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Arial" w:cs="Arial" w:eastAsia="Arial" w:hAnsi="Arial"/>
                <w:sz w:val="18"/>
                <w:szCs w:val="18"/>
                <w:color w:val="auto"/>
              </w:rPr>
              <w:t>40</w:t>
            </w:r>
          </w:p>
        </w:tc>
      </w:tr>
      <w:tr>
        <w:trPr>
          <w:trHeight w:val="115"/>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0" w:name="page41"/>
    <w:bookmarkEnd w:id="40"/>
    <w:p>
      <w:pPr>
        <w:jc w:val="both"/>
        <w:ind w:left="2820"/>
        <w:spacing w:after="0" w:line="301" w:lineRule="auto"/>
        <w:rPr>
          <w:sz w:val="20"/>
          <w:szCs w:val="20"/>
          <w:color w:val="auto"/>
        </w:rPr>
      </w:pPr>
      <w:r>
        <w:rPr>
          <w:rFonts w:ascii="Arial" w:cs="Arial" w:eastAsia="Arial" w:hAnsi="Arial"/>
          <w:sz w:val="16"/>
          <w:szCs w:val="16"/>
          <w:color w:val="auto"/>
        </w:rPr>
        <w:t>Auditing the Company’s breakage revenue related to unredeemed gift cards was complex and judgmental due to the complexity of the model and the subjectivity related to the judgments that are made by the Company to estimate the breakage rate. Additionally, due to the magnitude of the Company’s liability for gift cards, changes in expected future redemption patterns could result in significant variations in the amount of breakage revenue recognized.</w:t>
      </w:r>
    </w:p>
    <w:p>
      <w:pPr>
        <w:sectPr>
          <w:pgSz w:w="11900" w:h="16838" w:orient="portrait"/>
          <w:cols w:equalWidth="0" w:num="1">
            <w:col w:w="11240"/>
          </w:cols>
          <w:pgMar w:left="320" w:top="584" w:right="339" w:bottom="1440" w:gutter="0" w:footer="0" w:header="0"/>
        </w:sectPr>
      </w:pP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performed audit procedures that included, among others, evaluating the methodologies, assessing the judgments and testing the completeness and accuracy of the historical data used by the Company in its determination of the breakage rate. In addition, we performed sensitivity analyses over the breakage rate to evaluate the impact changes in breakage rates had on breakage revenue recorded.</w:t>
      </w:r>
    </w:p>
    <w:p>
      <w:pPr>
        <w:spacing w:after="0" w:line="200" w:lineRule="exact"/>
        <w:rPr>
          <w:sz w:val="20"/>
          <w:szCs w:val="20"/>
          <w:color w:val="auto"/>
        </w:rPr>
      </w:pPr>
    </w:p>
    <w:p>
      <w:pPr>
        <w:sectPr>
          <w:pgSz w:w="11900" w:h="16838" w:orient="portrait"/>
          <w:cols w:equalWidth="0" w:num="2">
            <w:col w:w="2380" w:space="440"/>
            <w:col w:w="8420"/>
          </w:cols>
          <w:pgMar w:left="320" w:top="584" w:right="339" w:bottom="1440" w:gutter="0" w:footer="0" w:header="0"/>
          <w:type w:val="continuous"/>
        </w:sectPr>
      </w:pP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Impairment of store assets</w:t>
      </w:r>
    </w:p>
    <w:p>
      <w:pPr>
        <w:sectPr>
          <w:pgSz w:w="11900" w:h="16838" w:orient="portrait"/>
          <w:cols w:equalWidth="0" w:num="1">
            <w:col w:w="11240"/>
          </w:cols>
          <w:pgMar w:left="320" w:top="584" w:right="3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in Note 2, whenever facts and circumstances indicate that the carrying value of long-lived assets and right-of-use operating lease assets may not be recoverable, the carrying value of those assets is reviewed for potential impairment. If this review indicates that the carrying value of the asset will not be recovered, as determined based on projected undiscounted cash flows related to the asset over its remaining life, the carrying value of the asset is reduced to its estimated fair value. During the year ended January 30, 2021, the Company recognized impairment charges totaling $7.3 million, with approximately $3.8 million for right of use operating lease assets and $3.5 million for fixed assets including leasehold improvements and fixtures, furniture and fixtures, machinery and equipment, and construction-in-progress.</w:t>
      </w:r>
    </w:p>
    <w:p>
      <w:pPr>
        <w:spacing w:after="0" w:line="178" w:lineRule="exact"/>
        <w:rPr>
          <w:sz w:val="20"/>
          <w:szCs w:val="20"/>
          <w:color w:val="auto"/>
        </w:rPr>
      </w:pPr>
    </w:p>
    <w:p>
      <w:pPr>
        <w:sectPr>
          <w:pgSz w:w="11900" w:h="16838" w:orient="portrait"/>
          <w:cols w:equalWidth="0" w:num="2">
            <w:col w:w="2100" w:space="720"/>
            <w:col w:w="8420"/>
          </w:cols>
          <w:pgMar w:left="320" w:top="584" w:right="339" w:bottom="1440" w:gutter="0" w:footer="0" w:header="0"/>
          <w:type w:val="continuous"/>
        </w:sectPr>
      </w:pPr>
    </w:p>
    <w:p>
      <w:pPr>
        <w:jc w:val="both"/>
        <w:ind w:left="2820"/>
        <w:spacing w:after="0" w:line="271" w:lineRule="auto"/>
        <w:rPr>
          <w:sz w:val="20"/>
          <w:szCs w:val="20"/>
          <w:color w:val="auto"/>
        </w:rPr>
      </w:pPr>
      <w:r>
        <w:rPr>
          <w:rFonts w:ascii="Arial" w:cs="Arial" w:eastAsia="Arial" w:hAnsi="Arial"/>
          <w:sz w:val="17"/>
          <w:szCs w:val="17"/>
          <w:color w:val="auto"/>
        </w:rPr>
        <w:t>Auditing the Company’s store asset impairment analysis, including right of use operating lease assets, is complex and judgmental due to the estimation required in determining the estimated future cash flows over the remaining useful life of the long-lived assets used to assess recoverability of the store assets (undiscounted) and determining the fair value of the store assets (discounted). The significant assumptions used include estimated future cash flows directly related to the future operation of the stores (including revenue). The significant assumptions used in determining the fair value of the right of use operating lease assets include the market rent for the remaining lease term of the related stores. These assumptions are subjective in nature and are affected by expectations about future market or economic conditions.</w:t>
      </w:r>
    </w:p>
    <w:p>
      <w:pPr>
        <w:sectPr>
          <w:pgSz w:w="11900" w:h="16838" w:orient="portrait"/>
          <w:cols w:equalWidth="0" w:num="1">
            <w:col w:w="11240"/>
          </w:cols>
          <w:pgMar w:left="320" w:top="584" w:right="339" w:bottom="1440" w:gutter="0" w:footer="0" w:header="0"/>
          <w:type w:val="continuous"/>
        </w:sectPr>
      </w:pP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performed audit procedures which included, among other procedures, inspecting the Company’s analysis of historical results to determine if contrary evidence existed as to the completeness of the population of potentially impaired retail stores. Additionally, we evaluated the significant assumptions discussed above used to project the undiscounted and discounted cash flows and to estimate fair value of the right of use operating lease assets. For example, we compared the significant assumptions used by the Company to historical results, current industry and economic trends, changes in the Company’s business model, and other relevant factors. We performed sensitivity analyses of the significant assumptions used by the Company to evaluate the changes in the fair value of the assets of the individual retail stores that would result from changes in the underlying assumptions. We involved our valuation specialists to assist in our evaluation of the fair value estimates specific to evaluating the estimated market rental rates of the individual store leases by comparing them to market rates from comparable leases and available market data.</w:t>
      </w:r>
    </w:p>
    <w:p>
      <w:pPr>
        <w:spacing w:after="0" w:line="200" w:lineRule="exact"/>
        <w:rPr>
          <w:sz w:val="20"/>
          <w:szCs w:val="20"/>
          <w:color w:val="auto"/>
        </w:rPr>
      </w:pPr>
    </w:p>
    <w:p>
      <w:pPr>
        <w:sectPr>
          <w:pgSz w:w="11900" w:h="16838" w:orient="portrait"/>
          <w:cols w:equalWidth="0" w:num="2">
            <w:col w:w="2380" w:space="440"/>
            <w:col w:w="8420"/>
          </w:cols>
          <w:pgMar w:left="320" w:top="584" w:right="339" w:bottom="1440" w:gutter="0" w:footer="0" w:header="0"/>
          <w:type w:val="continuous"/>
        </w:sectPr>
      </w:pPr>
    </w:p>
    <w:p>
      <w:pPr>
        <w:spacing w:after="0" w:line="198"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/s/ Ernst &amp; Young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4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2280"/>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cash equivalents and restricted cash</w:t>
            </w:r>
          </w:p>
        </w:tc>
        <w:tc>
          <w:tcPr>
            <w:tcW w:w="3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26,726</w:t>
            </w: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46,947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53,381</w:t>
            </w:r>
          </w:p>
        </w:tc>
      </w:tr>
      <w:tr>
        <w:trPr>
          <w:trHeight w:val="216"/>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net</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11,526</w:t>
            </w: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8"/>
                <w:szCs w:val="18"/>
                <w:color w:val="auto"/>
              </w:rPr>
            </w:pPr>
          </w:p>
        </w:tc>
      </w:tr>
      <w:tr>
        <w:trPr>
          <w:trHeight w:val="210"/>
        </w:trPr>
        <w:tc>
          <w:tcPr>
            <w:tcW w:w="43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98,750</w:t>
            </w: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 net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80" w:type="dxa"/>
        <w:tblCellMar>
          <w:top w:w="0" w:type="dxa"/>
          <w:left w:w="0" w:type="dxa"/>
          <w:bottom w:w="0" w:type="dxa"/>
          <w:right w:w="0" w:type="dxa"/>
        </w:tblCellMar>
      </w:tblPr>
      <w:tr>
        <w:trPr>
          <w:trHeight w:val="216"/>
        </w:trPr>
        <w:tc>
          <w:tcPr>
            <w:tcW w:w="1120" w:type="dxa"/>
            <w:vAlign w:val="bottom"/>
          </w:tcPr>
          <w:p>
            <w:pPr>
              <w:jc w:val="right"/>
              <w:ind w:right="430"/>
              <w:spacing w:after="0"/>
              <w:rPr>
                <w:sz w:val="20"/>
                <w:szCs w:val="20"/>
                <w:color w:val="auto"/>
              </w:rPr>
            </w:pPr>
            <w:r>
              <w:rPr>
                <w:rFonts w:ascii="Arial" w:cs="Arial" w:eastAsia="Arial" w:hAnsi="Arial"/>
                <w:sz w:val="18"/>
                <w:szCs w:val="18"/>
                <w:color w:val="auto"/>
                <w:w w:val="89"/>
              </w:rPr>
              <w:t>104,825</w:t>
            </w:r>
          </w:p>
        </w:tc>
        <w:tc>
          <w:tcPr>
            <w:tcW w:w="1140" w:type="dxa"/>
            <w:vAlign w:val="bottom"/>
          </w:tcPr>
          <w:p>
            <w:pPr>
              <w:jc w:val="right"/>
              <w:spacing w:after="0"/>
              <w:rPr>
                <w:sz w:val="20"/>
                <w:szCs w:val="20"/>
                <w:color w:val="auto"/>
              </w:rPr>
            </w:pPr>
            <w:r>
              <w:rPr>
                <w:rFonts w:ascii="Arial" w:cs="Arial" w:eastAsia="Arial" w:hAnsi="Arial"/>
                <w:sz w:val="18"/>
                <w:szCs w:val="18"/>
                <w:color w:val="auto"/>
              </w:rPr>
              <w:t>126,144</w:t>
            </w:r>
          </w:p>
        </w:tc>
      </w:tr>
      <w:tr>
        <w:trPr>
          <w:trHeight w:val="230"/>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52,973</w:t>
            </w:r>
          </w:p>
        </w:tc>
        <w:tc>
          <w:tcPr>
            <w:tcW w:w="1140" w:type="dxa"/>
            <w:vAlign w:val="bottom"/>
          </w:tcPr>
          <w:p>
            <w:pPr>
              <w:jc w:val="right"/>
              <w:spacing w:after="0"/>
              <w:rPr>
                <w:sz w:val="20"/>
                <w:szCs w:val="20"/>
                <w:color w:val="auto"/>
              </w:rPr>
            </w:pPr>
            <w:r>
              <w:rPr>
                <w:rFonts w:ascii="Arial" w:cs="Arial" w:eastAsia="Arial" w:hAnsi="Arial"/>
                <w:sz w:val="18"/>
                <w:szCs w:val="18"/>
                <w:color w:val="auto"/>
              </w:rPr>
              <w:t>65,855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-273685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740" w:hanging="1328"/>
        <w:spacing w:after="0"/>
        <w:tabs>
          <w:tab w:leader="none" w:pos="2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3,411</w:t>
      </w:r>
    </w:p>
    <w:p>
      <w:pPr>
        <w:spacing w:after="0" w:line="43"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8"/>
          <w:szCs w:val="18"/>
          <w:color w:val="auto"/>
        </w:rPr>
        <w:t>3,381</w:t>
      </w:r>
      <w:r>
        <w:rPr>
          <w:rFonts w:ascii="Arial" w:cs="Arial" w:eastAsia="Arial" w:hAnsi="Arial"/>
          <w:sz w:val="16"/>
          <w:szCs w:val="16"/>
          <w:color w:val="auto"/>
        </w:rPr>
        <w:t>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888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tabs>
          <w:tab w:leader="none" w:pos="860" w:val="left"/>
          <w:tab w:leader="none" w:pos="1660" w:val="left"/>
          <w:tab w:leader="none" w:pos="2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261,372</w:t>
        <w:tab/>
        <w:t>$</w:t>
      </w:r>
      <w:r>
        <w:rPr>
          <w:sz w:val="20"/>
          <w:szCs w:val="20"/>
          <w:color w:val="auto"/>
        </w:rPr>
        <w:tab/>
      </w:r>
      <w:r>
        <w:rPr>
          <w:rFonts w:ascii="Arial" w:cs="Arial" w:eastAsia="Arial" w:hAnsi="Arial"/>
          <w:sz w:val="16"/>
          <w:szCs w:val="16"/>
          <w:color w:val="auto"/>
        </w:rPr>
        <w:t>297,262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-121920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17,901</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17,551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16,536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 short term</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Gift cards and customer deposits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20,231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and other</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89,328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85,964</w:t>
            </w:r>
          </w:p>
        </w:tc>
      </w:tr>
      <w:tr>
        <w:trPr>
          <w:trHeight w:val="209"/>
        </w:trPr>
        <w:tc>
          <w:tcPr>
            <w:tcW w:w="80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lease liability long term</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101,462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119,625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r>
      <w:tr>
        <w:trPr>
          <w:trHeight w:val="216"/>
        </w:trPr>
        <w:tc>
          <w:tcPr>
            <w:tcW w:w="8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par value $0.01, Shares authorized: 15,000,000; No shares issued or outstanding at January</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2021 and February 1, 2020</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4"/>
              </w:rPr>
              <w:t>Common stock, par value $0.01, Shares authorized: 50,000,000; Issued and outstanding: 15,930,958 and</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15,205,981 shares,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70,633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(12,079)</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88,631</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297,262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January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February 1,</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249,210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323,491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255,310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338,543</w:t>
            </w:r>
          </w:p>
        </w:tc>
      </w:tr>
      <w:tr>
        <w:trPr>
          <w:trHeight w:val="209"/>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retail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147,783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176,652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commercial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5,432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merchandise sold - international franchising</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cost of merchandise sold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153,623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117,585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152,047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(20,186)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(22,983)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(23,584)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income per common share: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(1.54)</w:t>
            </w: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0.02</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14,923,304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14,711,334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14,923,304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14,759,810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stock</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income (loss)</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February 2, 2019</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94,314</w:t>
            </w:r>
          </w:p>
        </w:tc>
      </w:tr>
      <w:tr>
        <w:trPr>
          <w:trHeight w:val="197"/>
        </w:trPr>
        <w:tc>
          <w:tcPr>
            <w:tcW w:w="322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w w:val="93"/>
              </w:rPr>
              <w:t>Shares issued under employee stock plans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Adoption of new accounting standard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3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Balance, February 1, 2020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70,633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88,631</w:t>
            </w:r>
          </w:p>
        </w:tc>
      </w:tr>
      <w:tr>
        <w:trPr>
          <w:trHeight w:val="20"/>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issued under employee stock plans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(22,983)</w:t>
            </w: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30, 2021</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67,308</w:t>
            </w:r>
          </w:p>
        </w:tc>
      </w:tr>
      <w:tr>
        <w:trPr>
          <w:trHeight w:val="432"/>
        </w:trPr>
        <w:tc>
          <w:tcPr>
            <w:tcW w:w="3220" w:type="dxa"/>
            <w:vAlign w:val="bottom"/>
          </w:tcPr>
          <w:p>
            <w:pPr>
              <w:spacing w:after="0"/>
              <w:rPr>
                <w:sz w:val="24"/>
                <w:szCs w:val="24"/>
                <w:color w:val="auto"/>
              </w:rPr>
            </w:pPr>
          </w:p>
        </w:tc>
        <w:tc>
          <w:tcPr>
            <w:tcW w:w="5480" w:type="dxa"/>
            <w:vAlign w:val="bottom"/>
            <w:gridSpan w:val="10"/>
          </w:tcPr>
          <w:p>
            <w:pPr>
              <w:jc w:val="right"/>
              <w:ind w:right="86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January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February 1,</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(22,983)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Share-based and performance-based stock compensation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2,877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Impairment of right-of-use assets and fixed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doubtful accounts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Loss/(Gain) on disposal of property and equipment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6,785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5,053</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5,839</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r>
      <w:tr>
        <w:trPr>
          <w:trHeight w:val="210"/>
        </w:trPr>
        <w:tc>
          <w:tcPr>
            <w:tcW w:w="80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(12,384)</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(5,046)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(12,384)</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Shares returned for taxes withheld related to restricted stock awards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34,840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26,726</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Reconciliation of cash, cash equivalents and restricted cash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33,142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25,057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from long-term deposits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34,840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26,726</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cash paid (received) during the period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0" w:right="1980" w:hanging="3392"/>
        <w:spacing w:after="0" w:line="530"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cash, cash equivalents and restricted cash in Note 2 - Summary of Significant Accounting Policies for further discussion.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3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jc w:val="both"/>
        <w:ind w:left="20" w:firstLine="486"/>
        <w:spacing w:after="0" w:line="279" w:lineRule="auto"/>
        <w:rPr>
          <w:sz w:val="20"/>
          <w:szCs w:val="20"/>
          <w:color w:val="auto"/>
        </w:rPr>
      </w:pPr>
      <w:r>
        <w:rPr>
          <w:rFonts w:ascii="Arial" w:cs="Arial" w:eastAsia="Arial" w:hAnsi="Arial"/>
          <w:sz w:val="17"/>
          <w:szCs w:val="17"/>
          <w:color w:val="auto"/>
        </w:rPr>
        <w:t>Build-A-Bear Workshop, Inc. and subsidiaries (collectively, the “Company”) is a multi-channel retailer of plush animals and related products. The Company began operations in October 1997. The Company sells its products through its 354 corporately-managed locations operated primarily in leased mall locations in the U.S., Canada, China, Ireland, and the U.K. along with its e-commerce sites. With the exception of China, operations in foreign countries where the Company does not have corporately-managed locations are through franchise agreements.</w:t>
      </w:r>
    </w:p>
    <w:p>
      <w:pPr>
        <w:spacing w:after="0" w:line="171" w:lineRule="exact"/>
        <w:rPr>
          <w:sz w:val="20"/>
          <w:szCs w:val="20"/>
          <w:color w:val="auto"/>
        </w:rPr>
      </w:pPr>
    </w:p>
    <w:p>
      <w:pPr>
        <w:jc w:val="both"/>
        <w:ind w:left="20" w:right="20" w:firstLine="486"/>
        <w:spacing w:after="0" w:line="311" w:lineRule="auto"/>
        <w:rPr>
          <w:sz w:val="20"/>
          <w:szCs w:val="20"/>
          <w:color w:val="auto"/>
        </w:rPr>
      </w:pPr>
      <w:r>
        <w:rPr>
          <w:rFonts w:ascii="Arial" w:cs="Arial" w:eastAsia="Arial" w:hAnsi="Arial"/>
          <w:sz w:val="16"/>
          <w:szCs w:val="16"/>
          <w:color w:val="auto"/>
        </w:rPr>
        <w:t>The Company’s consolidated financial statements have been prepared in accordance U.S. GAAP. Certain amounts in prior fiscal periods have been reclassified to conform to current year presentation with no impact to the consolidated statement of operations and comprehensive income (loss) (e.g., store preopening is included within selling, general and administrative and store impairment is disclosed separately from cost of merchandise sold - retail).</w:t>
      </w:r>
    </w:p>
    <w:p>
      <w:pPr>
        <w:spacing w:after="0" w:line="388" w:lineRule="exact"/>
        <w:rPr>
          <w:sz w:val="20"/>
          <w:szCs w:val="20"/>
          <w:color w:val="auto"/>
        </w:rPr>
      </w:pPr>
    </w:p>
    <w:p>
      <w:pPr>
        <w:ind w:left="460" w:hanging="43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For each accounting topic that is addressed in its own note, the description of the accounting policy may be found in the related note. The Company’s other significant accounting policies applied in the preparation of the accompanying consolidated financial statements are as follows: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2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jc w:val="both"/>
        <w:ind w:left="20" w:firstLine="441"/>
        <w:spacing w:after="0" w:line="263" w:lineRule="auto"/>
        <w:rPr>
          <w:sz w:val="20"/>
          <w:szCs w:val="20"/>
          <w:color w:val="auto"/>
        </w:rPr>
      </w:pPr>
      <w:r>
        <w:rPr>
          <w:rFonts w:ascii="Arial" w:cs="Arial" w:eastAsia="Arial" w:hAnsi="Arial"/>
          <w:sz w:val="18"/>
          <w:szCs w:val="18"/>
          <w:color w:val="auto"/>
        </w:rPr>
        <w:t>The Company operates on a 52- or 53-week fiscal year ending on the Saturday closest to January 31. The periods presented in these financial statements are fiscal 2020 (52 weeks ended January 30, 2021) and fiscal 2019 (52 weeks ended February 1, 2020). References to years in these financial statements relate to fiscal years or year ends rather than calendar years.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jc w:val="both"/>
        <w:ind w:left="20" w:firstLine="441"/>
        <w:spacing w:after="0" w:line="273" w:lineRule="auto"/>
        <w:rPr>
          <w:sz w:val="20"/>
          <w:szCs w:val="20"/>
          <w:color w:val="auto"/>
        </w:rPr>
      </w:pPr>
      <w:r>
        <w:rPr>
          <w:rFonts w:ascii="Arial" w:cs="Arial" w:eastAsia="Arial" w:hAnsi="Arial"/>
          <w:sz w:val="17"/>
          <w:szCs w:val="17"/>
          <w:color w:val="auto"/>
        </w:rPr>
        <w:t>Cash and cash equivalents include cash and short-term highly liquid investments with an original maturity of three months or less held in both domestic and foreign financial institutions. In addition, the Company has long-term deposits at multiple institutions to satisfy contractual terms with one landlord in China and the UK Customs Authority (unrelated to the matter discussed in Note 10 - Commitments and Contingencies). The Company also has deposits from franchisees under contractual agreements which are refundable. The long-term and franchisee deposits are considered restricted cash and disclosed within the supplemental disclosure within the condensed consolidated statement of cash flows. The change in the balance of these deposits from fiscal 2019 to fiscal 2020 is the result of the foreign currency remeasurement of the British Pound.</w:t>
      </w:r>
    </w:p>
    <w:p>
      <w:pPr>
        <w:spacing w:after="0" w:line="178" w:lineRule="exact"/>
        <w:rPr>
          <w:sz w:val="20"/>
          <w:szCs w:val="20"/>
          <w:color w:val="auto"/>
        </w:rPr>
      </w:pPr>
    </w:p>
    <w:p>
      <w:pPr>
        <w:jc w:val="both"/>
        <w:ind w:left="20" w:firstLine="441"/>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left="20" w:firstLine="441"/>
        <w:spacing w:after="0" w:line="311" w:lineRule="auto"/>
        <w:rPr>
          <w:sz w:val="20"/>
          <w:szCs w:val="20"/>
          <w:color w:val="auto"/>
        </w:rPr>
      </w:pPr>
      <w:r>
        <w:rPr>
          <w:rFonts w:ascii="Arial" w:cs="Arial" w:eastAsia="Arial" w:hAnsi="Arial"/>
          <w:sz w:val="16"/>
          <w:szCs w:val="16"/>
          <w:color w:val="auto"/>
        </w:rPr>
        <w:t>Inventories are stated at the lower of cost or net realizable value, with cost determined on an average-cost basis. Inventory includes supplies of $2.8 million and $3.2 million as of January 30, 2021 and February 1, 2020, respectively. A reserve for estimated shortage is accrued throughout the year based on detailed historical averages. The inventory reserve was $1.0 million and $0.8 million as of January 30, 2021 and February 1, 2020, respectively.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jc w:val="both"/>
        <w:ind w:left="20" w:firstLine="441"/>
        <w:spacing w:after="0" w:line="289"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$7.4 million and $6.3 million as of January 30, 2021 and February 1, 2020, respectively. The Company's receivable balance as of January 30, 2021 also included expected reimbursement of expenses through COVID-19 related government programs from taxing authorities for payroll paid to employees who were paid while not providing services to the Company of $1.2 million covering both the United States and the United Kingdom. Additionally, the January 30, 2021, receivables balance included $0.8 million related to business grants received from the United Kingdom government for businesses in the retail, hospitality and leisure sectors. Refer to the "Government Grant" policy below for further discussion of the effects of such grants on the Condensed Consolidated Statement of Operations and Comprehensive Income (Loss).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20" w:firstLine="441"/>
        <w:spacing w:after="0" w:line="271"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120" w:firstLine="486"/>
        <w:spacing w:after="0" w:line="289" w:lineRule="auto"/>
        <w:rPr>
          <w:sz w:val="20"/>
          <w:szCs w:val="20"/>
          <w:color w:val="auto"/>
        </w:rPr>
      </w:pPr>
      <w:r>
        <w:rPr>
          <w:rFonts w:ascii="Arial" w:cs="Arial" w:eastAsia="Arial" w:hAnsi="Arial"/>
          <w:sz w:val="16"/>
          <w:szCs w:val="16"/>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five to ten-year base period and the term can be extended on a lease-by-lease basis with additional terms that are typically much shorter than the original lease term giving the Company lease optionality.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 These incentives reduce the right-of-use asset related to the lease and are amortized through the right-of-use asset as reductions of expense over the lease term.</w:t>
      </w:r>
    </w:p>
    <w:p>
      <w:pPr>
        <w:spacing w:after="0" w:line="166" w:lineRule="exact"/>
        <w:rPr>
          <w:sz w:val="20"/>
          <w:szCs w:val="20"/>
          <w:color w:val="auto"/>
        </w:rPr>
      </w:pPr>
    </w:p>
    <w:p>
      <w:pPr>
        <w:jc w:val="both"/>
        <w:ind w:right="140" w:firstLine="486"/>
        <w:spacing w:after="0" w:line="293" w:lineRule="auto"/>
        <w:rPr>
          <w:sz w:val="20"/>
          <w:szCs w:val="20"/>
          <w:color w:val="auto"/>
        </w:rPr>
      </w:pPr>
      <w:r>
        <w:rPr>
          <w:rFonts w:ascii="Arial" w:cs="Arial" w:eastAsia="Arial" w:hAnsi="Arial"/>
          <w:sz w:val="16"/>
          <w:szCs w:val="16"/>
          <w:color w:val="auto"/>
        </w:rPr>
        <w:t>The Company's leases typically contain rent escalations over the lease term and the Company recognizes expense for these leases on a straight-line basis over the lease term. The Company recognizes the related rental expense on a straight-line basis and records the difference between the recognized rental expense and amounts payable under the lease as part of the lease right-of-use asset. Some of the Company's leases include rent escalations based on inflation indexes and fair market value adjustments. Certain leases contain contingent rental provisions that include a fixed base rent plus an additional percentage of the store’s sales in excess of stipulated amounts. Operating lease liabilities are calculated using the prevailing index or rate at lease commencement. Subsequent escalations in the index or rate and contingent rental payments are recognized as variable lease expenses.</w:t>
      </w:r>
    </w:p>
    <w:p>
      <w:pPr>
        <w:spacing w:after="0" w:line="164"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For leases entered into or reassessed after the adoption of the new standard,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11" w:right="339" w:bottom="1440" w:gutter="0" w:footer="0" w:header="0"/>
        </w:sectPr>
      </w:pPr>
    </w:p>
    <w:bookmarkStart w:id="47" w:name="page48"/>
    <w:bookmarkEnd w:id="47"/>
    <w:p>
      <w:pPr>
        <w:jc w:val="both"/>
        <w:ind w:firstLine="486"/>
        <w:spacing w:after="0" w:line="259" w:lineRule="auto"/>
        <w:rPr>
          <w:sz w:val="20"/>
          <w:szCs w:val="20"/>
          <w:color w:val="auto"/>
        </w:rPr>
      </w:pPr>
      <w:r>
        <w:rPr>
          <w:rFonts w:ascii="Arial" w:cs="Arial" w:eastAsia="Arial" w:hAnsi="Arial"/>
          <w:sz w:val="18"/>
          <w:szCs w:val="18"/>
          <w:color w:val="auto"/>
        </w:rPr>
        <w:t>Most of the Company’s leases do not provide a readily available implicit interest rate. Therefore, the Company estimates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adjust the estimate of the incremental borrowing rate.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Other assets consist primarily of the non-current portion of prepaid income taxes and deferred costs related to franchise agreements, financing agreements, and film production. Deferred franchise costs are initial costs related to the Company’s franchise agreements that are deferred and amortized over the life of the respective franchise agreement. Deferred financing costs are the initial issuance costs and fees incurred in obtaining the Company's new credit agreement. The Company had no outstanding borrowings at the beginning of the facility, therefore these costs and fees were recorded as a deferred asset and will be amortized over the length of the five-year agreement. Film production costs include capitalizable direct costs, production overhead, interest and development costs and are stated at the lower of cost, less accumulated amortization, or fair value. Film production costs are expensed over the applicable product life cycle based on the ratio of the current period's revenues to estimated remaining total revenues (Ultimate Revenues) for each production and assessed for impairment.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Whenever facts and circumstances indicate that the carrying value of a long-lived asset (asset group) and right-of-use operating lease assets may not be recoverable, the carrying value of those assets is reviewed for potential impairment. If this review indicates that the carrying value of the asset (asset group) will not be recovered, as determined based on projected undiscounted cash flows related to the asset (asset group) over its remaining life, the carrying value of the asset (asset group) is reduced to its estimated fair value. The Company typically performs an annual assessment of its store assets in the DTC segment, based on operating performance and forecasts of future performance. For the purposes of evaluating store assets for impairment, the Company has determined that each store location is an asset group, inclusive of the right-of-use asset attributable to each store. As a result of COVID-19, the Company experienced lower than projected revenues and identified indicators of impairment for its store fleet during fiscal 2020. The Company performed the recoverability test for these assets by comparing the estimated undiscounted future cash flows over the remaining useful life of the asset (asset group) to the carry value of the asset (asset group) and determined that certain stores had long-lived and right-of-use assets with carrying values that exceeded their estimated undiscounted future cash flows for the remaining useful life of the respective assets. An impairment charge was recognized to the extent the carrying value exceeded the fair value of the asset (asset group).</w:t>
      </w:r>
    </w:p>
    <w:p>
      <w:pPr>
        <w:spacing w:after="0" w:line="18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 estimated fair values of these long-lived assets based on its discounted future cash flows for the remaining useful life of the asset. The Company's analysis indicated that the carrying values of certain of its long-lived assets exceeded their respective fair values determined by discounted future cash flow analysis or market rent assessment. For operating lease assets, the Company determines the fair value of the assets by comparing the contractual rent payments to estimated market rental rates. An individual asset within an asset group is not impaired below its estimated fair value. As a result, for the period ending January 30, 2021, the Company recognized impairment charges totaling $7.3 million, with approximately $3.8 million for right-of-use operating lease assets and $3.5 million for fixed assets including leasehold improvements and fixtures, furniture and fixtures, machinery and equipment, and construction-in-progress. These charges are recorded in Store asset impairment within the Consolidated Statement of Operations and Comprehensive Income (Loss). These impairment charges were primarily driven by lower than projected revenues, the effect of temporary store closures, and the decline in market rents. The majority of the impairment was recorded for assets associated with stores in North America and the United Kingdom. The Company recorded total impairment charges for fiscal 2019 of $5.9 million on right-of-use assets into retained earnings as a result of the adoption of ASC 842, Leases.</w:t>
      </w:r>
    </w:p>
    <w:p>
      <w:pPr>
        <w:spacing w:after="0" w:line="18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determination of estimated market rent used in the fair value estimate of the Company’s operating lease assets included within the respective store asset group requires significant management judgment. Changes in these estimates could have a significant impact on whether long-lived store assets should be further evaluated for impairment and could have a significant impact on the resulting impairment charge. The significant estimates, all of which are considered Level 3 inputs, used in the fair value methodology include: the Company’s expectations for future operations and projected cash flows, including revenues, operating expenses including market rents, and market conditions.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 Revenue for additional accounting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Cost of merchandise sold - retail includes the cost of the merchandise, including royalties paid to licensors of third-party branded merchandise; store occupancy cost, including store depreciation and store asset impairment charges (See the "Long-lived Assets" policy above discussion regarding the impairment of long-lived assets); cost of warehousing and distribution; packaging; stuffing; damages and shortages; and shipping and handling costs incurred in shipment to customers.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customers.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In addition, bad debt expenses and accounts receivable related charges are recorded. Further, it includes store preopening expenses which represent costs incurred prior to store openings, remodels and relocations including certain store set-up, labor and hiring costs, rental charges, payroll, marketing, travel and relocation costs.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$8.1 million and $12.2 million for fiscal years 2020 and 2019,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As a result of the COVID-19 pandemic, governments enacted relief legislation and stimulus packages to help combat the economic effects of the pandemic through such things as payroll expense reimbursement and business grants. Due to the nature of these grants relating to income, they can be presented in one of two ways: (1) a credit in the income statement under a general heading such as "other income" or (2) as a reduction to the related expense. The Company applied for reimbursement of payroll expenses in certain jurisdictions through COVID-19 related government programs for payroll paid to employees who were paid while not providing services to the Company and for business grants from the United Kingdom government for businesses in the retail, hospitality and leisure sectors</w:t>
      </w:r>
      <w:r>
        <w:rPr>
          <w:rFonts w:ascii="Arial" w:cs="Arial" w:eastAsia="Arial" w:hAnsi="Arial"/>
          <w:sz w:val="16"/>
          <w:szCs w:val="16"/>
          <w:i w:val="1"/>
          <w:iCs w:val="1"/>
          <w:color w:val="auto"/>
        </w:rPr>
        <w:t>.</w:t>
      </w:r>
      <w:r>
        <w:rPr>
          <w:rFonts w:ascii="Arial" w:cs="Arial" w:eastAsia="Arial" w:hAnsi="Arial"/>
          <w:sz w:val="16"/>
          <w:szCs w:val="16"/>
          <w:color w:val="auto"/>
        </w:rPr>
        <w:t xml:space="preserve"> The payroll reimbursement programs require the Company to apply to the government for reimbursement of wages based on the applicable laws and programs within each jurisdiction. Through review of and application to these programs, the Company believes it qualified and continues to qualify for such reimbursement and expects that the expenses will be reimbursed. As a result, the Company recorded a reduction to expenses of $4.2 million for fiscal 2020 related to these wages within the Selling, general and administrative line in the Condensed Consolidated Statement of Operations and Comprehensive Income (Loss). Regarding business grants in the United Kingdom for businesses in the retail, hospitality and leisure sectors, the grants were applied for on a per-property basis to support businesses through the latest lockdown restrictions as a result of the pandemic. These grants did not relate to specific expenses incurred by the Company and were therefore recorded as "other income" of $0.8 million within the Selling, general and administrative line in the Condensed Consolidated Statement of Operations and Comprehensive Income (Loss).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9" w:name="page50"/>
    <w:bookmarkEnd w:id="49"/>
    <w:p>
      <w:pPr>
        <w:jc w:val="both"/>
        <w:ind w:firstLine="486"/>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assesses its total liability for uncertain tax positions on a quarterly basis. The Company recognizes estimated interest and penalties related to unrecognized tax benefits in income tax expense. See Note 8—Income Taxes for further discussion.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Per Share</w:t>
      </w:r>
    </w:p>
    <w:p>
      <w:pPr>
        <w:spacing w:after="0" w:line="225"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Under the two-class method, basic income per share is determined by dividing net income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Company has share-based compensation plans covering certain management groups and its Board of Directors. The Company accounts for share-based payments utilizing the fair value recognition provisions of ASC 718. The Company recognizes compensation cost for equity awards over the requisite service period for the entire award and forfeitures as they occur. See Note 12 — Stock Incentive Plans for additional information.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income (loss) is comprised of net income (loss) and foreign currency translation adjustments.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The Company maintains a Deferred Compensation Plan for the benefit of certain management employees. The investment funds offered to the participant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January 30, 2021, the current portions of the assets and related liabilities of $0.4 million are presented in prepaid expenses and other current assets and accrued expenses in the accompanying consolidated balance sheets, and the non-current portions of the assets and the related liabilities of $0.9 million are presented in other assets, net and other liabilities in the accompanying consolidated balance sheets. As of February 1, 2020, the current portions of the assets and related liabilities of $0.1 million are presented in prepaid expenses and other current assets and accrued expenses in the accompanying consolidated balance sheets, and the non-current portions of the assets and the related liabilities of $1.3 million are presented in other assets, net and other liabilities in the accompanying consolidated balance sheets.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For purposes of financial reporting, management has determined that the fair value of financial instruments, including cash, cash equivalents and restricted cash, receivables, short term investments, accounts payable and accrued expenses, approximates book value at January 30, 2021 and February 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 Significant items subject to such estimates and assumptions include the calculation of revenue from gift card breakage, valuation of long-lived assets, including deferred income tax assets, and the determination of deferred revenue under the Company’s customer loyalty program.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gain of $0.6 million and a loss of $0.1 million related to foreign currency in fiscal 2020 and 2019, respectively.</w:t>
      </w: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 – Adopted in the current year</w:t>
      </w:r>
    </w:p>
    <w:p>
      <w:pPr>
        <w:spacing w:after="0" w:line="19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March 2020, the FASB issued ASU No. 2020-03, "Codification Improvements." This ASU does not prescribe any new accounting guidance, but instead makes minor improvements and clarifications of several different FASB Accounting Standards Codification areas based on comments and suggestions made by various stakeholders. Certain updates are applicable immediately while others provided for a transition period to adopt as part of the adoption of ASU No. 2016-13, "Financial Instruments-Credit Losses (Topic 326): Measurement of Credit Losses on Financial Statements." The Company adopted the updates, as applicable in 2020, and this adoption did not have a material impact on its consolidated financial statements.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 – Pending adoption</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 the Company is currently filing as a Smaller Reporting Company, this ASU is not effective until the fiscal year beginning after December 15, 2022. The Company is currently evaluating the impact the adoption of this ASU will have on its consolidated financial statements.</w:t>
      </w:r>
    </w:p>
    <w:p>
      <w:pPr>
        <w:spacing w:after="0" w:line="19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which simplifies the accounting for income taxes by eliminating certain exceptions related to intraperiod tax allocation, simplifies certain elements of accounting for basis differences and deferred tax liabilities during a business combination, and standardizes the classification of franchise taxes. The ASU is effective for fiscal years beginning after December 15, 2020, including interim periods within those fiscal years, and early adoption is permitted. The Company will adopt this ASU effective January 31, 2021. The adoption of this ASU is not expected to have a significant impact to our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1" w:name="page52"/>
    <w:bookmarkEnd w:id="51"/>
    <w:p>
      <w:pPr>
        <w:jc w:val="both"/>
        <w:ind w:firstLine="486"/>
        <w:spacing w:after="0" w:line="254" w:lineRule="auto"/>
        <w:rPr>
          <w:sz w:val="20"/>
          <w:szCs w:val="20"/>
          <w:color w:val="auto"/>
        </w:rPr>
      </w:pPr>
      <w:r>
        <w:rPr>
          <w:rFonts w:ascii="Arial" w:cs="Arial" w:eastAsia="Arial" w:hAnsi="Arial"/>
          <w:sz w:val="18"/>
          <w:szCs w:val="18"/>
          <w:color w:val="auto"/>
        </w:rPr>
        <w:t>In March 2020 and January 2021, the FASB issued ASU 2020-04, "Reference Rate Reform (Topic 848): Facilitation of the Effects of Reference Rate Reform on Financial Reporting" and ASU 2021-01, "Reference Rate Reform (Topic 848): Scope", respectively. ASU 2020-04 and ASU 2021-01 provide optional expedients and exceptions for applying U.S. GAAP to contracts, hedging relationships, and other transactions that reference the London Interbank Offered Rate or another reference rate expected to be discontinued because of reference rate reform, if certain criteria are met. The guidance in ASU 2020-04 and ASU 2021-01 was effective upon issuance and, once adopted, may be applied prospectively to contract modifications and hedging relationships through December 31, 2022. The Company is currently evaluating the impact of the adoption of ASU 2020-04 and ASU 2021-01 on its consolidated financial statements.</w:t>
      </w:r>
    </w:p>
    <w:p>
      <w:pPr>
        <w:spacing w:after="0" w:line="19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November 2020, the SEC issued Rule 33-10890, “Management’s Discussion and Analysis, Selected Financial Data, and Supplementary Financial Information.” Registrants are required to apply the amended rules for their first fiscal year ending on or after August 9, 2021 and could be early adopted in its entirety as of February 10, 2021. This rule is effective for the Company's Annual Report on Form 10-K for the year ended January 29, 2022. The rule modernized, simplified and enhanced financial statement disclosures required by Regulation S-K. The Company will adopt this rule for its Annual Report on Form 10-K for the year ended January 29, 2022.</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reviewed all other recently issued, but not yet effective, accounting pronouncements and do not expect the future adoption of any such pronouncements will have a material impact on our financial condition or the results of our operations.</w:t>
      </w:r>
    </w:p>
    <w:p>
      <w:pPr>
        <w:spacing w:after="0" w:line="19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Nearly all of the Company’s revenue is derived from retail sales (including e-commerce sites) and is recognized when control of the merchandise is transferred to the customer. The Company accounts for revenue in accordance with Topic 606. The Company's disaggregated revenue is fully disclosed as net sales to external customers by reporting segment and by geographic area (See Note 15 — Segment Information for additional information). The Company's direct-to-consumer reporting segment represents nearly 98% of consolidated revenue. The majority of these sales transactions are single performance obligations that are recorded when control is transferred to the customer.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principal activities from which the Company generates its revenue, by reportable segment.</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 add and other taxes paid by its customers.</w:t>
      </w:r>
    </w:p>
    <w:p>
      <w:pPr>
        <w:spacing w:after="0" w:line="192"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pattern using an estimated breakage rate based on historical experience. Breakage rates are calculated annually at the end of the fiscal year and are used to record gift card breakage over the next fiscal year until the annual breakage rate update is performed. In regard to the consolidated balance sheet, contract liabilities for gift cards are classified as gift cards and customer deposits.</w:t>
      </w:r>
    </w:p>
    <w:p>
      <w:pPr>
        <w:spacing w:after="0" w:line="192"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During 2020, the Company experienced lower redemptions of its gift cards as a result of the COVID-19 pandemic for all periods of outstanding activated cards. The redemption patterns used to determine the gift card breakage rate, especially in the first year after gift card purchase, currently cards sold in 2019 and 2020, resulted in changes to the breakage rate. The Company does not believe that the redemption pattern experienced in fiscal 2020 reflects the pattern in the future and has adjusted the breakage rates to exclude certain current year activity. As a result, the recognition of breakage revenue could be impacted in future periods. Further, given the magnitude of the Company's gift card liability, the changes in breakage rates could have a significant impact on the amount of breakage revenue recognized in future periods.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2" w:name="page53"/>
    <w:bookmarkEnd w:id="52"/>
    <w:p>
      <w:pPr>
        <w:jc w:val="both"/>
        <w:ind w:firstLine="441"/>
        <w:spacing w:after="0" w:line="270" w:lineRule="auto"/>
        <w:rPr>
          <w:sz w:val="20"/>
          <w:szCs w:val="20"/>
          <w:color w:val="auto"/>
        </w:rPr>
      </w:pPr>
      <w:r>
        <w:rPr>
          <w:rFonts w:ascii="Arial" w:cs="Arial" w:eastAsia="Arial" w:hAnsi="Arial"/>
          <w:sz w:val="17"/>
          <w:szCs w:val="17"/>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monthly for those loyalty program members who have earned 100 or more points in the previous month with certifications historically expiring in three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The Company’s commercial segment includes transactions with other businesses and are mainly comprised of licensing the Company’s intellectual properties for third-party use and wholesale sales of merchandise,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as licensee sales occur over the guarantee term until such time as royalties earned through licensee sales exceed the minimum guarantee. The Company classifies these guaranteed minimum contract liabilities as deferred revenue and other on the consolidated balance sheet.</w:t>
      </w:r>
    </w:p>
    <w:p>
      <w:pPr>
        <w:spacing w:after="0" w:line="17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10"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presents information related to the lease costs for operating leases for the full year ended February 1, 2020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200" w:type="dxa"/>
            <w:vAlign w:val="bottom"/>
            <w:gridSpan w:val="4"/>
          </w:tcPr>
          <w:p>
            <w:pPr>
              <w:ind w:left="178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January 30, 2021</w:t>
            </w:r>
          </w:p>
        </w:tc>
        <w:tc>
          <w:tcPr>
            <w:tcW w:w="3600" w:type="dxa"/>
            <w:vAlign w:val="bottom"/>
            <w:gridSpan w:val="2"/>
          </w:tcPr>
          <w:p>
            <w:pPr>
              <w:ind w:left="580"/>
              <w:spacing w:after="0"/>
              <w:rPr>
                <w:sz w:val="20"/>
                <w:szCs w:val="20"/>
                <w:color w:val="auto"/>
              </w:rPr>
            </w:pPr>
            <w:r>
              <w:rPr>
                <w:rFonts w:ascii="Arial" w:cs="Arial" w:eastAsia="Arial" w:hAnsi="Arial"/>
                <w:sz w:val="18"/>
                <w:szCs w:val="18"/>
                <w:b w:val="1"/>
                <w:bCs w:val="1"/>
                <w:color w:val="auto"/>
              </w:rPr>
              <w:t>February 1, 2020</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1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35,923</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40,943</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2460" w:type="dxa"/>
            <w:vAlign w:val="bottom"/>
          </w:tcPr>
          <w:p>
            <w:pPr>
              <w:jc w:val="right"/>
              <w:spacing w:after="0"/>
              <w:rPr>
                <w:sz w:val="20"/>
                <w:szCs w:val="20"/>
                <w:color w:val="auto"/>
              </w:rPr>
            </w:pPr>
            <w:r>
              <w:rPr>
                <w:rFonts w:ascii="Arial" w:cs="Arial" w:eastAsia="Arial" w:hAnsi="Arial"/>
                <w:sz w:val="18"/>
                <w:szCs w:val="18"/>
                <w:color w:val="auto"/>
              </w:rPr>
              <w:t>2,856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2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color w:val="auto"/>
              </w:rPr>
              <w:t>$ 38,775</w:t>
            </w:r>
          </w:p>
        </w:tc>
        <w:tc>
          <w:tcPr>
            <w:tcW w:w="2460" w:type="dxa"/>
            <w:vAlign w:val="bottom"/>
          </w:tcPr>
          <w:p>
            <w:pPr>
              <w:jc w:val="right"/>
              <w:spacing w:after="0"/>
              <w:rPr>
                <w:sz w:val="20"/>
                <w:szCs w:val="20"/>
                <w:color w:val="auto"/>
              </w:rPr>
            </w:pPr>
            <w:r>
              <w:rPr>
                <w:rFonts w:ascii="Arial" w:cs="Arial" w:eastAsia="Arial" w:hAnsi="Arial"/>
                <w:sz w:val="18"/>
                <w:szCs w:val="18"/>
                <w:color w:val="auto"/>
              </w:rPr>
              <w:t>$ 45,151</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00" w:type="dxa"/>
            <w:vAlign w:val="bottom"/>
          </w:tcPr>
          <w:p>
            <w:pPr>
              <w:jc w:val="right"/>
              <w:ind w:right="17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gridSpan w:val="2"/>
          </w:tcPr>
          <w:p>
            <w:pPr>
              <w:spacing w:after="0"/>
              <w:rPr>
                <w:sz w:val="20"/>
                <w:szCs w:val="20"/>
                <w:color w:val="auto"/>
              </w:rPr>
            </w:pPr>
            <w:r>
              <w:rPr>
                <w:rFonts w:ascii="Arial" w:cs="Arial" w:eastAsia="Arial" w:hAnsi="Arial"/>
                <w:sz w:val="18"/>
                <w:szCs w:val="18"/>
                <w:i w:val="1"/>
                <w:iCs w:val="1"/>
                <w:color w:val="auto"/>
              </w:rPr>
              <w:t>Other information</w:t>
            </w:r>
          </w:p>
        </w:tc>
        <w:tc>
          <w:tcPr>
            <w:tcW w:w="2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40" w:type="dxa"/>
            <w:vAlign w:val="bottom"/>
            <w:gridSpan w:val="3"/>
          </w:tcPr>
          <w:p>
            <w:pPr>
              <w:jc w:val="right"/>
              <w:spacing w:after="0"/>
              <w:rPr>
                <w:sz w:val="20"/>
                <w:szCs w:val="20"/>
                <w:color w:val="auto"/>
              </w:rPr>
            </w:pPr>
            <w:r>
              <w:rPr>
                <w:rFonts w:ascii="Arial" w:cs="Arial" w:eastAsia="Arial" w:hAnsi="Arial"/>
                <w:sz w:val="18"/>
                <w:szCs w:val="18"/>
                <w:color w:val="auto"/>
                <w:w w:val="96"/>
              </w:rPr>
              <w:t>The table below presents supplemental cash flow information related to leases for the full year ended</w:t>
            </w: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88"/>
              </w:rPr>
              <w:t>January 30, 2021 (in thousands).</w:t>
            </w:r>
          </w:p>
        </w:tc>
      </w:tr>
      <w:tr>
        <w:trPr>
          <w:trHeight w:val="414"/>
        </w:trPr>
        <w:tc>
          <w:tcPr>
            <w:tcW w:w="1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Year Ended</w:t>
            </w:r>
          </w:p>
        </w:tc>
      </w:tr>
      <w:tr>
        <w:trPr>
          <w:trHeight w:val="234"/>
        </w:trPr>
        <w:tc>
          <w:tcPr>
            <w:tcW w:w="1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760" w:type="dxa"/>
            <w:vAlign w:val="bottom"/>
          </w:tcPr>
          <w:p>
            <w:pPr>
              <w:jc w:val="right"/>
              <w:ind w:right="390"/>
              <w:spacing w:after="0"/>
              <w:rPr>
                <w:sz w:val="20"/>
                <w:szCs w:val="20"/>
                <w:color w:val="auto"/>
              </w:rPr>
            </w:pPr>
            <w:r>
              <w:rPr>
                <w:rFonts w:ascii="Arial" w:cs="Arial" w:eastAsia="Arial" w:hAnsi="Arial"/>
                <w:sz w:val="18"/>
                <w:szCs w:val="18"/>
                <w:b w:val="1"/>
                <w:bCs w:val="1"/>
                <w:color w:val="auto"/>
              </w:rPr>
              <w:t>January 30, 2021</w:t>
            </w:r>
          </w:p>
        </w:tc>
        <w:tc>
          <w:tcPr>
            <w:tcW w:w="2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February 1, 2020</w:t>
            </w:r>
          </w:p>
        </w:tc>
      </w:tr>
      <w:tr>
        <w:trPr>
          <w:trHeight w:val="209"/>
        </w:trPr>
        <w:tc>
          <w:tcPr>
            <w:tcW w:w="11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$ 36,068</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30, 2021, the weighted-average remaining operating lease term was 4.8 years and the weighted-average discount rate was 6.0% for operating leases recognized on the consolidated balance sheet.</w:t>
      </w:r>
    </w:p>
    <w:p>
      <w:pPr>
        <w:spacing w:after="0" w:line="170"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 Company incurred impairment charges during fiscal 2020 of $3.8 million against right-of-use operating lease assets. The Company recorded total impairment charges for fiscal 2019 of $5.9 million on right-of-use assets in retained earnings as a result of the adoption of ASC 842, Leases.</w:t>
      </w:r>
    </w:p>
    <w:p>
      <w:pPr>
        <w:spacing w:after="0" w:line="12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During the fiscal year, the Company renegotiated the majority of its store lease portfolio resulting in a combination of rent reductions, deferments, and abatements. These negotiations have increased the percentage of leases with variable rent structures to one-third of its North American fleet, which is intended to increase flexibility in an environment with expected high sales volatility and provide a natural hedge against potential sales declines. For these renegotiated leases, under </w:t>
      </w:r>
      <w:r>
        <w:rPr>
          <w:rFonts w:ascii="Arial" w:cs="Arial" w:eastAsia="Arial" w:hAnsi="Arial"/>
          <w:sz w:val="16"/>
          <w:szCs w:val="16"/>
          <w:i w:val="1"/>
          <w:iCs w:val="1"/>
          <w:color w:val="auto"/>
        </w:rPr>
        <w:t>ASC 842</w:t>
      </w:r>
      <w:r>
        <w:rPr>
          <w:rFonts w:ascii="Arial" w:cs="Arial" w:eastAsia="Arial" w:hAnsi="Arial"/>
          <w:sz w:val="16"/>
          <w:szCs w:val="16"/>
          <w:color w:val="auto"/>
        </w:rPr>
        <w:t>, the Company assessed if the renegotiated leases represented a new, separate contract or a modification of the existing lease. The Company concluded all renegotiated leases represented a modification of terms of each existing agreement. As such, the Company remeasured the lease liability and decreased the carrying amount of the right-of-use asset in proportion to the modification of the existing 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3"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8"/>
          <w:szCs w:val="18"/>
          <w:color w:val="auto"/>
        </w:rPr>
        <w:t>The table below reconciles the undiscounted cash flows for each of the first five years and total remaining years to the operating lease liabilities recorded on the balance sheet (in thousands).</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39,336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31,595</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26,169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21,763</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19,994</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155,077</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(21,213)</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133,864</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(32,402)</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101,462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As of January 30, 2021, the Company had additional executed leases that have not yet commenced for two retail locations with operating lease liabilities totaling $1.7 million that will commence in 2021 with lease terms ranging from five to ten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w:t>
            </w: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1,413</w:t>
            </w:r>
          </w:p>
        </w:tc>
      </w:tr>
      <w:tr>
        <w:trPr>
          <w:trHeight w:val="216"/>
        </w:trPr>
        <w:tc>
          <w:tcPr>
            <w:tcW w:w="56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3,815</w:t>
            </w: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10,111</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7,117</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255"/>
        <w:spacing w:after="0"/>
        <w:tabs>
          <w:tab w:leader="none" w:pos="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Prepaid occupancy consists of prepaid expense related to non-lease components.</w:t>
      </w:r>
    </w:p>
    <w:p>
      <w:pPr>
        <w:spacing w:after="0" w:line="23" w:lineRule="exact"/>
        <w:rPr>
          <w:rFonts w:ascii="Arial" w:cs="Arial" w:eastAsia="Arial" w:hAnsi="Arial"/>
          <w:sz w:val="18"/>
          <w:szCs w:val="18"/>
          <w:color w:val="auto"/>
        </w:rPr>
      </w:pPr>
    </w:p>
    <w:p>
      <w:pPr>
        <w:ind w:left="380" w:hanging="255"/>
        <w:spacing w:after="0"/>
        <w:tabs>
          <w:tab w:leader="none" w:pos="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Other consists primarily of prepaid expense related to IT maintenance contracts and software as a service</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w:t>
            </w: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41,706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42,611</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24,069</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Building</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14,970</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102,598</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48,109</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9,615</w:t>
            </w: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244,233</w:t>
            </w: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178,378</w:t>
            </w: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Total,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52,973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65,855</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2020 and 2019, depreciation expense was $13.2 million and $13.5 million, respectively.</w:t>
      </w:r>
    </w:p>
    <w:p>
      <w:pPr>
        <w:spacing w:after="0" w:line="225"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The Company incurred impairment charges during fiscal 2020 of $3.5 million for long-lived assets including leasehold fixtures and improvements, furniture and fixtures, machinery and equipment, and construction in progress. The majority of these charges were incurred at our retail stores in the United States and United Kingdom. The Company recorded no property, plant, and equipment impairment charges during fiscal 2019.</w:t>
      </w:r>
    </w:p>
    <w:p>
      <w:pPr>
        <w:spacing w:after="0" w:line="14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In the event that management decides to close any or all of these stores in the future, the Company may be required to record additional impairment, lease termination fees, severance charges and other costs. In addition, the Company considers a more likely than not assessment that an individual location will close or be remodeled prior to the end of its original lease term as a triggering event to review the store asset group for recoverability. As a result of these reviews, it was determined that certain stores would not be able to recover the carrying value of store assets through expected undiscounted cash flows over the shortened remaining life of the related assets and immaterial asset impairment charges were made in both fiscal 2020 and fiscal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5" w:name="page56"/>
    <w:bookmarkEnd w:id="55"/>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Accrued wages, bonuses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-99695</wp:posOffset>
            </wp:positionV>
            <wp:extent cx="570039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line="185" w:lineRule="auto"/>
        <w:rPr>
          <w:sz w:val="20"/>
          <w:szCs w:val="20"/>
          <w:color w:val="auto"/>
        </w:rPr>
      </w:pPr>
      <w:r>
        <w:rPr>
          <w:rFonts w:ascii="Arial" w:cs="Arial" w:eastAsia="Arial" w:hAnsi="Arial"/>
          <w:sz w:val="17"/>
          <w:szCs w:val="17"/>
          <w:color w:val="auto"/>
        </w:rPr>
        <w:t xml:space="preserve">Accrued rent and related expenses </w:t>
      </w:r>
      <w:r>
        <w:rPr>
          <w:rFonts w:ascii="Arial" w:cs="Arial" w:eastAsia="Arial" w:hAnsi="Arial"/>
          <w:sz w:val="27"/>
          <w:szCs w:val="27"/>
          <w:color w:val="auto"/>
          <w:vertAlign w:val="superscript"/>
        </w:rPr>
        <w:t>(1)</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4445</wp:posOffset>
            </wp:positionV>
            <wp:extent cx="570039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b w:val="1"/>
                <w:bCs w:val="1"/>
                <w:color w:val="auto"/>
              </w:rPr>
              <w:t>January 30,</w:t>
            </w: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195"/>
        </w:trPr>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13,185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13,373</w:t>
            </w:r>
          </w:p>
        </w:tc>
        <w:tc>
          <w:tcPr>
            <w:tcW w:w="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r>
      <w:tr>
        <w:trPr>
          <w:trHeight w:val="216"/>
        </w:trPr>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r>
      <w:tr>
        <w:trPr>
          <w:trHeight w:val="230"/>
        </w:trPr>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r>
      <w:tr>
        <w:trPr>
          <w:trHeight w:val="209"/>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17,551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16,536</w:t>
            </w:r>
          </w:p>
        </w:tc>
        <w:tc>
          <w:tcPr>
            <w:tcW w:w="20" w:type="dxa"/>
            <w:vAlign w:val="bottom"/>
          </w:tcPr>
          <w:p>
            <w:pPr>
              <w:spacing w:after="0"/>
              <w:rPr>
                <w:sz w:val="18"/>
                <w:szCs w:val="18"/>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4440"/>
          </w:cols>
          <w:pgMar w:left="320" w:top="607" w:right="3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Accrued rent and related expenses consist of accrued costs associated with non-lease components.</w:t>
      </w:r>
    </w:p>
    <w:p>
      <w:pPr>
        <w:spacing w:after="0" w:line="2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For fiscal 2020 and 2019, defined contribution expense was $0.8 million and $0.7 million, respectively, included within Accrued wages, bonuses and related expenses.</w:t>
      </w:r>
    </w:p>
    <w:p>
      <w:pPr>
        <w:spacing w:after="0" w:line="193"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income (loss) before income taxes from domestic and foreign operations (which include the U.K., Canada, China, Denmark and Ireland),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w w:val="99"/>
              </w:rPr>
              <w:t>Fiscal year ended</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480"/>
              <w:spacing w:after="0" w:line="191" w:lineRule="exact"/>
              <w:rPr>
                <w:sz w:val="20"/>
                <w:szCs w:val="20"/>
                <w:color w:val="auto"/>
              </w:rPr>
            </w:pPr>
            <w:r>
              <w:rPr>
                <w:rFonts w:ascii="Arial" w:cs="Arial" w:eastAsia="Arial" w:hAnsi="Arial"/>
                <w:sz w:val="18"/>
                <w:szCs w:val="18"/>
                <w:b w:val="1"/>
                <w:bCs w:val="1"/>
                <w:color w:val="auto"/>
              </w:rPr>
              <w:t>January 30,</w:t>
            </w:r>
          </w:p>
        </w:tc>
        <w:tc>
          <w:tcPr>
            <w:tcW w:w="1520" w:type="dxa"/>
            <w:vAlign w:val="bottom"/>
            <w:gridSpan w:val="5"/>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1,</w:t>
            </w:r>
          </w:p>
        </w:tc>
        <w:tc>
          <w:tcPr>
            <w:tcW w:w="5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(21,774)</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4,862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(3,301)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(loss) income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(20,186)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1,561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3"/>
          </w:tcPr>
          <w:p>
            <w:pPr>
              <w:ind w:left="420"/>
              <w:spacing w:after="0"/>
              <w:rPr>
                <w:sz w:val="20"/>
                <w:szCs w:val="20"/>
                <w:color w:val="auto"/>
              </w:rPr>
            </w:pPr>
            <w:r>
              <w:rPr>
                <w:rFonts w:ascii="Arial" w:cs="Arial" w:eastAsia="Arial" w:hAnsi="Arial"/>
                <w:sz w:val="18"/>
                <w:szCs w:val="18"/>
                <w:color w:val="auto"/>
              </w:rPr>
              <w:t>The components of the income tax expense are as follows (in thousands):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10"/>
          </w:tcPr>
          <w:p>
            <w:pPr>
              <w:jc w:val="right"/>
              <w:ind w:right="1060"/>
              <w:spacing w:after="0"/>
              <w:rPr>
                <w:sz w:val="20"/>
                <w:szCs w:val="20"/>
                <w:color w:val="auto"/>
              </w:rPr>
            </w:pPr>
            <w:r>
              <w:rPr>
                <w:rFonts w:ascii="Arial" w:cs="Arial" w:eastAsia="Arial" w:hAnsi="Arial"/>
                <w:sz w:val="18"/>
                <w:szCs w:val="18"/>
                <w:b w:val="1"/>
                <w:bCs w:val="1"/>
                <w:color w:val="auto"/>
              </w:rPr>
              <w:t>Fiscal year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Borders>
              <w:top w:val="single" w:sz="8" w:color="auto"/>
            </w:tcBorders>
            <w:gridSpan w:val="4"/>
          </w:tcPr>
          <w:p>
            <w:pPr>
              <w:jc w:val="right"/>
              <w:ind w:right="440"/>
              <w:spacing w:after="0" w:line="191" w:lineRule="exact"/>
              <w:rPr>
                <w:sz w:val="20"/>
                <w:szCs w:val="20"/>
                <w:color w:val="auto"/>
              </w:rPr>
            </w:pPr>
            <w:r>
              <w:rPr>
                <w:rFonts w:ascii="Arial" w:cs="Arial" w:eastAsia="Arial" w:hAnsi="Arial"/>
                <w:sz w:val="18"/>
                <w:szCs w:val="18"/>
                <w:b w:val="1"/>
                <w:bCs w:val="1"/>
                <w:color w:val="auto"/>
              </w:rPr>
              <w:t>January 30,</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February 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U.S. Federal</w:t>
            </w:r>
          </w:p>
        </w:tc>
        <w:tc>
          <w:tcPr>
            <w:tcW w:w="200" w:type="dxa"/>
            <w:vAlign w:val="bottom"/>
          </w:tcPr>
          <w:p>
            <w:pPr>
              <w:spacing w:after="0"/>
              <w:rPr>
                <w:sz w:val="18"/>
                <w:szCs w:val="18"/>
                <w:color w:val="auto"/>
              </w:rPr>
            </w:pPr>
          </w:p>
        </w:tc>
        <w:tc>
          <w:tcPr>
            <w:tcW w:w="13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(876)</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U.S. Federal</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1,555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2,797</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6220" w:type="dxa"/>
            <w:vAlign w:val="bottom"/>
            <w:tcBorders>
              <w:top w:val="single" w:sz="8" w:color="CCEEFF"/>
            </w:tcBorders>
            <w:gridSpan w:val="2"/>
          </w:tcPr>
          <w:p>
            <w:pPr>
              <w:ind w:left="4960"/>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type w:val="continuous"/>
        </w:sectPr>
      </w:pPr>
    </w:p>
    <w:bookmarkStart w:id="56" w:name="page57"/>
    <w:bookmarkEnd w:id="56"/>
    <w:p>
      <w:pPr>
        <w:jc w:val="both"/>
        <w:ind w:right="120" w:firstLine="486"/>
        <w:spacing w:after="0" w:line="259" w:lineRule="auto"/>
        <w:rPr>
          <w:sz w:val="20"/>
          <w:szCs w:val="20"/>
          <w:color w:val="auto"/>
        </w:rPr>
      </w:pPr>
      <w:r>
        <w:rPr>
          <w:rFonts w:ascii="Arial" w:cs="Arial" w:eastAsia="Arial" w:hAnsi="Arial"/>
          <w:sz w:val="18"/>
          <w:szCs w:val="18"/>
          <w:color w:val="auto"/>
        </w:rPr>
        <w:t>The provision for income taxes was $2.8 million in fiscal 2020 compared to $1.3 million in fiscal 2019. The 2020 effective rate of (13.9%) differed from the statutory rate of 21% primarily due to no tax benefit being recorded on the current year pretax loss as a full valuation allowance has been recorded globally. The 2019 effective rate of 83.0% differed from the statutory rate of 21% primarily due to the valuation allowance recorded in certain foreign jurisdictions and the $0.2 million tax impact of equity awards.</w:t>
      </w:r>
    </w:p>
    <w:p>
      <w:pPr>
        <w:spacing w:after="0" w:line="187" w:lineRule="exact"/>
        <w:rPr>
          <w:sz w:val="20"/>
          <w:szCs w:val="20"/>
          <w:color w:val="auto"/>
        </w:rPr>
      </w:pPr>
    </w:p>
    <w:p>
      <w:pPr>
        <w:jc w:val="both"/>
        <w:ind w:right="140" w:firstLine="486"/>
        <w:spacing w:after="0" w:line="291" w:lineRule="auto"/>
        <w:rPr>
          <w:sz w:val="20"/>
          <w:szCs w:val="20"/>
          <w:color w:val="auto"/>
        </w:rPr>
      </w:pPr>
      <w:r>
        <w:rPr>
          <w:rFonts w:ascii="Arial" w:cs="Arial" w:eastAsia="Arial" w:hAnsi="Arial"/>
          <w:sz w:val="16"/>
          <w:szCs w:val="16"/>
          <w:color w:val="auto"/>
        </w:rPr>
        <w:t>As the Company has incurred a cumulative book loss in North America and on a consolidated basis over the three-year cumulative period ended January 30, 2021, management evaluated the realizability of the Company’s North America deferred tax assets, including an analysis of all available positive and negative evidence. The three-year cumulative loss is a significant piece of negative evidence. ASC 740 requires objective historical evidence be given more weight than subjective evidence, such as forecasts of future income. Accordingly, in the first quarter of fiscal 2020, the Company recorded a $3.3 million valuation allowance on its North America deferred tax assets. During fiscal 2020, the Company recorded an additional $5.3 million valuation allowance globally primarily due to cumulative losses and uncertainty about future earnings forecasts. In fiscal 2019, the Company recorded an additional $0.6 million valuation allowance in certain foreign jurisdictions due to cumulative losses and uncertainty about future earnings forecast.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30,</w:t>
            </w: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w:t>
            </w:r>
          </w:p>
        </w:tc>
        <w:tc>
          <w:tcPr>
            <w:tcW w:w="8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Operating lease liability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33,058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36,301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3,422</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3,049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Carryforward of tax credits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1,880</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1,663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Investment in affiliates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1,202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Receivables write-offs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664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540" w:type="dxa"/>
            <w:vAlign w:val="bottom"/>
          </w:tcPr>
          <w:p>
            <w:pPr>
              <w:ind w:left="660"/>
              <w:spacing w:after="0"/>
              <w:rPr>
                <w:sz w:val="20"/>
                <w:szCs w:val="20"/>
                <w:color w:val="auto"/>
              </w:rPr>
            </w:pPr>
            <w:r>
              <w:rPr>
                <w:rFonts w:ascii="Arial" w:cs="Arial" w:eastAsia="Arial" w:hAnsi="Arial"/>
                <w:sz w:val="18"/>
                <w:szCs w:val="18"/>
                <w:color w:val="auto"/>
              </w:rPr>
              <w:t>Total gross deferred tax assets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51,070</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50,926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Valuation allowance</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(6,774)</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540" w:type="dxa"/>
            <w:vAlign w:val="bottom"/>
          </w:tcPr>
          <w:p>
            <w:pPr>
              <w:ind w:left="660"/>
              <w:spacing w:after="0"/>
              <w:rPr>
                <w:sz w:val="20"/>
                <w:szCs w:val="20"/>
                <w:color w:val="auto"/>
              </w:rPr>
            </w:pPr>
            <w:r>
              <w:rPr>
                <w:rFonts w:ascii="Arial" w:cs="Arial" w:eastAsia="Arial" w:hAnsi="Arial"/>
                <w:sz w:val="18"/>
                <w:szCs w:val="18"/>
                <w:color w:val="auto"/>
                <w:w w:val="92"/>
              </w:rPr>
              <w:t>Total deferred tax assets, net of valuation allowance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35,669</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44,152</w:t>
            </w:r>
          </w:p>
        </w:tc>
        <w:tc>
          <w:tcPr>
            <w:tcW w:w="86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(27,214)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(31,062)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(4,968)</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(5,330)</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expense</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(1,362)</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(2,726)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540" w:type="dxa"/>
            <w:vAlign w:val="bottom"/>
          </w:tcPr>
          <w:p>
            <w:pPr>
              <w:ind w:left="660"/>
              <w:spacing w:after="0"/>
              <w:rPr>
                <w:sz w:val="20"/>
                <w:szCs w:val="20"/>
                <w:color w:val="auto"/>
              </w:rPr>
            </w:pPr>
            <w:r>
              <w:rPr>
                <w:rFonts w:ascii="Arial" w:cs="Arial" w:eastAsia="Arial" w:hAnsi="Arial"/>
                <w:sz w:val="18"/>
                <w:szCs w:val="18"/>
                <w:color w:val="auto"/>
              </w:rPr>
              <w:t>Total deferred tax liabilities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(35,669)</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(40,741)</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4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tax assets</w:t>
            </w:r>
          </w:p>
        </w:tc>
        <w:tc>
          <w:tcPr>
            <w:tcW w:w="18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3,411</w:t>
            </w:r>
          </w:p>
        </w:tc>
        <w:tc>
          <w:tcPr>
            <w:tcW w:w="860" w:type="dxa"/>
            <w:vAlign w:val="bottom"/>
          </w:tcPr>
          <w:p>
            <w:pPr>
              <w:spacing w:after="0"/>
              <w:rPr>
                <w:sz w:val="21"/>
                <w:szCs w:val="21"/>
                <w:color w:val="auto"/>
              </w:rPr>
            </w:pPr>
          </w:p>
        </w:tc>
      </w:tr>
      <w:tr>
        <w:trPr>
          <w:trHeight w:val="413"/>
        </w:trPr>
        <w:tc>
          <w:tcPr>
            <w:tcW w:w="84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jc w:val="right"/>
              <w:ind w:right="1450"/>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611" w:right="339" w:bottom="1440" w:gutter="0" w:footer="0" w:header="0"/>
        </w:sectPr>
      </w:pPr>
    </w:p>
    <w:bookmarkStart w:id="57" w:name="page58"/>
    <w:bookmarkEnd w:id="57"/>
    <w:p>
      <w:pPr>
        <w:jc w:val="both"/>
        <w:ind w:right="140" w:firstLine="486"/>
        <w:spacing w:after="0" w:line="263" w:lineRule="auto"/>
        <w:rPr>
          <w:sz w:val="20"/>
          <w:szCs w:val="20"/>
          <w:color w:val="auto"/>
        </w:rPr>
      </w:pPr>
      <w:r>
        <w:rPr>
          <w:rFonts w:ascii="Arial" w:cs="Arial" w:eastAsia="Arial" w:hAnsi="Arial"/>
          <w:sz w:val="18"/>
          <w:szCs w:val="18"/>
          <w:color w:val="auto"/>
        </w:rPr>
        <w:t>As of January 30, 2021, the Company had gross net operating loss (NOL) carryforwards of approximately $15.5 million, most of which relate to the U.K. where NOLs have no expiration date. The Company also had tax credit carryforwards of $2.3 million, most of which related to the US, with credit carryforward periods of 10-20 years and with expirations beginning in fiscal 2021.</w:t>
      </w:r>
    </w:p>
    <w:p>
      <w:pPr>
        <w:spacing w:after="0" w:line="184" w:lineRule="exact"/>
        <w:rPr>
          <w:sz w:val="20"/>
          <w:szCs w:val="20"/>
          <w:color w:val="auto"/>
        </w:rPr>
      </w:pPr>
    </w:p>
    <w:p>
      <w:pPr>
        <w:ind w:left="160" w:right="140" w:firstLine="324"/>
        <w:spacing w:after="0" w:line="277" w:lineRule="auto"/>
        <w:rPr>
          <w:sz w:val="20"/>
          <w:szCs w:val="20"/>
          <w:color w:val="auto"/>
        </w:rPr>
      </w:pPr>
      <w:r>
        <w:rPr>
          <w:rFonts w:ascii="Arial" w:cs="Arial" w:eastAsia="Arial" w:hAnsi="Arial"/>
          <w:sz w:val="18"/>
          <w:szCs w:val="18"/>
          <w:color w:val="auto"/>
        </w:rPr>
        <w:t>The Company continues to assert its investments in foreign subsidiaries are permanent in duration and it is not practical to estimate the income tax liability on the outside basis differences.</w:t>
      </w:r>
    </w:p>
    <w:p>
      <w:pPr>
        <w:spacing w:after="0" w:line="170" w:lineRule="exact"/>
        <w:rPr>
          <w:sz w:val="20"/>
          <w:szCs w:val="20"/>
          <w:color w:val="auto"/>
        </w:rPr>
      </w:pPr>
    </w:p>
    <w:p>
      <w:pPr>
        <w:jc w:val="both"/>
        <w:ind w:right="140" w:firstLine="486"/>
        <w:spacing w:after="0" w:line="271" w:lineRule="auto"/>
        <w:rPr>
          <w:sz w:val="20"/>
          <w:szCs w:val="20"/>
          <w:color w:val="auto"/>
        </w:rPr>
      </w:pPr>
      <w:r>
        <w:rPr>
          <w:rFonts w:ascii="Arial" w:cs="Arial" w:eastAsia="Arial" w:hAnsi="Arial"/>
          <w:sz w:val="17"/>
          <w:szCs w:val="17"/>
          <w:color w:val="auto"/>
        </w:rPr>
        <w:t>As of January 30, 2021, the Company had total unrecognized tax benefits of $0.2 million, of which approximately $0.2 million would favorably impact the Company’s provision for income taxes if recognized. As of February 1, 2020, the Company had total unrecognized tax benefits of $0.2 million, of which approximately $0.2 million would favorably impact the Company’s provision for income taxes if recognized. The Company reviews its uncertain tax positions periodically and accrues interest and penalties accordingly. Accrued interest and penalties included within other liabilities in the consolidated balance sheets were less than $0.1 million for both years ended as of January 30, 2021 and February 1, 2020. The Company recognizes accrued interest and penalties related to unrecognized tax benefits as a component of the provision for income taxes within the consolidated statement of operations. For the year ended January 30, 2021, the Company recognized a benefit of less than $0.1 million for interest and penalties. For the year ended February 1, 2020, the Company recognized an expense of less than $0.1 million for interest and penalties.</w:t>
      </w:r>
    </w:p>
    <w:p>
      <w:pPr>
        <w:sectPr>
          <w:pgSz w:w="11900" w:h="16838" w:orient="portrait"/>
          <w:cols w:equalWidth="0" w:num="1">
            <w:col w:w="11260"/>
          </w:cols>
          <w:pgMar w:left="300" w:top="611" w:right="339" w:bottom="1440" w:gutter="0" w:footer="0" w:header="0"/>
        </w:sectPr>
      </w:pP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pacing w:after="0" w:line="2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Balance as of February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-130175</wp:posOffset>
            </wp:positionV>
            <wp:extent cx="570039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5715</wp:posOffset>
            </wp:positionV>
            <wp:extent cx="570039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Decreases for prior year tax positions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14605</wp:posOffset>
            </wp:positionV>
            <wp:extent cx="570039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Balance as of February 1, 2020</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5715</wp:posOffset>
            </wp:positionV>
            <wp:extent cx="57003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Decreases for prior year tax positions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14605</wp:posOffset>
            </wp:positionV>
            <wp:extent cx="57003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Balance as of January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1082" w:hanging="1082"/>
        <w:spacing w:after="0"/>
        <w:tabs>
          <w:tab w:leader="none" w:pos="10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418</w:t>
      </w:r>
    </w:p>
    <w:p>
      <w:pPr>
        <w:spacing w:after="0" w:line="23" w:lineRule="exact"/>
        <w:rPr>
          <w:rFonts w:ascii="Arial" w:cs="Arial" w:eastAsia="Arial" w:hAnsi="Arial"/>
          <w:sz w:val="18"/>
          <w:szCs w:val="18"/>
          <w:color w:val="auto"/>
        </w:rPr>
      </w:pPr>
    </w:p>
    <w:p>
      <w:pPr>
        <w:ind w:left="1162"/>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3"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(288)</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572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1082"/>
        <w:spacing w:after="0"/>
        <w:rPr>
          <w:sz w:val="20"/>
          <w:szCs w:val="20"/>
          <w:color w:val="auto"/>
        </w:rPr>
      </w:pPr>
      <w:r>
        <w:rPr>
          <w:rFonts w:ascii="Arial" w:cs="Arial" w:eastAsia="Arial" w:hAnsi="Arial"/>
          <w:sz w:val="18"/>
          <w:szCs w:val="18"/>
          <w:color w:val="auto"/>
        </w:rPr>
        <w:t>178</w:t>
      </w:r>
    </w:p>
    <w:p>
      <w:pPr>
        <w:spacing w:after="0" w:line="49" w:lineRule="exact"/>
        <w:rPr>
          <w:sz w:val="20"/>
          <w:szCs w:val="20"/>
          <w:color w:val="auto"/>
        </w:rPr>
      </w:pPr>
    </w:p>
    <w:p>
      <w:pPr>
        <w:ind w:left="1162"/>
        <w:spacing w:after="0"/>
        <w:rPr>
          <w:sz w:val="20"/>
          <w:szCs w:val="20"/>
          <w:color w:val="auto"/>
        </w:rPr>
      </w:pPr>
      <w:r>
        <w:rPr>
          <w:rFonts w:ascii="Arial" w:cs="Arial" w:eastAsia="Arial" w:hAnsi="Arial"/>
          <w:sz w:val="18"/>
          <w:szCs w:val="18"/>
          <w:color w:val="auto"/>
        </w:rPr>
        <w:t>46</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57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1082" w:hanging="1082"/>
        <w:spacing w:after="0"/>
        <w:tabs>
          <w:tab w:leader="none" w:pos="10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170</w:t>
      </w:r>
    </w:p>
    <w:p>
      <w:pPr>
        <w:spacing w:after="0" w:line="213" w:lineRule="exact"/>
        <w:rPr>
          <w:sz w:val="20"/>
          <w:szCs w:val="20"/>
          <w:color w:val="auto"/>
        </w:rPr>
      </w:pPr>
    </w:p>
    <w:p>
      <w:pPr>
        <w:sectPr>
          <w:pgSz w:w="11900" w:h="16838" w:orient="portrait"/>
          <w:cols w:equalWidth="0" w:num="2">
            <w:col w:w="8480" w:space="218"/>
            <w:col w:w="2562"/>
          </w:cols>
          <w:pgMar w:left="300" w:top="611" w:right="339" w:bottom="1440" w:gutter="0" w:footer="0" w:header="0"/>
          <w:type w:val="continuous"/>
        </w:sectPr>
      </w:pPr>
    </w:p>
    <w:p>
      <w:pPr>
        <w:spacing w:after="0" w:line="11"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Management estimates it is reasonably possible that the amount of unrecognized tax benefits could decrease by as much as $0.2 million in the next twelve months as a result of the resolution of audits currently in progress involving issues common to multinational corporations and the lapsing of the statute of limitations.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tax years remain open in the Company’s major taxing jurisdictions as of January 30, 2021:</w:t>
      </w:r>
    </w:p>
    <w:p>
      <w:pPr>
        <w:spacing w:after="0" w:line="225"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United States (Federal)</w:t>
      </w:r>
      <w:r>
        <w:rPr>
          <w:sz w:val="20"/>
          <w:szCs w:val="20"/>
          <w:color w:val="auto"/>
        </w:rPr>
        <w:tab/>
      </w:r>
      <w:r>
        <w:rPr>
          <w:rFonts w:ascii="Arial" w:cs="Arial" w:eastAsia="Arial" w:hAnsi="Arial"/>
          <w:sz w:val="16"/>
          <w:szCs w:val="16"/>
          <w:color w:val="auto"/>
        </w:rPr>
        <w:t>2017 through 2020</w:t>
      </w:r>
    </w:p>
    <w:p>
      <w:pPr>
        <w:spacing w:after="0" w:line="2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United Kingdom</w:t>
      </w:r>
      <w:r>
        <w:rPr>
          <w:sz w:val="20"/>
          <w:szCs w:val="20"/>
          <w:color w:val="auto"/>
        </w:rPr>
        <w:tab/>
      </w:r>
      <w:r>
        <w:rPr>
          <w:rFonts w:ascii="Arial" w:cs="Arial" w:eastAsia="Arial" w:hAnsi="Arial"/>
          <w:sz w:val="16"/>
          <w:szCs w:val="16"/>
          <w:color w:val="auto"/>
        </w:rPr>
        <w:t>2017 through 2020</w:t>
      </w:r>
    </w:p>
    <w:p>
      <w:pPr>
        <w:spacing w:after="0" w:line="200" w:lineRule="exact"/>
        <w:rPr>
          <w:sz w:val="20"/>
          <w:szCs w:val="20"/>
          <w:color w:val="auto"/>
        </w:rPr>
      </w:pPr>
    </w:p>
    <w:p>
      <w:pPr>
        <w:spacing w:after="0" w:line="227" w:lineRule="exact"/>
        <w:rPr>
          <w:sz w:val="20"/>
          <w:szCs w:val="20"/>
          <w:color w:val="auto"/>
        </w:rPr>
      </w:pPr>
    </w:p>
    <w:p>
      <w:pPr>
        <w:ind w:left="20" w:right="640" w:firstLine="486"/>
        <w:spacing w:after="0" w:line="277" w:lineRule="auto"/>
        <w:rPr>
          <w:sz w:val="20"/>
          <w:szCs w:val="20"/>
          <w:color w:val="auto"/>
        </w:rPr>
      </w:pPr>
      <w:r>
        <w:rPr>
          <w:rFonts w:ascii="Arial" w:cs="Arial" w:eastAsia="Arial" w:hAnsi="Arial"/>
          <w:sz w:val="18"/>
          <w:szCs w:val="18"/>
          <w:color w:val="auto"/>
        </w:rPr>
        <w:t>The Company also files tax returns in various other international jurisdictions and numerous states for which various tax years are subject to examination and currently involved in audits.</w:t>
      </w:r>
    </w:p>
    <w:p>
      <w:pPr>
        <w:spacing w:after="0" w:line="193" w:lineRule="exact"/>
        <w:rPr>
          <w:sz w:val="20"/>
          <w:szCs w:val="20"/>
          <w:color w:val="auto"/>
        </w:rPr>
      </w:pPr>
    </w:p>
    <w:p>
      <w:pPr>
        <w:ind w:left="460" w:hanging="43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ind w:left="20" w:firstLine="486"/>
        <w:spacing w:after="0" w:line="259" w:lineRule="auto"/>
        <w:rPr>
          <w:sz w:val="20"/>
          <w:szCs w:val="20"/>
          <w:color w:val="auto"/>
        </w:rPr>
      </w:pPr>
      <w:r>
        <w:rPr>
          <w:rFonts w:ascii="Arial" w:cs="Arial" w:eastAsia="Arial" w:hAnsi="Arial"/>
          <w:sz w:val="18"/>
          <w:szCs w:val="18"/>
          <w:color w:val="auto"/>
        </w:rPr>
        <w:t>On August 25, 2020, Build-A-Bear Workshop, Inc. entered into a Revolving Credit and Security Agreement among the Company, as borrowing agent; Build-A-Bear Retail Management, Inc., together with the Company, as borrowers; Build-A-Bear Workshop Franchise Holdings, Inc., Build-A-Bear Entertainment, LLC, Build-A-Bear Card Services LLC and Build-A-Bear Workshop Canada, Ltd.; the lenders party thereto; and PNC Bank, National Association ("PNC Bank"), as agent for lenders.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11" w:right="339" w:bottom="1440" w:gutter="0" w:footer="0" w:header="0"/>
          <w:type w:val="continuous"/>
        </w:sectPr>
      </w:pPr>
    </w:p>
    <w:bookmarkStart w:id="58" w:name="page59"/>
    <w:bookmarkEnd w:id="58"/>
    <w:p>
      <w:pPr>
        <w:jc w:val="both"/>
        <w:ind w:firstLine="486"/>
        <w:spacing w:after="0" w:line="269" w:lineRule="auto"/>
        <w:rPr>
          <w:sz w:val="20"/>
          <w:szCs w:val="20"/>
          <w:color w:val="auto"/>
        </w:rPr>
      </w:pPr>
      <w:r>
        <w:rPr>
          <w:rFonts w:ascii="Arial" w:cs="Arial" w:eastAsia="Arial" w:hAnsi="Arial"/>
          <w:sz w:val="17"/>
          <w:szCs w:val="17"/>
          <w:color w:val="auto"/>
        </w:rPr>
        <w:t>The agreement provides for a senior secured revolving loan in aggregate principal amount of up to $25,000,000 (subject to a borrowing base formula), which may be increased with the consent of the lenders by an amount not to exceed $25,000,000, subject to the conditions set forth in the agreement. The borrowing base under the agreement is based on specified percentages of eligible credit card receivables, eligible inventory and, under certain circumstances, eligible foreign in-transit inventory and, in the discretion of the agent, eligible receivables. The credit agreement provides for swingline loans of up to $5,000,000 and the issuance of standby or commercial letters of credit of up to $5,000,000. Proceeds of the advances under the agreement may be used to pay fees and expenses relating to the transactions contemplated by the credit agreement and fund ongoing working capital, capital expenditures, permitted acquisitions and general corporate purposes, in each case to the extent permitted under, and as defined in, the agreement. Revolving advances under the agreement will be secured (subject to permitted liens and certain other exceptions) by a first priority lien on substantially all of the personal property of the Company and all of its U.S. and Canadian subsidiaries, including certain receivables (including receivables from the sale of inventory and credit card receivables but excluding certain franchise receivables), equipment and fixtures, intellectual property, inventory and equity interests held by the borrowers and the guarantors in their respective domestic and foreign subsidiaries. The agreement includes a negative covenant with respect to granting a lien on the Company's Ohio warehouse.</w:t>
      </w:r>
    </w:p>
    <w:p>
      <w:pPr>
        <w:spacing w:after="0" w:line="17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Borrowings under the agreement bear interest at (a) a base rate determined under the agreement, or (b) the borrower’s option, at a rate based on LIBOR, plus in either case a margin based on the average undrawn availability as determined in accordance with the agreement. The agreement matures on August 25, 2025 (unless terminated earlier in accordance with the terms thereof) and requires compliance with conditions precedent that must be satisfied prior to any borrowing. The agreement also contains various representations, warranties and covenants that the Company considers customary.</w:t>
      </w:r>
    </w:p>
    <w:p>
      <w:pPr>
        <w:spacing w:after="0" w:line="15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agreement requires the Company to comply with one financial covenant, specifically, that the Company maintain availability (as determined in accordance with the agreement) at all times equal to or greater than the greater of (a) 12.5% of the loan cap and (b) $3,125,000 (subject to increase upon exercise of the increase option). The “loan cap” is the lesser of (1) $25,000,000 less the outstanding amount of loans and letters of credit under the agreement and (2) the borrowing base from time to time under the agreement. The agreement also contains various information and reporting requirements and provides for various fees customary for an asset-based lending facility. The Company anticipates the annual costs of maintaining the agreement, including interest and fees, will be between $500,000 and $600,000. The agreement contains customary events of default, including without limitation events of default based on payment obligations, material inaccuracies of representations and warranties, covenant defaults, final judgments and orders, unenforceability of the agreement, material ERISA events, change in control, insolvency proceedings, and defaults under certain other obligations. An event of default may cause the applicable interest rate and fees to increase by 2% until such event of default has been cured, waived, or amended. The agreement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9" w:name="page60"/>
    <w:bookmarkEnd w:id="59"/>
    <w:p>
      <w:pPr>
        <w:jc w:val="both"/>
        <w:ind w:firstLine="486"/>
        <w:spacing w:after="0" w:line="286" w:lineRule="auto"/>
        <w:rPr>
          <w:sz w:val="20"/>
          <w:szCs w:val="20"/>
          <w:color w:val="auto"/>
        </w:rPr>
      </w:pPr>
      <w:r>
        <w:rPr>
          <w:rFonts w:ascii="Arial" w:cs="Arial" w:eastAsia="Arial" w:hAnsi="Arial"/>
          <w:sz w:val="17"/>
          <w:szCs w:val="17"/>
          <w:color w:val="auto"/>
        </w:rPr>
        <w:t>At the closing date of the agreement and the end of the fiscal year, the Company had no outstanding indebtedness under the agreement. As of January 30, 2021, the Company's borrowing base was slightly more than $19.8 million under the agreement. As a result of a $1.0 million letter of credit against the line of credit at the end of fiscal year, the Company's had $18.8 million available for borrowing with PNC Bank.</w:t>
      </w:r>
    </w:p>
    <w:p>
      <w:pPr>
        <w:spacing w:after="0" w:line="1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Additionally, on August 25, 2020, upon execution of the agreement with PNC Bank, the Company terminated its existing bank credit line with U.S. Bank, under the Company’s Fourth Amended and Restated Loan Agreement, as amended. The former agreement with U.S. Bank National Association ("U.S. Bank") provided for a maximum borrowing capacity of up to $10,000,000, subject to compliance with certain financial tests. The former credit agreement would have matured on September 30, 2020. At the time of termination, the Company did not have any outstanding borrowings under the agreement with U.S. Bank and was in compliance with the amended covenants set forth in the former credit agreement. The $1.0 million letter of credit that was outstanding under the agreement with U.S. Bank at the time of termination was subsequently cancelled and a replacement $1.0 million letter of credit was issued under the credit agreement with PNC Bank.</w:t>
      </w:r>
    </w:p>
    <w:p>
      <w:pPr>
        <w:spacing w:after="0" w:line="19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part of obtaining the new credit agreement, the Company incurred approximately $0.6 million of issuance costs and fees. As the Company had no outstanding borrowings at the beginning of the facility, these costs and fees were recorded as a deferred asset within the Other assets, net line item within the Condensed Consolidated Balance Sheets and will be amortized over the length of the five-year agreement.</w:t>
      </w:r>
    </w:p>
    <w:p>
      <w:pPr>
        <w:spacing w:after="0" w:line="188"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880" w:hanging="427"/>
        <w:spacing w:after="0"/>
        <w:tabs>
          <w:tab w:leader="none" w:pos="880" w:val="left"/>
        </w:tabs>
        <w:numPr>
          <w:ilvl w:val="1"/>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leases its retail stores and corporate offices under agreements which expire at various dates through 2031. See Note 4 — Leases for information related to our lease commitments.</w:t>
      </w:r>
    </w:p>
    <w:p>
      <w:pPr>
        <w:spacing w:after="0" w:line="170" w:lineRule="exact"/>
        <w:rPr>
          <w:sz w:val="20"/>
          <w:szCs w:val="20"/>
          <w:color w:val="auto"/>
        </w:rPr>
      </w:pPr>
    </w:p>
    <w:p>
      <w:pPr>
        <w:ind w:left="880" w:hanging="427"/>
        <w:spacing w:after="0"/>
        <w:tabs>
          <w:tab w:leader="none" w:pos="8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trial court in November 2019 and upper tribunal in March 2021 held that duty was due on some, but not all, of the products at issue. The period during which the Company or the U.K. customs authority may seek leave to appeal the Upper Tribunal ruling has not yet passed. The Company maintains a provision against the related receivable, based on a current evaluation of collectability, using the latest facts available in the dispute. As of January 30, 2021, the Company had a gross receivable balance of $4.6 million and a reserve of $3.5 million, leaving a net receivable of $1.1 million. The Company believes that the outcome of this dispute will not have a material adverse impact on the results of operations, liquidity or financial position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(11)  Net (Loss) Income Per Share</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income (loss) per share (in thousands, except share and per share data):</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1"/>
        </w:trPr>
        <w:tc>
          <w:tcPr>
            <w:tcW w:w="58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January 30,</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w w:val="98"/>
              </w:rPr>
              <w:t>February 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Net (loss) income before allocation of earnings to participating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(22,983)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Earnings allocated to participating securities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(22,983)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14,923,304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14,711,334</w:t>
            </w:r>
          </w:p>
        </w:tc>
        <w:tc>
          <w:tcPr>
            <w:tcW w:w="0" w:type="dxa"/>
            <w:vAlign w:val="bottom"/>
          </w:tcPr>
          <w:p>
            <w:pPr>
              <w:spacing w:after="0"/>
              <w:rPr>
                <w:sz w:val="1"/>
                <w:szCs w:val="1"/>
                <w:color w:val="auto"/>
              </w:rPr>
            </w:pPr>
          </w:p>
        </w:tc>
      </w:tr>
      <w:tr>
        <w:trPr>
          <w:trHeight w:val="216"/>
        </w:trPr>
        <w:tc>
          <w:tcPr>
            <w:tcW w:w="5860" w:type="dxa"/>
            <w:vAlign w:val="bottom"/>
          </w:tcPr>
          <w:p>
            <w:pPr>
              <w:ind w:left="340"/>
              <w:spacing w:after="0"/>
              <w:rPr>
                <w:sz w:val="20"/>
                <w:szCs w:val="20"/>
                <w:color w:val="auto"/>
              </w:rPr>
            </w:pPr>
            <w:r>
              <w:rPr>
                <w:rFonts w:ascii="Arial" w:cs="Arial" w:eastAsia="Arial" w:hAnsi="Arial"/>
                <w:sz w:val="18"/>
                <w:szCs w:val="18"/>
                <w:color w:val="auto"/>
              </w:rPr>
              <w:t>Dilutive effect of share-based awards: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48,476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dilutive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14,923,304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14,759,810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tcPr>
          <w:p>
            <w:pPr>
              <w:ind w:left="20"/>
              <w:spacing w:after="0" w:line="182" w:lineRule="exact"/>
              <w:rPr>
                <w:sz w:val="20"/>
                <w:szCs w:val="20"/>
                <w:color w:val="auto"/>
              </w:rPr>
            </w:pPr>
            <w:r>
              <w:rPr>
                <w:rFonts w:ascii="Arial" w:cs="Arial" w:eastAsia="Arial" w:hAnsi="Arial"/>
                <w:sz w:val="18"/>
                <w:szCs w:val="18"/>
                <w:color w:val="auto"/>
                <w:w w:val="93"/>
              </w:rPr>
              <w:t>Basic (loss) income per common share attributable to Build-A-Bear Workshop,</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(1.54)</w:t>
            </w: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line="190" w:lineRule="exact"/>
              <w:rPr>
                <w:sz w:val="20"/>
                <w:szCs w:val="20"/>
                <w:color w:val="auto"/>
              </w:rPr>
            </w:pPr>
            <w:r>
              <w:rPr>
                <w:rFonts w:ascii="Arial" w:cs="Arial" w:eastAsia="Arial" w:hAnsi="Arial"/>
                <w:sz w:val="18"/>
                <w:szCs w:val="18"/>
                <w:color w:val="auto"/>
              </w:rPr>
              <w:t>Inc. stockholders</w:t>
            </w:r>
          </w:p>
        </w:tc>
        <w:tc>
          <w:tcPr>
            <w:tcW w:w="18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Diluted (loss) income per common share attributable to Build-A-Bear</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Workshop, Inc. stockholders</w:t>
            </w:r>
          </w:p>
        </w:tc>
        <w:tc>
          <w:tcPr>
            <w:tcW w:w="180" w:type="dxa"/>
            <w:vAlign w:val="bottom"/>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calculating diluted earnings per share for fiscal 2020 and 2019, options to purchase 841,401 and 927,831 shares of common stock, respectively, were outstanding at the end of the period, but were not included in the computation of diluted income per share due to their anti-dilutive effect under provisions of ASC 260-10.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In 2004, the Company adopted the Build-A-Bear Workshop, Inc. 2004 Stock Incentive Plan which the Company amended and restated in 2009 and 2014 (collectively, the Incentive Plans). In 2017, the Company adopted the Build-A-Bear Workshop, Inc 2017 Omnibus Incentive Plan</w:t>
      </w:r>
    </w:p>
    <w:p>
      <w:pPr>
        <w:spacing w:after="0" w:line="14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earlier terminated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1" w:name="page62"/>
    <w:bookmarkEnd w:id="61"/>
    <w:p>
      <w:pPr>
        <w:ind w:left="880" w:hanging="427"/>
        <w:spacing w:after="0"/>
        <w:tabs>
          <w:tab w:leader="none" w:pos="8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Options</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0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923,254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(117,553)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30, 2021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805,701</w:t>
            </w:r>
          </w:p>
        </w:tc>
        <w:tc>
          <w:tcPr>
            <w:tcW w:w="1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January 30, 2021</w:t>
            </w:r>
          </w:p>
        </w:tc>
        <w:tc>
          <w:tcPr>
            <w:tcW w:w="1220" w:type="dxa"/>
            <w:vAlign w:val="bottom"/>
          </w:tcPr>
          <w:p>
            <w:pPr>
              <w:jc w:val="right"/>
              <w:spacing w:after="0"/>
              <w:rPr>
                <w:sz w:val="20"/>
                <w:szCs w:val="20"/>
                <w:color w:val="auto"/>
              </w:rPr>
            </w:pPr>
            <w:r>
              <w:rPr>
                <w:rFonts w:ascii="Arial" w:cs="Arial" w:eastAsia="Arial" w:hAnsi="Arial"/>
                <w:sz w:val="18"/>
                <w:szCs w:val="18"/>
                <w:color w:val="auto"/>
              </w:rPr>
              <w:t>805,690</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There were no options granted during fiscal 2020 or 2019. The expense recorded related to options granted in fiscal 2018 and prior were determined using the Black-Scholes option pricing model and the provisions of SAB 107 and 110, which allow the use of a simplified method to estimate the expected term of “plain vanilla” options.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total grant date fair value of options exercised in both fiscal 2020 and 2019 was less than $0.1 million in each year. The total intrinsic value of options exercised in both fiscal 2020 and 2019 was less than $0.1 million in each year. The Company generally issues new shares to satisfy option exercises.</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Future total shares available for option, non-vested stock and restricted stock grants were 568,523 and 366,109 at the end of 2020 and 2019, respectively.</w:t>
      </w:r>
    </w:p>
    <w:p>
      <w:pPr>
        <w:spacing w:after="0" w:line="170" w:lineRule="exact"/>
        <w:rPr>
          <w:sz w:val="20"/>
          <w:szCs w:val="20"/>
          <w:color w:val="auto"/>
        </w:rPr>
      </w:pPr>
    </w:p>
    <w:p>
      <w:pPr>
        <w:ind w:left="880" w:hanging="427"/>
        <w:spacing w:after="0"/>
        <w:tabs>
          <w:tab w:leader="none" w:pos="88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Company granted restricted stock awards that vest over a one to three-year period. Recipients of time-based restricted stock awards have the right to vote and receive dividends as to all unvested shares.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Performance-Based Restricted</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6"/>
              </w:rPr>
              <w:t>Time-Based Restricted Stock</w:t>
            </w:r>
          </w:p>
        </w:tc>
        <w:tc>
          <w:tcPr>
            <w:tcW w:w="220" w:type="dxa"/>
            <w:vAlign w:val="bottom"/>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91"/>
        </w:trPr>
        <w:tc>
          <w:tcPr>
            <w:tcW w:w="3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Average Grant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Date Fair</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Date Fair</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453,403</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262,964</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Granted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767,390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157,374</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(56,380)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(29,304)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(27,517)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30,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931,172</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336,441</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52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89"/>
              </w:rPr>
              <w:t>62</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62" w:name="page63"/>
    <w:bookmarkEnd w:id="62"/>
    <w:p>
      <w:pPr>
        <w:jc w:val="both"/>
        <w:ind w:left="20" w:firstLine="441"/>
        <w:spacing w:after="0" w:line="255" w:lineRule="auto"/>
        <w:rPr>
          <w:sz w:val="20"/>
          <w:szCs w:val="20"/>
          <w:color w:val="auto"/>
        </w:rPr>
      </w:pPr>
      <w:r>
        <w:rPr>
          <w:rFonts w:ascii="Arial" w:cs="Arial" w:eastAsia="Arial" w:hAnsi="Arial"/>
          <w:sz w:val="18"/>
          <w:szCs w:val="18"/>
          <w:color w:val="auto"/>
        </w:rPr>
        <w:t>In fiscal 2020, the Company awarded three-year performance-based restricted stock subject to the achievement liquidity, profitability and strategic performance objectives for fiscal 2020, 2021, and 2022. The target number of shares awarded was 157,374 with a weighted average grant date fair value of $2.78 per share. This performance-based restricted stock award had a payout opportunity ranging from 25% to 183.3% of the target number of shares. Based on the Company’s achievement of liquidity and strategic performance goals in fiscal 2020, the Company currently estimates the minimum number of shares that will be earned is approximately 78,703, assuming no forfeitures. The Company is currently unable to estimate the total number of these shares expected to be earned.</w:t>
      </w:r>
    </w:p>
    <w:p>
      <w:pPr>
        <w:spacing w:after="0" w:line="192" w:lineRule="exact"/>
        <w:rPr>
          <w:sz w:val="20"/>
          <w:szCs w:val="20"/>
          <w:color w:val="auto"/>
        </w:rPr>
      </w:pPr>
    </w:p>
    <w:p>
      <w:pPr>
        <w:jc w:val="both"/>
        <w:ind w:right="120" w:firstLine="486"/>
        <w:spacing w:after="0" w:line="257" w:lineRule="auto"/>
        <w:rPr>
          <w:sz w:val="20"/>
          <w:szCs w:val="20"/>
          <w:color w:val="auto"/>
        </w:rPr>
      </w:pPr>
      <w:r>
        <w:rPr>
          <w:rFonts w:ascii="Arial" w:cs="Arial" w:eastAsia="Arial" w:hAnsi="Arial"/>
          <w:sz w:val="18"/>
          <w:szCs w:val="18"/>
          <w:color w:val="auto"/>
        </w:rPr>
        <w:t>In fiscal 2019, the Company awarded three-year performance-based restricted stock subject to the achievement of pre-established consolidated pre-tax income growth objectives for fiscal 2019, 2020, and 2021 and cumulatively across the same three fiscal years. The target number of shares awarded was 95,811 with a weighted average grant date fair value of $5.61 per share. This performance-based restricted stock award had a payout opportunity ranging from 25% to 200% of the target number of shares. Based on the Company’s significant pre-tax loss in fiscal 2020, the Company currently estimates that none of these shares will be earned.</w:t>
      </w:r>
    </w:p>
    <w:p>
      <w:pPr>
        <w:spacing w:after="0" w:line="188" w:lineRule="exact"/>
        <w:rPr>
          <w:sz w:val="20"/>
          <w:szCs w:val="20"/>
          <w:color w:val="auto"/>
        </w:rPr>
      </w:pPr>
    </w:p>
    <w:p>
      <w:pPr>
        <w:jc w:val="both"/>
        <w:ind w:right="120" w:firstLine="486"/>
        <w:spacing w:after="0" w:line="271" w:lineRule="auto"/>
        <w:rPr>
          <w:sz w:val="20"/>
          <w:szCs w:val="20"/>
          <w:color w:val="auto"/>
        </w:rPr>
      </w:pPr>
      <w:r>
        <w:rPr>
          <w:rFonts w:ascii="Arial" w:cs="Arial" w:eastAsia="Arial" w:hAnsi="Arial"/>
          <w:sz w:val="17"/>
          <w:szCs w:val="17"/>
          <w:color w:val="auto"/>
        </w:rPr>
        <w:t>In fiscal 2018, the Company awarded three-year performance-based restricted stock subject to the achievement of pre-established consolidated pre-tax income growth objectives for fiscal 2018, 2019 and 2020. The target number of these shares awarded was 62,500 with a weighted average grant date fair value of $8.60 per share. In addition, the Company awarded three-year performance-based restricted stock subject to the achievement of pre-established consolidated revenue growth objectives for fiscal 2018, 2019 and 2020. The target number of these shares awarded was 20,756 with a weighted average grant date fair value of $8.60 per share. Both of these performance-based restricted stock awards had a payout opportunity ranging from 25% to 200% of the target number of shares. Based on the Company’s financial results for fiscal 2018, 2019 and 2020, the number of shares expected to be earned as part of the pre-tax income growth objective is 32,521, assuming no forfeitures. Based on the Company's financial results for fiscal 2018, 2019 and 2020, no shares were earned as part of the consolidated revenue growth objective.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vesting date fair value of shares that vested in fiscal 2020 and 2019 was $2.3 million and $2.1 million, respectively.</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(13)  Stockholders’ Equity</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the changes in outstanding shares of common stock for fiscal 2019 and fiscal 2020:</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Common</w:t>
            </w:r>
          </w:p>
        </w:tc>
        <w:tc>
          <w:tcPr>
            <w:tcW w:w="11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February 2, 2019</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14,953,142</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252,839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Shares as of February 1, 2020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15,205,981</w:t>
            </w:r>
          </w:p>
        </w:tc>
        <w:tc>
          <w:tcPr>
            <w:tcW w:w="114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724,977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January 30, 2021</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15,930,958</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7560" w:type="dxa"/>
            <w:vAlign w:val="bottom"/>
            <w:tcBorders>
              <w:top w:val="single" w:sz="8" w:color="CCEEFF"/>
            </w:tcBorders>
          </w:tcPr>
          <w:p>
            <w:pPr>
              <w:ind w:left="4420"/>
              <w:spacing w:after="0"/>
              <w:rPr>
                <w:sz w:val="20"/>
                <w:szCs w:val="20"/>
                <w:color w:val="auto"/>
              </w:rPr>
            </w:pPr>
            <w:r>
              <w:rPr>
                <w:rFonts w:ascii="Arial" w:cs="Arial" w:eastAsia="Arial" w:hAnsi="Arial"/>
                <w:sz w:val="18"/>
                <w:szCs w:val="18"/>
                <w:color w:val="auto"/>
              </w:rPr>
              <w:t>63</w:t>
            </w: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61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(14)  Major Vendors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Four vendors, each of whose primary manufacturing facilities are located in Asia, accounted for approximately 77% and 79% of inventory purchases in 2020 and 2019,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China, Denmark, Ireland and the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U.K. and Ireland), Asia, Australia, the Middle East and Africa.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reporting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Direct-to-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International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Consumer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Commercial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Franchising</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January 30, 2021</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3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249,210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255,310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Fifty-two weeks ended February 1, 2020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338,543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 as of:</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January 30, 2021</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February 1, 2020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280,543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297,262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64</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64" w:name="page65"/>
    <w:bookmarkEnd w:id="64"/>
    <w:p>
      <w:pPr>
        <w:jc w:val="both"/>
        <w:ind w:firstLine="441"/>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America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Europe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Fifty-two weeks ended January 30, 2021</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Net sales to external customers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219,889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33,784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Fifty-two weeks ended February 1, 2020</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For purposes of this table only:</w:t>
      </w:r>
    </w:p>
    <w:p>
      <w:pPr>
        <w:spacing w:after="0" w:line="9"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North America includes the United States, Canada, and Puerto Rico.</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 includes the U.K., Ireland, Denmark and franchise businesses in Europe.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a corporately-managed location in China.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5260" w:type="dxa"/>
            <w:vAlign w:val="bottom"/>
            <w:gridSpan w:val="2"/>
          </w:tcPr>
          <w:p>
            <w:pPr>
              <w:ind w:left="44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8"/>
        </w:trPr>
        <w:tc>
          <w:tcPr>
            <w:tcW w:w="112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Charged to</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Beginning</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6"/>
              </w:rPr>
              <w:t>cost and</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0"/>
              </w:rPr>
              <w:t>Other (1)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4"/>
              </w:rPr>
              <w:t>Ending</w:t>
            </w:r>
          </w:p>
        </w:tc>
      </w:tr>
      <w:tr>
        <w:trPr>
          <w:trHeight w:val="234"/>
        </w:trPr>
        <w:tc>
          <w:tcPr>
            <w:tcW w:w="11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2"/>
              </w:rPr>
              <w:t>expenses</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1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Deferred Tax Asset Valuation Allowance</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15,401</w:t>
            </w:r>
          </w:p>
        </w:tc>
      </w:tr>
      <w:tr>
        <w:trPr>
          <w:trHeight w:val="216"/>
        </w:trPr>
        <w:tc>
          <w:tcPr>
            <w:tcW w:w="1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6,774</w:t>
            </w: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Allowance for Doubtful Accounts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2020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7,369</w:t>
            </w:r>
          </w:p>
        </w:tc>
      </w:tr>
      <w:tr>
        <w:trPr>
          <w:trHeight w:val="216"/>
        </w:trPr>
        <w:tc>
          <w:tcPr>
            <w:tcW w:w="1120" w:type="dxa"/>
            <w:vAlign w:val="bottom"/>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r>
    </w:tbl>
    <w:p>
      <w:pPr>
        <w:spacing w:after="0" w:line="202" w:lineRule="exact"/>
        <w:rPr>
          <w:sz w:val="20"/>
          <w:szCs w:val="20"/>
          <w:color w:val="auto"/>
        </w:rPr>
      </w:pPr>
    </w:p>
    <w:p>
      <w:pPr>
        <w:ind w:left="1400" w:hanging="258"/>
        <w:spacing w:after="0"/>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deferred tax asset valuation allowance represents reserves utilized, ASC842 adoption, and the impact of currency translation</w:t>
      </w:r>
    </w:p>
    <w:p>
      <w:pPr>
        <w:spacing w:after="0" w:line="46" w:lineRule="exact"/>
        <w:rPr>
          <w:rFonts w:ascii="Arial" w:cs="Arial" w:eastAsia="Arial" w:hAnsi="Arial"/>
          <w:sz w:val="16"/>
          <w:szCs w:val="16"/>
          <w:color w:val="auto"/>
        </w:rPr>
      </w:pPr>
    </w:p>
    <w:p>
      <w:pPr>
        <w:ind w:left="1140" w:firstLine="2"/>
        <w:spacing w:after="0" w:line="260" w:lineRule="auto"/>
        <w:tabs>
          <w:tab w:leader="none" w:pos="1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receivables allowance for doubtful accounts represent uncollectible accounts written off, recoveries and the impact of currency translation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22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20" w:type="dxa"/>
            <w:vAlign w:val="bottom"/>
            <w:tcBorders>
              <w:bottom w:val="single" w:sz="8" w:color="0000EE"/>
            </w:tcBorders>
            <w:gridSpan w:val="18"/>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from Exhibit 2.1 to our Registration Statement on Form S-1, filed on August 12, 2004, Registration No. 333-118142)</w:t>
              </w:r>
            </w:hyperlink>
          </w:p>
        </w:tc>
        <w:tc>
          <w:tcPr>
            <w:tcW w:w="1780" w:type="dxa"/>
            <w:vAlign w:val="bottom"/>
            <w:gridSpan w:val="14"/>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980" w:type="dxa"/>
            <w:vAlign w:val="bottom"/>
            <w:tcBorders>
              <w:bottom w:val="single" w:sz="8" w:color="0000EE"/>
            </w:tcBorders>
            <w:gridSpan w:val="16"/>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Third Amended and Restated Certificate of Incorporation (incorporated by reference from Exhibit 3.1 of our Current Report on Form 8-K,</w:t>
              </w:r>
            </w:hyperlink>
          </w:p>
        </w:tc>
        <w:tc>
          <w:tcPr>
            <w:tcW w:w="24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filed on November 8, 2004)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Amended and Restated Bylaws, as amended through January 4, 2018 (incorporated by reference from Exhibit 3.1 to our Current Report on</w:t>
              </w:r>
            </w:hyperlink>
          </w:p>
        </w:tc>
        <w:tc>
          <w:tcPr>
            <w:tcW w:w="2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Form 8-K, filed on January 4, 2018)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220" w:type="dxa"/>
            <w:vAlign w:val="bottom"/>
            <w:gridSpan w:val="22"/>
          </w:tcPr>
          <w:p>
            <w:pPr>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8"/>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9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Description of Registrant's Securities Registered Pursuant to Section 12 of the Securities Exchange Act of 1934, as amended.</w:t>
              </w:r>
            </w:hyperlink>
          </w:p>
        </w:tc>
        <w:tc>
          <w:tcPr>
            <w:tcW w:w="1200" w:type="dxa"/>
            <w:vAlign w:val="bottom"/>
            <w:gridSpan w:val="10"/>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40" w:type="dxa"/>
            <w:vAlign w:val="bottom"/>
            <w:tcBorders>
              <w:bottom w:val="single" w:sz="8" w:color="0000EE"/>
            </w:tcBorders>
            <w:gridSpan w:val="20"/>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Build-A-Bear Workshop, Inc. Amended and Restated 2004 Stock Incentive Plan (incorporated by reference from Exhibit 10.1 to our Current</w:t>
              </w:r>
            </w:hyperlink>
          </w:p>
        </w:tc>
        <w:tc>
          <w:tcPr>
            <w:tcW w:w="8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2"/>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Report on Form 8-K, filed on August 1, 2006)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160" w:type="dxa"/>
            <w:vAlign w:val="bottom"/>
            <w:tcBorders>
              <w:bottom w:val="single" w:sz="8" w:color="0000EE"/>
            </w:tcBorders>
            <w:gridSpan w:val="21"/>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Second Amended and Restated Build-A-Bear Workshop, Inc. 2004 Stock Incentive Plan (incorporated by reference from Exhibit 99.1 on our</w:t>
              </w:r>
            </w:hyperlink>
          </w:p>
        </w:tc>
        <w:tc>
          <w:tcPr>
            <w:tcW w:w="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Registration Statement on Form S-8, filed on May 18, 2009)</w:t>
              </w:r>
            </w:hyperlink>
          </w:p>
        </w:tc>
        <w:tc>
          <w:tcPr>
            <w:tcW w:w="5860" w:type="dxa"/>
            <w:vAlign w:val="bottom"/>
            <w:gridSpan w:val="15"/>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220" w:type="dxa"/>
            <w:vAlign w:val="bottom"/>
            <w:gridSpan w:val="22"/>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Third Amended and Restated Build-A-Bear Workshop, Inc. 2004 Stock Incentive Plan (incorporated by reference from Exhibit 10.1 on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Current Report on Form 8-K, filed on May 12, 2014)</w:t>
              </w:r>
            </w:hyperlink>
          </w:p>
        </w:tc>
        <w:tc>
          <w:tcPr>
            <w:tcW w:w="200" w:type="dxa"/>
            <w:vAlign w:val="bottom"/>
            <w:gridSpan w:val="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100" w:type="dxa"/>
            <w:vAlign w:val="bottom"/>
            <w:tcBorders>
              <w:bottom w:val="single" w:sz="8" w:color="0000EE"/>
            </w:tcBorders>
            <w:gridSpan w:val="19"/>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the Restricted Stock and Non-Qualified Stock Option Agreement under the Registrant’s Second Amended and Restated 2004 Stock</w:t>
              </w:r>
            </w:hyperlink>
          </w:p>
        </w:tc>
        <w:tc>
          <w:tcPr>
            <w:tcW w:w="1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Incentive Plan (incorporated by reference from Exhibit 10.2 on our Current Report on Form 8-K, filed on March 28, 2011)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220" w:type="dxa"/>
            <w:vAlign w:val="bottom"/>
            <w:gridSpan w:val="22"/>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Incentive Plan (incorporated by reference from Exhibit 10.2 on our Current Report on Form 8-K, filed on May 12, 2014)</w:t>
              </w:r>
            </w:hyperlink>
          </w:p>
        </w:tc>
        <w:tc>
          <w:tcPr>
            <w:tcW w:w="1260" w:type="dxa"/>
            <w:vAlign w:val="bottom"/>
            <w:tcBorders>
              <w:top w:val="single" w:sz="8" w:color="0000EE"/>
            </w:tcBorders>
            <w:gridSpan w:val="6"/>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10220" w:type="dxa"/>
            <w:vAlign w:val="bottom"/>
            <w:gridSpan w:val="22"/>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Incentive Plan (incorporated by reference from Exhibit 10.1 on our Current Report on Form 8-K, filed on March 20, 2015)</w:t>
              </w:r>
            </w:hyperlink>
          </w:p>
        </w:tc>
        <w:tc>
          <w:tcPr>
            <w:tcW w:w="1120" w:type="dxa"/>
            <w:vAlign w:val="bottom"/>
            <w:tcBorders>
              <w:top w:val="single" w:sz="8" w:color="0000EE"/>
            </w:tcBorders>
            <w:gridSpan w:val="4"/>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Form of Restricted Stock and Non-Qualified Stock Option Agreement under the Registrant’s Third Amended and Restated 2004 Stock</w:t>
              </w:r>
            </w:hyperlink>
          </w:p>
        </w:tc>
        <w:tc>
          <w:tcPr>
            <w:tcW w:w="52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2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Incentive Plan (incorporated by reference from Exhibit 10.7 on our Current Report on Form 8-K, filed on March 11, 2016)</w:t>
              </w:r>
            </w:hyperlink>
          </w:p>
        </w:tc>
      </w:tr>
      <w:tr>
        <w:trPr>
          <w:trHeight w:val="669"/>
        </w:trPr>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8420" w:type="dxa"/>
            <w:vAlign w:val="bottom"/>
            <w:tcBorders>
              <w:top w:val="single" w:sz="8" w:color="0000EE"/>
            </w:tcBorders>
            <w:gridSpan w:val="7"/>
          </w:tcPr>
          <w:p>
            <w:pPr>
              <w:jc w:val="right"/>
              <w:ind w:right="3740"/>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66" w:name="page67"/>
    <w:bookmarkEnd w:id="66"/>
    <w:p>
      <w:pPr>
        <w:ind w:left="1020" w:right="500" w:hanging="1011"/>
        <w:spacing w:after="0" w:line="308"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10.1.7*</w:t>
      </w:r>
      <w:r>
        <w:rPr>
          <w:sz w:val="20"/>
          <w:szCs w:val="20"/>
          <w:color w:val="auto"/>
        </w:rPr>
        <w:tab/>
      </w:r>
      <w:hyperlink r:id="rId95">
        <w:r>
          <w:rPr>
            <w:rFonts w:ascii="Arial" w:cs="Arial" w:eastAsia="Arial" w:hAnsi="Arial"/>
            <w:sz w:val="17"/>
            <w:szCs w:val="17"/>
            <w:u w:val="single" w:color="auto"/>
            <w:color w:val="0000EE"/>
          </w:rPr>
          <w:t>Form of Restricted Stock Agreement under the Registrant’s Third Amended and Restated 2004 Stock Incentive Plan (incorporated by</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reference from Exhibit 10.1.11 on our Annual Report on Form 10-K, for the year ended December 31, 2016)</w:t>
        </w:r>
      </w:hyperlink>
    </w:p>
    <w:p>
      <w:pPr>
        <w:spacing w:after="0" w:line="146" w:lineRule="exact"/>
        <w:rPr>
          <w:sz w:val="20"/>
          <w:szCs w:val="20"/>
          <w:color w:val="auto"/>
        </w:rPr>
      </w:pPr>
    </w:p>
    <w:p>
      <w:pPr>
        <w:ind w:left="1020" w:right="420" w:hanging="1011"/>
        <w:spacing w:after="0" w:line="308"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hyperlink r:id="rId96">
        <w:r>
          <w:rPr>
            <w:rFonts w:ascii="Arial" w:cs="Arial" w:eastAsia="Arial" w:hAnsi="Arial"/>
            <w:sz w:val="17"/>
            <w:szCs w:val="17"/>
            <w:u w:val="single" w:color="auto"/>
            <w:color w:val="0000EE"/>
          </w:rPr>
          <w:t>Form of Restricted Stock and Non-Qualified Stock Option Agreement under the Registrant’s Third Amended and Restated 2004 Stock</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Incentive Plan (incorporated by reference from Exhibit 10.2 on our Current Report on Form 8-K, filed on March 17, 2017)</w:t>
        </w:r>
      </w:hyperlink>
    </w:p>
    <w:p>
      <w:pPr>
        <w:spacing w:after="0" w:line="146" w:lineRule="exact"/>
        <w:rPr>
          <w:sz w:val="20"/>
          <w:szCs w:val="20"/>
          <w:color w:val="auto"/>
        </w:rPr>
      </w:pPr>
    </w:p>
    <w:p>
      <w:pPr>
        <w:ind w:left="1020" w:right="6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97">
        <w:r>
          <w:rPr>
            <w:rFonts w:ascii="Arial" w:cs="Arial" w:eastAsia="Arial" w:hAnsi="Arial"/>
            <w:sz w:val="18"/>
            <w:szCs w:val="18"/>
            <w:u w:val="single" w:color="auto"/>
            <w:color w:val="0000EE"/>
          </w:rPr>
          <w:t>Build-A-Bear Workshop, Inc. 2017 Omnibus Incentive Plan (incorporated by reference from Exhibit 10.1 to our Current Report on Form 8-</w:t>
        </w:r>
      </w:hyperlink>
      <w:hyperlink r:id="rId97">
        <w:r>
          <w:rPr>
            <w:rFonts w:ascii="Arial" w:cs="Arial" w:eastAsia="Arial" w:hAnsi="Arial"/>
            <w:sz w:val="18"/>
            <w:szCs w:val="18"/>
            <w:u w:val="single" w:color="auto"/>
            <w:color w:val="0000EE"/>
          </w:rPr>
          <w:t>K, filed on May 12, 2017)</w:t>
        </w:r>
      </w:hyperlink>
    </w:p>
    <w:p>
      <w:pPr>
        <w:spacing w:after="0" w:line="170" w:lineRule="exact"/>
        <w:rPr>
          <w:sz w:val="20"/>
          <w:szCs w:val="20"/>
          <w:color w:val="auto"/>
        </w:rPr>
      </w:pPr>
    </w:p>
    <w:p>
      <w:pPr>
        <w:ind w:left="102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10.1.10*</w:t>
      </w:r>
      <w:r>
        <w:rPr>
          <w:sz w:val="20"/>
          <w:szCs w:val="20"/>
          <w:color w:val="auto"/>
        </w:rPr>
        <w:tab/>
      </w:r>
      <w:hyperlink r:id="rId98">
        <w:r>
          <w:rPr>
            <w:rFonts w:ascii="Arial" w:cs="Arial" w:eastAsia="Arial" w:hAnsi="Arial"/>
            <w:sz w:val="18"/>
            <w:szCs w:val="18"/>
            <w:u w:val="single" w:color="auto"/>
            <w:color w:val="0000EE"/>
          </w:rPr>
          <w:t>Form of Restricted Stock and Non-Qualified Stock Option Award Agreement under Registrant's 2017 Omnibus Incentive Plan (incorporated</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by reference from Exhibit 10.2 on our Current Report on Form 8-K, filed on March 21, 2018)</w:t>
        </w:r>
      </w:hyperlink>
    </w:p>
    <w:p>
      <w:pPr>
        <w:spacing w:after="0" w:line="170" w:lineRule="exact"/>
        <w:rPr>
          <w:sz w:val="20"/>
          <w:szCs w:val="20"/>
          <w:color w:val="auto"/>
        </w:rPr>
      </w:pPr>
    </w:p>
    <w:p>
      <w:pPr>
        <w:ind w:left="1020" w:right="12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10.1.11*</w:t>
      </w:r>
      <w:r>
        <w:rPr>
          <w:sz w:val="20"/>
          <w:szCs w:val="20"/>
          <w:color w:val="auto"/>
        </w:rPr>
        <w:tab/>
      </w:r>
      <w:hyperlink r:id="rId99">
        <w:r>
          <w:rPr>
            <w:rFonts w:ascii="Arial" w:cs="Arial" w:eastAsia="Arial" w:hAnsi="Arial"/>
            <w:sz w:val="18"/>
            <w:szCs w:val="18"/>
            <w:u w:val="single" w:color="auto"/>
            <w:color w:val="0000EE"/>
          </w:rPr>
          <w:t>Description of Build-A-Bear Workshop, Inc. Long-term Performance-Based Cash Incentive Program for Chiefs (incorporated by reference</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from Exhibit 10.3 on our Current Report on Form 8-K, filed on March 21, 2018)</w:t>
        </w:r>
      </w:hyperlink>
    </w:p>
    <w:p>
      <w:pPr>
        <w:spacing w:after="0" w:line="170" w:lineRule="exact"/>
        <w:rPr>
          <w:sz w:val="20"/>
          <w:szCs w:val="20"/>
          <w:color w:val="auto"/>
        </w:rPr>
      </w:pPr>
    </w:p>
    <w:p>
      <w:pPr>
        <w:ind w:left="1020" w:right="32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10.1.12*</w:t>
      </w:r>
      <w:r>
        <w:rPr>
          <w:sz w:val="20"/>
          <w:szCs w:val="20"/>
          <w:color w:val="auto"/>
        </w:rPr>
        <w:tab/>
      </w:r>
      <w:hyperlink r:id="rId100">
        <w:r>
          <w:rPr>
            <w:rFonts w:ascii="Arial" w:cs="Arial" w:eastAsia="Arial" w:hAnsi="Arial"/>
            <w:sz w:val="18"/>
            <w:szCs w:val="18"/>
            <w:u w:val="single" w:color="auto"/>
            <w:color w:val="0000EE"/>
          </w:rPr>
          <w:t>Description of Build-A-Bear Workshop, Inc. Cash Bonus Program for C-Level Employees (incorporated by reference from Exhibit 10.1</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on our Current Report on Form 8-K, filed on April 19, 2019)</w:t>
        </w:r>
      </w:hyperlink>
    </w:p>
    <w:p>
      <w:pPr>
        <w:spacing w:after="0" w:line="170" w:lineRule="exact"/>
        <w:rPr>
          <w:sz w:val="20"/>
          <w:szCs w:val="20"/>
          <w:color w:val="auto"/>
        </w:rPr>
      </w:pPr>
    </w:p>
    <w:p>
      <w:pPr>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10.1.13*</w:t>
      </w:r>
      <w:r>
        <w:rPr>
          <w:sz w:val="20"/>
          <w:szCs w:val="20"/>
          <w:color w:val="auto"/>
        </w:rPr>
        <w:tab/>
      </w:r>
      <w:hyperlink r:id="rId101">
        <w:r>
          <w:rPr>
            <w:rFonts w:ascii="Arial" w:cs="Arial" w:eastAsia="Arial" w:hAnsi="Arial"/>
            <w:sz w:val="16"/>
            <w:szCs w:val="16"/>
            <w:u w:val="single" w:color="auto"/>
            <w:color w:val="0000EE"/>
          </w:rPr>
          <w:t>Form of Restricted Stock Agreement (incorporated by reference from Exhibit 10.2 on our Current Report on Form 8-K, filed on April 19,</w:t>
        </w:r>
      </w:hyperlink>
    </w:p>
    <w:p>
      <w:pPr>
        <w:spacing w:after="0" w:line="23" w:lineRule="exact"/>
        <w:rPr>
          <w:sz w:val="20"/>
          <w:szCs w:val="20"/>
          <w:color w:val="auto"/>
        </w:rPr>
      </w:pPr>
    </w:p>
    <w:p>
      <w:pPr>
        <w:ind w:left="1020"/>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2019)</w:t>
        </w:r>
      </w:hyperlink>
    </w:p>
    <w:p>
      <w:pPr>
        <w:spacing w:after="0" w:line="211" w:lineRule="exact"/>
        <w:rPr>
          <w:sz w:val="20"/>
          <w:szCs w:val="20"/>
          <w:color w:val="auto"/>
        </w:rPr>
      </w:pPr>
    </w:p>
    <w:p>
      <w:pPr>
        <w:ind w:left="1020" w:right="4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10.1.14*</w:t>
      </w:r>
      <w:r>
        <w:rPr>
          <w:sz w:val="20"/>
          <w:szCs w:val="20"/>
          <w:color w:val="auto"/>
        </w:rPr>
        <w:tab/>
      </w:r>
      <w:hyperlink r:id="rId102">
        <w:r>
          <w:rPr>
            <w:rFonts w:ascii="Arial" w:cs="Arial" w:eastAsia="Arial" w:hAnsi="Arial"/>
            <w:sz w:val="18"/>
            <w:szCs w:val="18"/>
            <w:u w:val="single" w:color="auto"/>
            <w:color w:val="0000EE"/>
          </w:rPr>
          <w:t>Description of Build-A-Bear Workshop, Inc. Long-Term Performance-Based Cash Incentive Program for C-Level Employees (incorporated</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by reference from Exhibit 10.3 on our Current Report on Form 8-K, filed on April 19, 2019)</w:t>
        </w:r>
      </w:hyperlink>
    </w:p>
    <w:p>
      <w:pPr>
        <w:spacing w:after="0" w:line="170" w:lineRule="exact"/>
        <w:rPr>
          <w:sz w:val="20"/>
          <w:szCs w:val="20"/>
          <w:color w:val="auto"/>
        </w:rPr>
      </w:pPr>
    </w:p>
    <w:p>
      <w:pPr>
        <w:ind w:left="1020" w:right="10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10.1.15*</w:t>
      </w:r>
      <w:r>
        <w:rPr>
          <w:sz w:val="20"/>
          <w:szCs w:val="20"/>
          <w:color w:val="auto"/>
        </w:rPr>
        <w:tab/>
      </w:r>
      <w:hyperlink r:id="rId103">
        <w:r>
          <w:rPr>
            <w:rFonts w:ascii="Arial" w:cs="Arial" w:eastAsia="Arial" w:hAnsi="Arial"/>
            <w:sz w:val="18"/>
            <w:szCs w:val="18"/>
            <w:u w:val="single" w:color="auto"/>
            <w:color w:val="0000EE"/>
          </w:rPr>
          <w:t>Description of Build-A-Bear Workshop, Inc. Cash Bonus Program for C-Level Employees (incorporated by reference from Exhibit 10.1 on</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our Current Report on Form 8-K, filed on October 9, 2020)</w:t>
        </w:r>
      </w:hyperlink>
    </w:p>
    <w:p>
      <w:pPr>
        <w:spacing w:after="0" w:line="170" w:lineRule="exact"/>
        <w:rPr>
          <w:sz w:val="20"/>
          <w:szCs w:val="20"/>
          <w:color w:val="auto"/>
        </w:rPr>
      </w:pPr>
    </w:p>
    <w:p>
      <w:pPr>
        <w:ind w:left="1020" w:right="54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10.1.16*</w:t>
      </w:r>
      <w:r>
        <w:rPr>
          <w:sz w:val="20"/>
          <w:szCs w:val="20"/>
          <w:color w:val="auto"/>
        </w:rPr>
        <w:tab/>
      </w:r>
      <w:hyperlink r:id="rId104">
        <w:r>
          <w:rPr>
            <w:rFonts w:ascii="Arial" w:cs="Arial" w:eastAsia="Arial" w:hAnsi="Arial"/>
            <w:sz w:val="18"/>
            <w:szCs w:val="18"/>
            <w:u w:val="single" w:color="auto"/>
            <w:color w:val="0000EE"/>
          </w:rPr>
          <w:t>Description of Build-A-Bear Workshop, Inc. Three-Year Performance-Based Cash Program for C-Level Employees (incorporated by</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reference from Exhibit 10.2 on our Current Report on Form 8-K, filed on October 9, 2020)</w:t>
        </w:r>
      </w:hyperlink>
    </w:p>
    <w:p>
      <w:pPr>
        <w:spacing w:after="0" w:line="170" w:lineRule="exact"/>
        <w:rPr>
          <w:sz w:val="20"/>
          <w:szCs w:val="20"/>
          <w:color w:val="auto"/>
        </w:rPr>
      </w:pPr>
    </w:p>
    <w:p>
      <w:pPr>
        <w:ind w:left="1020" w:right="14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10.1.17*</w:t>
      </w:r>
      <w:r>
        <w:rPr>
          <w:sz w:val="20"/>
          <w:szCs w:val="20"/>
          <w:color w:val="auto"/>
        </w:rPr>
        <w:tab/>
      </w:r>
      <w:hyperlink r:id="rId105">
        <w:r>
          <w:rPr>
            <w:rFonts w:ascii="Arial" w:cs="Arial" w:eastAsia="Arial" w:hAnsi="Arial"/>
            <w:sz w:val="18"/>
            <w:szCs w:val="18"/>
            <w:u w:val="single" w:color="auto"/>
            <w:color w:val="0000EE"/>
          </w:rPr>
          <w:t>Form of Restricted Stock Agreement under the Registrant’s 2020 Omnibus Incentive Plan (incorporated by reference from Exhibit 10.3 on</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our Current Report on Form 8-K, filed on October 9, 2020)</w:t>
        </w:r>
      </w:hyperlink>
    </w:p>
    <w:p>
      <w:pPr>
        <w:spacing w:after="0" w:line="170" w:lineRule="exact"/>
        <w:rPr>
          <w:sz w:val="20"/>
          <w:szCs w:val="20"/>
          <w:color w:val="auto"/>
        </w:rPr>
      </w:pPr>
    </w:p>
    <w:p>
      <w:pPr>
        <w:ind w:left="1020" w:right="10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 *</w:t>
      </w:r>
      <w:r>
        <w:rPr>
          <w:sz w:val="20"/>
          <w:szCs w:val="20"/>
          <w:color w:val="auto"/>
        </w:rPr>
        <w:tab/>
      </w:r>
      <w:hyperlink r:id="rId106">
        <w:r>
          <w:rPr>
            <w:rFonts w:ascii="Arial" w:cs="Arial" w:eastAsia="Arial" w:hAnsi="Arial"/>
            <w:sz w:val="18"/>
            <w:szCs w:val="18"/>
            <w:u w:val="single" w:color="auto"/>
            <w:color w:val="0000EE"/>
          </w:rPr>
          <w:t>Nonqualified Deferred Compensation Plan (incorporated by reference from Exhibit 10.42 to our Annual Report on Form 10-K, for the year</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ended December 30, 2006)</w:t>
        </w:r>
      </w:hyperlink>
    </w:p>
    <w:p>
      <w:pPr>
        <w:spacing w:after="0" w:line="170" w:lineRule="exact"/>
        <w:rPr>
          <w:sz w:val="20"/>
          <w:szCs w:val="20"/>
          <w:color w:val="auto"/>
        </w:rPr>
      </w:pPr>
    </w:p>
    <w:p>
      <w:pPr>
        <w:ind w:left="1020" w:right="200" w:hanging="1011"/>
        <w:spacing w:after="0" w:line="342" w:lineRule="auto"/>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07">
        <w:r>
          <w:rPr>
            <w:rFonts w:ascii="Arial" w:cs="Arial" w:eastAsia="Arial" w:hAnsi="Arial"/>
            <w:sz w:val="16"/>
            <w:szCs w:val="16"/>
            <w:u w:val="single" w:color="auto"/>
            <w:color w:val="0000EE"/>
          </w:rPr>
          <w:t>Amended and Restated Employment, Confidentiality and Noncompete Agreement, dated March 7, 2016, by and between Eric Fencl and</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Build-A-Bear Workshop, Inc. (incorporated by reference from Exhibit 10.1 on our Current Report on Form 8-K, filed on March 11, 2016)</w:t>
        </w:r>
      </w:hyperlink>
    </w:p>
    <w:p>
      <w:pPr>
        <w:spacing w:after="0" w:line="124" w:lineRule="exact"/>
        <w:rPr>
          <w:sz w:val="20"/>
          <w:szCs w:val="20"/>
          <w:color w:val="auto"/>
        </w:rPr>
      </w:pPr>
    </w:p>
    <w:p>
      <w:pPr>
        <w:jc w:val="right"/>
        <w:ind w:right="160"/>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10.3.1*     </w:t>
      </w:r>
      <w:hyperlink r:id="rId108">
        <w:r>
          <w:rPr>
            <w:rFonts w:ascii="Arial" w:cs="Arial" w:eastAsia="Arial" w:hAnsi="Arial"/>
            <w:sz w:val="17"/>
            <w:szCs w:val="17"/>
            <w:u w:val="single" w:color="auto"/>
            <w:color w:val="0000EE"/>
          </w:rPr>
          <w:t>Amendment to Employment, Confidentiality and Noncompete Agreement, effective as of March 29, 2020, by and between Eric Fencl and</w:t>
        </w:r>
      </w:hyperlink>
      <w:r>
        <w:rPr>
          <w:rFonts w:ascii="Arial" w:cs="Arial" w:eastAsia="Arial" w:hAnsi="Arial"/>
          <w:sz w:val="17"/>
          <w:szCs w:val="17"/>
          <w:color w:val="auto"/>
        </w:rPr>
        <w:t xml:space="preserve"> </w:t>
      </w:r>
      <w:hyperlink r:id="rId108">
        <w:r>
          <w:rPr>
            <w:rFonts w:ascii="Arial" w:cs="Arial" w:eastAsia="Arial" w:hAnsi="Arial"/>
            <w:sz w:val="17"/>
            <w:szCs w:val="17"/>
            <w:u w:val="single" w:color="auto"/>
            <w:color w:val="0000EE"/>
          </w:rPr>
          <w:t>Build-A-Bear Workshop, Inc. (incorporate by reference from Exhibit 10.1 on our Quarterly Report on Form 10-Q, filed on June 11, 2020)</w:t>
        </w:r>
      </w:hyperlink>
    </w:p>
    <w:p>
      <w:pPr>
        <w:spacing w:after="0" w:line="146" w:lineRule="exact"/>
        <w:rPr>
          <w:sz w:val="20"/>
          <w:szCs w:val="20"/>
          <w:color w:val="auto"/>
        </w:rPr>
      </w:pPr>
    </w:p>
    <w:p>
      <w:pPr>
        <w:ind w:left="1020" w:right="220" w:hanging="1011"/>
        <w:spacing w:after="0" w:line="277"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09">
        <w:r>
          <w:rPr>
            <w:rFonts w:ascii="Arial" w:cs="Arial" w:eastAsia="Arial" w:hAnsi="Arial"/>
            <w:sz w:val="18"/>
            <w:szCs w:val="18"/>
            <w:u w:val="single" w:color="auto"/>
            <w:color w:val="0000EE"/>
          </w:rPr>
          <w:t>Consent to Reduced 2020 Target Bonus Opportunity, dated October 6, 2020 by and between Eric Fencl and Build-A-Bear Workshop, Inc.</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(incorporated by reference from Exhibit 10.4 on our Current Report on Form 8-K, filed on October 9, 2020)</w:t>
        </w:r>
      </w:hyperlink>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180" w:type="dxa"/>
            <w:vAlign w:val="bottom"/>
            <w:tcBorders>
              <w:bottom w:val="single" w:sz="8" w:color="0000EE"/>
            </w:tcBorders>
            <w:gridSpan w:val="17"/>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Amended and Restated Employment, Confidentiality and Noncompete Agreement, dated March 7, 2016, by and between J. Christopher Hurt</w:t>
              </w:r>
            </w:hyperlink>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and Build-A-Bear Workshop, Inc. (incorporated by reference from Exhibit 10.2 on our Current Report on Form 8-K, filed on March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2016)</w:t>
              </w:r>
            </w:hyperlink>
          </w:p>
        </w:tc>
        <w:tc>
          <w:tcPr>
            <w:tcW w:w="64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10.4.1*</w:t>
            </w:r>
          </w:p>
        </w:tc>
        <w:tc>
          <w:tcPr>
            <w:tcW w:w="9920" w:type="dxa"/>
            <w:vAlign w:val="bottom"/>
            <w:tcBorders>
              <w:bottom w:val="single" w:sz="8" w:color="0000EE"/>
            </w:tcBorders>
            <w:gridSpan w:val="9"/>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Amendment to Employment, Confidentiality and Noncompete Agreement, effective as of March 29, 2020, by and between J. Christopher</w:t>
              </w:r>
            </w:hyperlink>
          </w:p>
        </w:tc>
        <w:tc>
          <w:tcPr>
            <w:tcW w:w="30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Hurt and Build-A-Bear Workshop, Inc. (incorporate by reference from Exhibit 10.2 on our Quarterly Report on Form 10-Q, filed on June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2">
              <w:r>
                <w:rPr>
                  <w:rFonts w:ascii="Arial" w:cs="Arial" w:eastAsia="Arial" w:hAnsi="Arial"/>
                  <w:sz w:val="18"/>
                  <w:szCs w:val="18"/>
                  <w:color w:val="0000EE"/>
                  <w:w w:val="86"/>
                </w:rPr>
                <w:t>2020)</w:t>
              </w:r>
            </w:hyperlink>
          </w:p>
        </w:tc>
        <w:tc>
          <w:tcPr>
            <w:tcW w:w="64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10.4.2*</w:t>
            </w:r>
          </w:p>
        </w:tc>
        <w:tc>
          <w:tcPr>
            <w:tcW w:w="10220" w:type="dxa"/>
            <w:vAlign w:val="bottom"/>
            <w:gridSpan w:val="18"/>
          </w:tcPr>
          <w:p>
            <w:pPr>
              <w:spacing w:after="0"/>
              <w:rPr>
                <w:rFonts w:ascii="Arial" w:cs="Arial" w:eastAsia="Arial" w:hAnsi="Arial"/>
                <w:sz w:val="18"/>
                <w:szCs w:val="18"/>
                <w:color w:val="0000EE"/>
                <w:w w:val="98"/>
              </w:rPr>
            </w:pPr>
            <w:hyperlink r:id="rId113">
              <w:r>
                <w:rPr>
                  <w:rFonts w:ascii="Arial" w:cs="Arial" w:eastAsia="Arial" w:hAnsi="Arial"/>
                  <w:sz w:val="18"/>
                  <w:szCs w:val="18"/>
                  <w:color w:val="0000EE"/>
                  <w:w w:val="98"/>
                </w:rPr>
                <w:t>Consent to Reduced 2020 Target Bonus Opportunity, dated October 6, 2020 by and between J. Christopher Hurt and Build-A-Bear</w:t>
              </w:r>
            </w:hyperlink>
          </w:p>
        </w:tc>
      </w:tr>
      <w:tr>
        <w:trPr>
          <w:trHeight w:val="196"/>
        </w:trPr>
        <w:tc>
          <w:tcPr>
            <w:tcW w:w="1020" w:type="dxa"/>
            <w:vAlign w:val="bottom"/>
          </w:tcPr>
          <w:p>
            <w:pPr>
              <w:spacing w:after="0"/>
              <w:rPr>
                <w:sz w:val="17"/>
                <w:szCs w:val="17"/>
                <w:color w:val="auto"/>
              </w:rPr>
            </w:pPr>
          </w:p>
        </w:tc>
        <w:tc>
          <w:tcPr>
            <w:tcW w:w="9400" w:type="dxa"/>
            <w:vAlign w:val="bottom"/>
            <w:tcBorders>
              <w:top w:val="single" w:sz="8" w:color="0000EE"/>
            </w:tcBorders>
            <w:gridSpan w:val="6"/>
          </w:tcPr>
          <w:p>
            <w:pPr>
              <w:spacing w:after="0" w:line="196" w:lineRule="exact"/>
              <w:rPr>
                <w:rFonts w:ascii="Arial" w:cs="Arial" w:eastAsia="Arial" w:hAnsi="Arial"/>
                <w:sz w:val="18"/>
                <w:szCs w:val="18"/>
                <w:color w:val="0000EE"/>
                <w:w w:val="96"/>
              </w:rPr>
            </w:pPr>
            <w:hyperlink r:id="rId113">
              <w:r>
                <w:rPr>
                  <w:rFonts w:ascii="Arial" w:cs="Arial" w:eastAsia="Arial" w:hAnsi="Arial"/>
                  <w:sz w:val="18"/>
                  <w:szCs w:val="18"/>
                  <w:color w:val="0000EE"/>
                  <w:w w:val="96"/>
                </w:rPr>
                <w:t>Workshop, Inc. (incorporated by reference from Exhibit 10.5 on our Current Report on Form 8-K, filed on October 9, 2020)</w:t>
              </w:r>
            </w:hyperlink>
          </w:p>
        </w:tc>
        <w:tc>
          <w:tcPr>
            <w:tcW w:w="820" w:type="dxa"/>
            <w:vAlign w:val="bottom"/>
            <w:gridSpan w:val="1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100" w:type="dxa"/>
            <w:vAlign w:val="bottom"/>
            <w:tcBorders>
              <w:bottom w:val="single" w:sz="8" w:color="0000EE"/>
            </w:tcBorders>
            <w:gridSpan w:val="14"/>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Employment, Confidentiality and Noncompete Agreement, dated March 7, 2016, by and between Sharon Price John</w:t>
              </w:r>
            </w:hyperlink>
          </w:p>
        </w:tc>
        <w:tc>
          <w:tcPr>
            <w:tcW w:w="12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6"/>
              </w:rPr>
            </w:pPr>
            <w:hyperlink r:id="rId114">
              <w:r>
                <w:rPr>
                  <w:rFonts w:ascii="Arial" w:cs="Arial" w:eastAsia="Arial" w:hAnsi="Arial"/>
                  <w:sz w:val="18"/>
                  <w:szCs w:val="18"/>
                  <w:color w:val="0000EE"/>
                  <w:w w:val="96"/>
                </w:rPr>
                <w:t>and Build-A-Bear Workshop, Inc. (incorporated by reference from Exhibit 10.3 on our Current Report on Form 8-K, filed on March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4">
              <w:r>
                <w:rPr>
                  <w:rFonts w:ascii="Arial" w:cs="Arial" w:eastAsia="Arial" w:hAnsi="Arial"/>
                  <w:sz w:val="18"/>
                  <w:szCs w:val="18"/>
                  <w:color w:val="0000EE"/>
                  <w:w w:val="86"/>
                </w:rPr>
                <w:t>2016)</w:t>
              </w:r>
            </w:hyperlink>
          </w:p>
        </w:tc>
        <w:tc>
          <w:tcPr>
            <w:tcW w:w="64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10.5.1*</w:t>
            </w:r>
          </w:p>
        </w:tc>
        <w:tc>
          <w:tcPr>
            <w:tcW w:w="10220" w:type="dxa"/>
            <w:vAlign w:val="bottom"/>
            <w:tcBorders>
              <w:bottom w:val="single" w:sz="8" w:color="0000EE"/>
            </w:tcBorders>
            <w:gridSpan w:val="18"/>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Amendment to Employment, Confidentiality and Noncompete Agreement, effective as of March 29, 2020, by and between Sharon Price John</w:t>
              </w:r>
            </w:hyperlink>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6"/>
              </w:rPr>
            </w:pPr>
            <w:hyperlink r:id="rId115">
              <w:r>
                <w:rPr>
                  <w:rFonts w:ascii="Arial" w:cs="Arial" w:eastAsia="Arial" w:hAnsi="Arial"/>
                  <w:sz w:val="18"/>
                  <w:szCs w:val="18"/>
                  <w:color w:val="0000EE"/>
                  <w:w w:val="96"/>
                </w:rPr>
                <w:t>and Build-A-Bear Workshop, Inc. (incorporate by reference from Exhibit 10.3 on our Quarterly Report on Form 10-Q, filed on June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5">
              <w:r>
                <w:rPr>
                  <w:rFonts w:ascii="Arial" w:cs="Arial" w:eastAsia="Arial" w:hAnsi="Arial"/>
                  <w:sz w:val="18"/>
                  <w:szCs w:val="18"/>
                  <w:color w:val="0000EE"/>
                  <w:w w:val="86"/>
                </w:rPr>
                <w:t>2020)</w:t>
              </w:r>
            </w:hyperlink>
          </w:p>
        </w:tc>
        <w:tc>
          <w:tcPr>
            <w:tcW w:w="64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10.5.2*</w:t>
            </w:r>
          </w:p>
        </w:tc>
        <w:tc>
          <w:tcPr>
            <w:tcW w:w="10160" w:type="dxa"/>
            <w:vAlign w:val="bottom"/>
            <w:tcBorders>
              <w:bottom w:val="single" w:sz="8" w:color="0000EE"/>
            </w:tcBorders>
            <w:gridSpan w:val="16"/>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Consent to Reduced 2020 Target Bonus Opportunity, dated October 6, 2020 by and between Sharon Price John and Build-A-Bear Workshop,</w:t>
              </w:r>
            </w:hyperlink>
          </w:p>
        </w:tc>
        <w:tc>
          <w:tcPr>
            <w:tcW w:w="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Inc. (incorporated by reference from Exhibit 10.6 on our Current Report on Form 8-K, filed on October 9, 2020)</w:t>
              </w:r>
            </w:hyperlink>
          </w:p>
        </w:tc>
        <w:tc>
          <w:tcPr>
            <w:tcW w:w="2120" w:type="dxa"/>
            <w:vAlign w:val="bottom"/>
            <w:gridSpan w:val="1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tcBorders>
              <w:bottom w:val="single" w:sz="8" w:color="0000EE"/>
            </w:tcBorders>
            <w:gridSpan w:val="17"/>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Employment, Confidentiality and Noncompete Agreement, dated March 7, 2016, by and between Jennifer Kretchmar</w:t>
              </w:r>
            </w:hyperlink>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and Build-A-Bear Workshop, Inc. (incorporated by reference from Exhibit 10.4 on our Current Report on Form 8-K, filed on March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7">
              <w:r>
                <w:rPr>
                  <w:rFonts w:ascii="Arial" w:cs="Arial" w:eastAsia="Arial" w:hAnsi="Arial"/>
                  <w:sz w:val="18"/>
                  <w:szCs w:val="18"/>
                  <w:color w:val="0000EE"/>
                  <w:w w:val="86"/>
                </w:rPr>
                <w:t>2016)</w:t>
              </w:r>
            </w:hyperlink>
          </w:p>
        </w:tc>
        <w:tc>
          <w:tcPr>
            <w:tcW w:w="64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10.6.1*</w:t>
            </w:r>
          </w:p>
        </w:tc>
        <w:tc>
          <w:tcPr>
            <w:tcW w:w="10220" w:type="dxa"/>
            <w:vAlign w:val="bottom"/>
            <w:gridSpan w:val="18"/>
          </w:tcPr>
          <w:p>
            <w:pPr>
              <w:spacing w:after="0"/>
              <w:rPr>
                <w:rFonts w:ascii="Arial" w:cs="Arial" w:eastAsia="Arial" w:hAnsi="Arial"/>
                <w:sz w:val="18"/>
                <w:szCs w:val="18"/>
                <w:color w:val="0000EE"/>
                <w:w w:val="98"/>
              </w:rPr>
            </w:pPr>
            <w:hyperlink r:id="rId118">
              <w:r>
                <w:rPr>
                  <w:rFonts w:ascii="Arial" w:cs="Arial" w:eastAsia="Arial" w:hAnsi="Arial"/>
                  <w:sz w:val="18"/>
                  <w:szCs w:val="18"/>
                  <w:color w:val="0000EE"/>
                  <w:w w:val="98"/>
                </w:rPr>
                <w:t>Amendment to Employment, Confidentiality and Noncompete Agreement, effective as of March 29, 2020, by and between Jennifer</w:t>
              </w:r>
            </w:hyperlink>
          </w:p>
        </w:tc>
      </w:tr>
      <w:tr>
        <w:trPr>
          <w:trHeight w:val="20"/>
        </w:trPr>
        <w:tc>
          <w:tcPr>
            <w:tcW w:w="10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Kretchmar and Build-A-Bear Workshop, Inc. (incorporate by reference from Exhibit 10.4 on our Quarterly Report on Form 10-Q, filed on</w:t>
              </w:r>
            </w:hyperlink>
          </w:p>
        </w:tc>
      </w:tr>
      <w:tr>
        <w:trPr>
          <w:trHeight w:val="196"/>
        </w:trPr>
        <w:tc>
          <w:tcPr>
            <w:tcW w:w="10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18">
              <w:r>
                <w:rPr>
                  <w:rFonts w:ascii="Arial" w:cs="Arial" w:eastAsia="Arial" w:hAnsi="Arial"/>
                  <w:sz w:val="18"/>
                  <w:szCs w:val="18"/>
                  <w:color w:val="0000EE"/>
                  <w:w w:val="86"/>
                </w:rPr>
                <w:t>June 11, 2020)</w:t>
              </w:r>
            </w:hyperlink>
          </w:p>
        </w:tc>
        <w:tc>
          <w:tcPr>
            <w:tcW w:w="8880" w:type="dxa"/>
            <w:vAlign w:val="bottom"/>
            <w:tcBorders>
              <w:top w:val="single" w:sz="8" w:color="0000EE"/>
            </w:tcBorders>
            <w:gridSpan w:val="8"/>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10.6.2*</w:t>
            </w:r>
          </w:p>
        </w:tc>
        <w:tc>
          <w:tcPr>
            <w:tcW w:w="9480" w:type="dxa"/>
            <w:vAlign w:val="bottom"/>
            <w:tcBorders>
              <w:bottom w:val="single" w:sz="8" w:color="0000EE"/>
            </w:tcBorders>
            <w:gridSpan w:val="7"/>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Consent to Reduced 2020 Target Bonus Opportunity, dated October 6, 2020 by and between Jennifer Kretchmar and Build-A-Bear</w:t>
              </w:r>
            </w:hyperlink>
          </w:p>
        </w:tc>
        <w:tc>
          <w:tcPr>
            <w:tcW w:w="74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Workshop, Inc. (incorporated by reference from Exhibit 10.7 on our Current Report on Form 8-K, filed on October 9, 2020)</w:t>
              </w:r>
            </w:hyperlink>
          </w:p>
        </w:tc>
      </w:tr>
      <w:tr>
        <w:trPr>
          <w:trHeight w:val="20"/>
        </w:trPr>
        <w:tc>
          <w:tcPr>
            <w:tcW w:w="1020" w:type="dxa"/>
            <w:vAlign w:val="bottom"/>
          </w:tcPr>
          <w:p>
            <w:pPr>
              <w:spacing w:after="0" w:line="20" w:lineRule="exact"/>
              <w:rPr>
                <w:sz w:val="1"/>
                <w:szCs w:val="1"/>
                <w:color w:val="auto"/>
              </w:rPr>
            </w:pPr>
          </w:p>
        </w:tc>
        <w:tc>
          <w:tcPr>
            <w:tcW w:w="7640" w:type="dxa"/>
            <w:vAlign w:val="bottom"/>
            <w:gridSpan w:val="3"/>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220" w:type="dxa"/>
            <w:vAlign w:val="bottom"/>
            <w:gridSpan w:val="18"/>
          </w:tcPr>
          <w:p>
            <w:pPr>
              <w:spacing w:after="0"/>
              <w:rPr>
                <w:rFonts w:ascii="Arial" w:cs="Arial" w:eastAsia="Arial" w:hAnsi="Arial"/>
                <w:sz w:val="18"/>
                <w:szCs w:val="18"/>
                <w:color w:val="0000EE"/>
                <w:w w:val="93"/>
              </w:rPr>
            </w:pPr>
            <w:hyperlink r:id="rId120">
              <w:r>
                <w:rPr>
                  <w:rFonts w:ascii="Arial" w:cs="Arial" w:eastAsia="Arial" w:hAnsi="Arial"/>
                  <w:sz w:val="18"/>
                  <w:szCs w:val="18"/>
                  <w:color w:val="0000EE"/>
                  <w:w w:val="93"/>
                </w:rPr>
                <w:t>Amended and Restated Employment, Confidentiality and Noncompete Agreement, dated March 7, 2016, by and between Vojin Todorovic</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and Build-A-Bear Workshop, Inc. (incorporated by reference from Exhibit 10.5 on our Current Report on Form 8-K, filed on March 11,</w:t>
              </w:r>
            </w:hyperlink>
          </w:p>
        </w:tc>
        <w:tc>
          <w:tcPr>
            <w:tcW w:w="28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0">
              <w:r>
                <w:rPr>
                  <w:rFonts w:ascii="Arial" w:cs="Arial" w:eastAsia="Arial" w:hAnsi="Arial"/>
                  <w:sz w:val="18"/>
                  <w:szCs w:val="18"/>
                  <w:color w:val="0000EE"/>
                  <w:w w:val="86"/>
                </w:rPr>
                <w:t>2016)</w:t>
              </w:r>
            </w:hyperlink>
          </w:p>
        </w:tc>
        <w:tc>
          <w:tcPr>
            <w:tcW w:w="64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10.7.1*</w:t>
            </w:r>
          </w:p>
        </w:tc>
        <w:tc>
          <w:tcPr>
            <w:tcW w:w="10080" w:type="dxa"/>
            <w:vAlign w:val="bottom"/>
            <w:tcBorders>
              <w:bottom w:val="single" w:sz="8" w:color="0000EE"/>
            </w:tcBorders>
            <w:gridSpan w:val="13"/>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Amendment to Employment, Confidentiality and Noncompete Agreement, effective as of March 29, 2020, by and between Vojin Todorovic</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and Build-A-Bear Workshop, Inc. (incorporate by reference from Exhibit 10.5 on our Quarterly Report on Form 10-Q, filed on June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1">
              <w:r>
                <w:rPr>
                  <w:rFonts w:ascii="Arial" w:cs="Arial" w:eastAsia="Arial" w:hAnsi="Arial"/>
                  <w:sz w:val="18"/>
                  <w:szCs w:val="18"/>
                  <w:color w:val="0000EE"/>
                  <w:w w:val="86"/>
                </w:rPr>
                <w:t>2020)</w:t>
              </w:r>
            </w:hyperlink>
          </w:p>
        </w:tc>
        <w:tc>
          <w:tcPr>
            <w:tcW w:w="64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10.7.2*</w:t>
            </w:r>
          </w:p>
        </w:tc>
        <w:tc>
          <w:tcPr>
            <w:tcW w:w="10020" w:type="dxa"/>
            <w:vAlign w:val="bottom"/>
            <w:tcBorders>
              <w:bottom w:val="single" w:sz="8" w:color="0000EE"/>
            </w:tcBorders>
            <w:gridSpan w:val="11"/>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Consent to Reduced 2020 Target Bonus Opportunity, dated October 6, 2020 by and between Vojin Todorovic and Build-A-Bear Workshop,</w:t>
              </w:r>
            </w:hyperlink>
          </w:p>
        </w:tc>
        <w:tc>
          <w:tcPr>
            <w:tcW w:w="20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Inc. (incorporated by reference from Exhibit 10.8 on our Current Report on Form 8-K, filed on October 9, 2020)</w:t>
              </w:r>
            </w:hyperlink>
          </w:p>
        </w:tc>
        <w:tc>
          <w:tcPr>
            <w:tcW w:w="2120" w:type="dxa"/>
            <w:vAlign w:val="bottom"/>
            <w:gridSpan w:val="1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220" w:type="dxa"/>
            <w:vAlign w:val="bottom"/>
            <w:gridSpan w:val="18"/>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Form of Indemnification Agreement between the Registrant and its directors and executive officers (incorporated by reference from Exhibit</w:t>
              </w:r>
            </w:hyperlink>
          </w:p>
        </w:tc>
      </w:tr>
      <w:tr>
        <w:trPr>
          <w:trHeight w:val="196"/>
        </w:trPr>
        <w:tc>
          <w:tcPr>
            <w:tcW w:w="1020" w:type="dxa"/>
            <w:vAlign w:val="bottom"/>
          </w:tcPr>
          <w:p>
            <w:pPr>
              <w:spacing w:after="0"/>
              <w:rPr>
                <w:sz w:val="17"/>
                <w:szCs w:val="17"/>
                <w:color w:val="auto"/>
              </w:rPr>
            </w:pPr>
          </w:p>
        </w:tc>
        <w:tc>
          <w:tcPr>
            <w:tcW w:w="100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our Registration Statement on Form S-1, filed on August 12, 2004, Registration No. 333-118142)</w:t>
              </w:r>
            </w:hyperlink>
          </w:p>
        </w:tc>
        <w:tc>
          <w:tcPr>
            <w:tcW w:w="160" w:type="dxa"/>
            <w:vAlign w:val="bottom"/>
            <w:gridSpan w:val="6"/>
          </w:tcPr>
          <w:p>
            <w:pPr>
              <w:spacing w:after="0"/>
              <w:rPr>
                <w:sz w:val="17"/>
                <w:szCs w:val="17"/>
                <w:color w:val="auto"/>
              </w:rPr>
            </w:pPr>
          </w:p>
        </w:tc>
      </w:tr>
      <w:tr>
        <w:trPr>
          <w:trHeight w:val="453"/>
        </w:trPr>
        <w:tc>
          <w:tcPr>
            <w:tcW w:w="1020" w:type="dxa"/>
            <w:vAlign w:val="bottom"/>
          </w:tcPr>
          <w:p>
            <w:pPr>
              <w:spacing w:after="0"/>
              <w:rPr>
                <w:sz w:val="24"/>
                <w:szCs w:val="24"/>
                <w:color w:val="auto"/>
              </w:rPr>
            </w:pPr>
          </w:p>
        </w:tc>
        <w:tc>
          <w:tcPr>
            <w:tcW w:w="7640" w:type="dxa"/>
            <w:vAlign w:val="bottom"/>
            <w:tcBorders>
              <w:top w:val="single" w:sz="8" w:color="0000EE"/>
            </w:tcBorders>
            <w:gridSpan w:val="3"/>
          </w:tcPr>
          <w:p>
            <w:pPr>
              <w:ind w:left="452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gridSpan w:val="20"/>
          </w:tcPr>
          <w:p>
            <w:pPr>
              <w:spacing w:after="0"/>
              <w:rPr>
                <w:rFonts w:ascii="Arial" w:cs="Arial" w:eastAsia="Arial" w:hAnsi="Arial"/>
                <w:sz w:val="18"/>
                <w:szCs w:val="18"/>
                <w:color w:val="0000EE"/>
                <w:w w:val="95"/>
              </w:rPr>
            </w:pPr>
            <w:hyperlink r:id="rId124">
              <w:r>
                <w:rPr>
                  <w:rFonts w:ascii="Arial" w:cs="Arial" w:eastAsia="Arial" w:hAnsi="Arial"/>
                  <w:sz w:val="18"/>
                  <w:szCs w:val="18"/>
                  <w:color w:val="0000EE"/>
                  <w:w w:val="95"/>
                </w:rPr>
                <w:t>Cooperation Agreement, dated as of as of July 26, 2019, by and between Build-A-Bear Workshop, Inc., David L. Kanen, Kanen Wealth</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Management, LLC and Philotimo Fund, LP (incorporated by reference from Exhibit 10.1 on our Current Report on Form 8-K, filed on July</w:t>
              </w:r>
            </w:hyperlink>
          </w:p>
        </w:tc>
      </w:tr>
      <w:tr>
        <w:trPr>
          <w:trHeight w:val="196"/>
        </w:trPr>
        <w:tc>
          <w:tcPr>
            <w:tcW w:w="10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29, 2019)</w:t>
              </w:r>
            </w:hyperlink>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8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220" w:type="dxa"/>
            <w:vAlign w:val="bottom"/>
            <w:gridSpan w:val="20"/>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Revolving Credit and Security Agreement dated as of August 25, 2020 among the Company and Build-A-Bear Retail Management, Inc., as</w:t>
              </w:r>
            </w:hyperlink>
          </w:p>
        </w:tc>
      </w:tr>
      <w:tr>
        <w:trPr>
          <w:trHeight w:val="196"/>
        </w:trPr>
        <w:tc>
          <w:tcPr>
            <w:tcW w:w="102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3"/>
              </w:rPr>
            </w:pPr>
            <w:hyperlink r:id="rId125">
              <w:r>
                <w:rPr>
                  <w:rFonts w:ascii="Arial" w:cs="Arial" w:eastAsia="Arial" w:hAnsi="Arial"/>
                  <w:sz w:val="18"/>
                  <w:szCs w:val="18"/>
                  <w:color w:val="0000EE"/>
                  <w:w w:val="93"/>
                </w:rPr>
                <w:t>borrowers; Build-A-Bear Workshop Franchise Holdings, Inc., Build-A-Bear Entertainment, LLC, Build-A-Bear Card Services LLC</w:t>
              </w:r>
            </w:hyperlink>
          </w:p>
        </w:tc>
        <w:tc>
          <w:tcPr>
            <w:tcW w:w="540" w:type="dxa"/>
            <w:vAlign w:val="bottom"/>
            <w:tcBorders>
              <w:top w:val="single" w:sz="8" w:color="0000EE"/>
            </w:tcBorders>
            <w:gridSpan w:val="5"/>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and Build-A-Bear Workshop Canada, Ltd., as guarantors; the lenders party thereto; and PNC Bank, National Association, as agent for lenders</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(incorporated by reference from Exhibit 10.1 of our Current Report on Form 8-K, filed on August 31, 2020).</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220" w:type="dxa"/>
            <w:vAlign w:val="bottom"/>
            <w:gridSpan w:val="20"/>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Facility Construction Agreement dated December 22, 2005 between the Registrant and Duke Construction Limited Partnership (incorporated</w:t>
              </w:r>
            </w:hyperlink>
          </w:p>
        </w:tc>
      </w:tr>
      <w:tr>
        <w:trPr>
          <w:trHeight w:val="196"/>
        </w:trPr>
        <w:tc>
          <w:tcPr>
            <w:tcW w:w="10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by reference from Exhibit 10.35 to our Annual Report on Form 10-K, for the year ended December 31, 2005)</w:t>
              </w:r>
            </w:hyperlink>
          </w:p>
        </w:tc>
        <w:tc>
          <w:tcPr>
            <w:tcW w:w="2280" w:type="dxa"/>
            <w:vAlign w:val="bottom"/>
            <w:tcBorders>
              <w:top w:val="single" w:sz="8" w:color="0000EE"/>
            </w:tcBorders>
            <w:gridSpan w:val="9"/>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10220" w:type="dxa"/>
            <w:vAlign w:val="bottom"/>
            <w:gridSpan w:val="20"/>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Real Estate Purchase Agreement dated December 19, 2005 between Duke Realty Ohio and the Registrant (incorporated by reference from</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Exhibit 10.36 to our Annual Report on Form 10-K, for the year ended December 31, 2005)</w:t>
              </w:r>
            </w:hyperlink>
          </w:p>
        </w:tc>
        <w:tc>
          <w:tcPr>
            <w:tcW w:w="280" w:type="dxa"/>
            <w:vAlign w:val="bottom"/>
            <w:gridSpan w:val="5"/>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11.1</w:t>
            </w:r>
          </w:p>
        </w:tc>
        <w:tc>
          <w:tcPr>
            <w:tcW w:w="10220" w:type="dxa"/>
            <w:vAlign w:val="bottom"/>
            <w:gridSpan w:val="20"/>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Statement regarding computation of earnings per share (incorporated by reference from Note 10 of the Registrant’s audited consolidated</w:t>
              </w:r>
            </w:hyperlink>
          </w:p>
        </w:tc>
      </w:tr>
      <w:tr>
        <w:trPr>
          <w:trHeight w:val="196"/>
        </w:trPr>
        <w:tc>
          <w:tcPr>
            <w:tcW w:w="10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financial statements included herein)</w:t>
              </w:r>
            </w:hyperlink>
          </w:p>
        </w:tc>
        <w:tc>
          <w:tcPr>
            <w:tcW w:w="7140" w:type="dxa"/>
            <w:vAlign w:val="bottom"/>
            <w:tcBorders>
              <w:top w:val="single" w:sz="8" w:color="0000EE"/>
            </w:tcBorders>
            <w:gridSpan w:val="7"/>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9860" w:type="dxa"/>
            <w:vAlign w:val="bottom"/>
            <w:tcBorders>
              <w:bottom w:val="single" w:sz="8" w:color="0000EE"/>
            </w:tcBorders>
            <w:gridSpan w:val="14"/>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List of Subsidiaries of the Registrant (incorporated by referenced to Exhibit 21.1 to our Annual Report on Form 10-K, for the year ended</w:t>
              </w:r>
            </w:hyperlink>
          </w:p>
        </w:tc>
        <w:tc>
          <w:tcPr>
            <w:tcW w:w="3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February 1, 2020)</w:t>
              </w:r>
            </w:hyperlink>
          </w:p>
        </w:tc>
        <w:tc>
          <w:tcPr>
            <w:tcW w:w="892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22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Consent of Ernst &amp; Young LLP</w:t>
              </w:r>
            </w:hyperlink>
          </w:p>
        </w:tc>
        <w:tc>
          <w:tcPr>
            <w:tcW w:w="7940" w:type="dxa"/>
            <w:vAlign w:val="bottom"/>
            <w:gridSpan w:val="15"/>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gridSpan w:val="20"/>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Rule 13a-14(a)/15d-14(a) certification (pursuant to Section 302 of the Sarbanes-Oxley Act of 2002, executed by the President and Chief</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Executive Officer)</w:t>
              </w:r>
            </w:hyperlink>
          </w:p>
        </w:tc>
        <w:tc>
          <w:tcPr>
            <w:tcW w:w="42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gridSpan w:val="20"/>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Rule 13a-14(a)/15d-14(a) certification (pursuant to Section 302 of the Sarbanes-Oxley Act of 2002, executed by the Chief Financial Officer)</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7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360" w:type="dxa"/>
            <w:vAlign w:val="bottom"/>
            <w:tcBorders>
              <w:top w:val="single" w:sz="8" w:color="0000EE"/>
            </w:tcBorders>
            <w:gridSpan w:val="5"/>
          </w:tcPr>
          <w:p>
            <w:pPr>
              <w:spacing w:after="0"/>
              <w:rPr>
                <w:sz w:val="24"/>
                <w:szCs w:val="24"/>
                <w:color w:val="auto"/>
              </w:rPr>
            </w:pPr>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Officer)</w:t>
              </w:r>
            </w:hyperlink>
          </w:p>
        </w:tc>
        <w:tc>
          <w:tcPr>
            <w:tcW w:w="9640" w:type="dxa"/>
            <w:vAlign w:val="bottom"/>
            <w:gridSpan w:val="1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gridSpan w:val="2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Section 1350 Certification (pursuant to Section 906 of the Sarbanes-Oxley Act of 2002, executed by the Chief Financial Officer)</w:t>
              </w:r>
            </w:hyperlink>
          </w:p>
        </w:tc>
      </w:tr>
      <w:tr>
        <w:trPr>
          <w:trHeight w:val="453"/>
        </w:trPr>
        <w:tc>
          <w:tcPr>
            <w:tcW w:w="1020" w:type="dxa"/>
            <w:vAlign w:val="bottom"/>
          </w:tcPr>
          <w:p>
            <w:pPr>
              <w:spacing w:after="0"/>
              <w:rPr>
                <w:sz w:val="24"/>
                <w:szCs w:val="24"/>
                <w:color w:val="auto"/>
              </w:rPr>
            </w:pPr>
          </w:p>
        </w:tc>
        <w:tc>
          <w:tcPr>
            <w:tcW w:w="6540" w:type="dxa"/>
            <w:vAlign w:val="bottom"/>
            <w:tcBorders>
              <w:top w:val="single" w:sz="8" w:color="0000EE"/>
            </w:tcBorders>
            <w:gridSpan w:val="7"/>
          </w:tcPr>
          <w:p>
            <w:pPr>
              <w:ind w:left="4520"/>
              <w:spacing w:after="0"/>
              <w:rPr>
                <w:sz w:val="20"/>
                <w:szCs w:val="20"/>
                <w:color w:val="auto"/>
              </w:rPr>
            </w:pPr>
            <w:r>
              <w:rPr>
                <w:rFonts w:ascii="Arial" w:cs="Arial" w:eastAsia="Arial" w:hAnsi="Arial"/>
                <w:sz w:val="18"/>
                <w:szCs w:val="18"/>
                <w:color w:val="auto"/>
              </w:rPr>
              <w:t>69</w:t>
            </w:r>
          </w:p>
        </w:tc>
        <w:tc>
          <w:tcPr>
            <w:tcW w:w="1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16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60" w:type="dxa"/>
            <w:vAlign w:val="bottom"/>
          </w:tcPr>
          <w:p>
            <w:pPr>
              <w:spacing w:after="0"/>
              <w:rPr>
                <w:sz w:val="20"/>
                <w:szCs w:val="20"/>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Extension Presentation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180" w:type="dxa"/>
            <w:vAlign w:val="bottom"/>
          </w:tcPr>
          <w:p>
            <w:pPr>
              <w:ind w:left="1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84" w:right="5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400" w:type="dxa"/>
            <w:vAlign w:val="bottom"/>
            <w:gridSpan w:val="2"/>
          </w:tcPr>
          <w:p>
            <w:pPr>
              <w:ind w:left="2360"/>
              <w:spacing w:after="0"/>
              <w:rPr>
                <w:sz w:val="20"/>
                <w:szCs w:val="20"/>
                <w:color w:val="auto"/>
              </w:rPr>
            </w:pPr>
            <w:r>
              <w:rPr>
                <w:rFonts w:ascii="Arial" w:cs="Arial" w:eastAsia="Arial" w:hAnsi="Arial"/>
                <w:sz w:val="18"/>
                <w:szCs w:val="18"/>
                <w:color w:val="auto"/>
              </w:rPr>
              <w:t>(Registrant)</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Date: April 15, 2021</w:t>
            </w: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840" w:type="dxa"/>
            <w:vAlign w:val="bottom"/>
          </w:tcPr>
          <w:p>
            <w:pPr>
              <w:spacing w:after="0"/>
              <w:rPr>
                <w:sz w:val="24"/>
                <w:szCs w:val="24"/>
                <w:color w:val="auto"/>
              </w:rPr>
            </w:pP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Voin Todorovic</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January 30, 2021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right="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Leavitt</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Non-Executive Chairman</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15, 2021</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Craig Leavitt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Maxine Clark</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15, 2021</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Maxine Clark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Carrara</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15, 2021</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George Carrara</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L. Dixon, Jr.</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15, 2021</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Robert L. Dixon, Jr.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Sharon John</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Director and President and Chief Executive Officer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15, 2021</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Sharon John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Voin Todorovic</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15, 2021</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Voin Todorovic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jc w:val="right"/>
              <w:ind w:right="309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summary describes the common stock, $0.01 par value per share, of Build-A-Bear Workshop, Inc. (the “Company,” “we,” “us,” and “our”), which are the only securities of the Company registered pursuant to Section 12 of the Securities Exchange Act of 1934, as amended.</w:t>
      </w:r>
    </w:p>
    <w:p>
      <w:pPr>
        <w:spacing w:after="0" w:line="14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following description is a summary and does not purport to be complete. It is subject to and qualified in its entirety by reference to (i) our Third Amended and Restated Certificate of Incorporation (the “Certificate of Incorporation”), and (ii) our Amended and Restated Bylaws (the “Bylaws”), each of which are incorporated by reference as an exhibit to the Annual Report on Form 10-K of which this Exhibit 4.2 is a part. We encourage you to read our Certificate of Incorporation, our Bylaws and the applicable provisions of the Delaware General Corporation Law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authorized capital stock consists of 50,000,000 shares of common stock, $0.01 par value per share, and 15,000,000 shares of preferred stock, $0.01 par value per share. As of January 30, 2021, there were 15,930,958 shares of our common stock issued and outstanding and no shares of our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On all matters other than the election of directors, when a quorum is present at any meeting, the vote of the holders of a majority of the stock entitled to vote shall decide any question brought before such meeting, unless otherwise required by the Certificate of Incorporation, the Bylaws or Delaware law. The holders of a majority in voting power of the stock issued and outstanding and entitled to vote will constitute a quorum at all meetings of the stockholders for the transaction of business. Our stockholders do not have cumulative voting rights in the election of directors. Accordingly, holders of a majority of the shares voting are able to elect all of the directors, subject to any rights to elect directors that may be granted to any then-outstanding preferred stock.</w:t>
      </w:r>
    </w:p>
    <w:p>
      <w:pPr>
        <w:spacing w:after="0" w:line="19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b w:val="1"/>
          <w:bCs w:val="1"/>
          <w:i w:val="1"/>
          <w:iCs w:val="1"/>
          <w:color w:val="auto"/>
        </w:rPr>
        <w:t>Liquidation Rights</w:t>
      </w:r>
      <w:r>
        <w:rPr>
          <w:rFonts w:ascii="Arial" w:cs="Arial" w:eastAsia="Arial" w:hAnsi="Arial"/>
          <w:sz w:val="17"/>
          <w:szCs w:val="17"/>
          <w:color w:val="auto"/>
        </w:rPr>
        <w:t>. In the event of our liquidation, dissolution or winding up, holders of common stock are entitled to share ratably in all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remaining after we pay our liabilities and distribute the liquidation preference of any then outstanding preferred stock.</w:t>
      </w:r>
    </w:p>
    <w:p>
      <w:pPr>
        <w:spacing w:after="0" w:line="14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granted to any then-outstanding preferred stock, holders of common stock are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ratably only those dividends as may be declared by the board of directors out of funds legally available therefor, as well as any distributions to the stockholders.</w:t>
      </w:r>
    </w:p>
    <w:p>
      <w:pPr>
        <w:spacing w:after="0" w:line="184"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b w:val="1"/>
          <w:bCs w:val="1"/>
          <w:i w:val="1"/>
          <w:iCs w:val="1"/>
          <w:color w:val="auto"/>
        </w:rPr>
        <w:t>Other Rights and Preferences</w:t>
      </w:r>
      <w:r>
        <w:rPr>
          <w:rFonts w:ascii="Arial" w:cs="Arial" w:eastAsia="Arial" w:hAnsi="Arial"/>
          <w:sz w:val="16"/>
          <w:szCs w:val="16"/>
          <w:color w:val="auto"/>
        </w:rPr>
        <w:t>. Holders of our common stock have no preemptive or other subscription or conversion rights.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have no redemption or sinking fund provisions, and are not liable for further call or assessment. The rights, preferences and privileges of holders of common stock are subject to the right of holders of shares of any series of preferred stock that may be issued in the future.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color w:val="auto"/>
        </w:rPr>
        <w:t>. Our common stock currently trades on the New York Stock Exchange under the symbol “BBW.”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material provisions of Delaware law and our Certificate of Incorporation and Bylaws which may have an anti-takeover effect and delay, deter or prevent a tender offer, proxy contest or other takeover attempt that stockholders might consider to be in their best interests, including such an attempt that might result in payment of a premium over the market price for their shares of our common stock, are summarized in the following paragraphs.</w:t>
      </w:r>
    </w:p>
    <w:p>
      <w:pPr>
        <w:spacing w:after="0" w:line="1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Interested stockholder transactions. </w:t>
      </w:r>
      <w:r>
        <w:rPr>
          <w:rFonts w:ascii="Arial" w:cs="Arial" w:eastAsia="Arial" w:hAnsi="Arial"/>
          <w:sz w:val="18"/>
          <w:szCs w:val="18"/>
          <w:color w:val="auto"/>
        </w:rPr>
        <w:t>We are subject to Section 203 of the Delaware General Corporation Law, which, subject to certain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therein, prohibits a Delaware corporation from engaging in any “business combination” with any “interested stockholder” for a period of three years after the date that such stockholder became an interested stockholder, unless:</w:t>
      </w:r>
    </w:p>
    <w:p>
      <w:pPr>
        <w:spacing w:after="0" w:line="184" w:lineRule="exact"/>
        <w:rPr>
          <w:sz w:val="20"/>
          <w:szCs w:val="20"/>
          <w:color w:val="auto"/>
        </w:rPr>
      </w:pPr>
    </w:p>
    <w:p>
      <w:pPr>
        <w:ind w:left="980" w:right="40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7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6" w:lineRule="exact"/>
        <w:rPr>
          <w:rFonts w:ascii="Arial" w:cs="Arial" w:eastAsia="Arial" w:hAnsi="Arial"/>
          <w:sz w:val="17"/>
          <w:szCs w:val="17"/>
          <w:color w:val="auto"/>
        </w:rPr>
      </w:pPr>
    </w:p>
    <w:p>
      <w:pPr>
        <w:ind w:left="980" w:right="24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transaction involving the corporation that has the effect of increasing the proportionate share of the stock or any class or series of the</w:t>
      </w:r>
    </w:p>
    <w:p>
      <w:pPr>
        <w:sectPr>
          <w:pgSz w:w="11900" w:h="16838" w:orient="portrait"/>
          <w:cols w:equalWidth="0" w:num="1">
            <w:col w:w="11240"/>
          </w:cols>
          <w:pgMar w:left="320" w:top="121" w:right="339" w:bottom="0" w:gutter="0" w:footer="0" w:header="0"/>
        </w:sectPr>
      </w:pPr>
    </w:p>
    <w:bookmarkStart w:id="73" w:name="page74"/>
    <w:bookmarkEnd w:id="73"/>
    <w:p>
      <w:pPr>
        <w:ind w:left="980"/>
        <w:spacing w:after="0"/>
        <w:rPr>
          <w:sz w:val="20"/>
          <w:szCs w:val="20"/>
          <w:color w:val="auto"/>
        </w:rPr>
      </w:pPr>
      <w:r>
        <w:rPr>
          <w:rFonts w:ascii="Arial" w:cs="Arial" w:eastAsia="Arial" w:hAnsi="Arial"/>
          <w:sz w:val="18"/>
          <w:szCs w:val="18"/>
          <w:color w:val="auto"/>
        </w:rPr>
        <w:t>corporation beneficially owned by the interested stockholder; or</w:t>
      </w:r>
    </w:p>
    <w:p>
      <w:pPr>
        <w:spacing w:after="0" w:line="225" w:lineRule="exact"/>
        <w:rPr>
          <w:sz w:val="20"/>
          <w:szCs w:val="20"/>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general, Section 203 defines “interested stockholder” as an entity or person beneficially owning 15% or more of the outstanding voting stock of the corporation or any entity or person affiliated with or controlling or controlled by such entity or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Our Certificate of Incorporation expressly denies stockholders the right to cumulative voting in the election of directors.</w:t>
      </w:r>
    </w:p>
    <w:p>
      <w:pPr>
        <w:spacing w:after="0" w:line="23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 xml:space="preserve">Classified Board of Directors; Director Removal and Board Vacancies; Size of Board. </w:t>
      </w:r>
      <w:r>
        <w:rPr>
          <w:rFonts w:ascii="Arial" w:cs="Arial" w:eastAsia="Arial" w:hAnsi="Arial"/>
          <w:sz w:val="17"/>
          <w:szCs w:val="17"/>
          <w:color w:val="auto"/>
        </w:rPr>
        <w:t>Our board of directors is divided into three classes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serving staggered three-year terms. As a result, approximately one-third of the board of directors are elected each year, which has the effect of requiring at least two annual stockholder meetings, instead of one, to replace a majority of the members of the board. These provisions, when coupled with the provisions of our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Stockholder Action by Written Consent; Special Meeting of Stockholders. </w:t>
      </w:r>
      <w:r>
        <w:rPr>
          <w:rFonts w:ascii="Arial" w:cs="Arial" w:eastAsia="Arial" w:hAnsi="Arial"/>
          <w:sz w:val="17"/>
          <w:szCs w:val="17"/>
          <w:color w:val="auto"/>
        </w:rPr>
        <w:t>Our Certificate of Incorporation eliminates the ability of stockholders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act by written consent, provided that holders of preferred stock may vote by written consent to the extent expressly provided in any certificate of designation authorizing issuance of a particular series of preferred stock. It also provides that special meetings of our stockholders may be called only by the chairman of our board of directors, our chief executive officer, our president or a majority of our directors.</w:t>
      </w:r>
    </w:p>
    <w:p>
      <w:pPr>
        <w:spacing w:after="0" w:line="171" w:lineRule="exact"/>
        <w:rPr>
          <w:sz w:val="20"/>
          <w:szCs w:val="20"/>
          <w:color w:val="auto"/>
        </w:rPr>
      </w:pPr>
    </w:p>
    <w:p>
      <w:pPr>
        <w:ind w:right="40" w:firstLine="648"/>
        <w:spacing w:after="0" w:line="250" w:lineRule="auto"/>
        <w:rPr>
          <w:sz w:val="20"/>
          <w:szCs w:val="20"/>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Bylaws provide that stockholders seeking to bring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more than 120 days or less than 90 days prior to the anniversary date of the immediately preceding annual meeting of stockholders. However, in the event that no annual meeting was held in the previous year or the annual meeting is called for a date that is not within 30 days before or after such anniversary date, notice by the stockholder in order to be timely must be received not later than the close of business on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on which notice of the date of the annual meeting was mailed to stockholders or made public, whichever first occurs. Our Bylaws also specify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9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Our authorized but unissued shares of common stock and preferred stock are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 preferred stock may be issued with voting rights, dividend rights, conversion privileges, redemption rights and liquidation rights and other rights, preferences, privileges, powers, qualifications, limitations or restrictions as may be specified by our board of directors, which rights may be superior to those of the common stock in one or more respects.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the Company by means of a proxy contest, tender offer, merger or otherwise.</w:t>
      </w:r>
    </w:p>
    <w:p>
      <w:pPr>
        <w:spacing w:after="0" w:line="19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Amendments; Supermajority Vote Requirements. </w:t>
      </w:r>
      <w:r>
        <w:rPr>
          <w:rFonts w:ascii="Arial" w:cs="Arial" w:eastAsia="Arial" w:hAnsi="Arial"/>
          <w:sz w:val="17"/>
          <w:szCs w:val="17"/>
          <w:color w:val="auto"/>
        </w:rPr>
        <w:t>The Delaware General Corporation Law provides generally that the affirmative vote of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shares entitled to vote on any matter is required to amend a corporation’s certificate of incorporation or bylaws, unless either a corporation’s certificate of incorporation or bylaws require a greater percentage. Our Certificate of Incorporation requires the affirmative vote of more than 80% of our capital stock in connection with the amendment of certain provisions, including those relating to (1) the classified board of directors and related director matters, (2) the ability of stockholders to act by written consent or call special meetings, (3) limitations of liability of directors, (4) indemnification of our directors, officers, employees and agents and (5) the amendment of our Bylaws. Similarly, our Bylaws provide that they may be amended by our board of directors, or by our stockholders with the affirmative vote of at least 80% of the voting power of all outstanding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Certificate of Incorporation provides that our directors shall not be personally liable to us or our stockholders for monetary damages for breach of fiduciary duty as a director, except for liability for: (i) any breach of the director’s duty of loyalty to us or our stockholders; (ii) acts or omissions not in good faith or which involve intentional misconduct or a knowing violation of law; (iii) liability for payments of dividends or stock purchases or redemptions in violation of Section 174 of the Delaware General Corporation Law; or (iv) any transaction from which the director derived an improper personal benefit. In addition, our Certificate of Incorporation provides that we will, to the fullest extent authorized by the Delaware General Corporation Law, as the same exists or may hereafter be amended (but, in the case of any such amendment, only to the extent that such amendment permits us to provide broader indemnification rights than such law permitted us to provide prior to such amendment), indemnify and hold harmless any person who was or is a party, or is threatened to be made a party to or is otherwise involved in any threatened, pending or completed action, suit or proceeding, whether civil, criminal, administrative or investigative by reason of the fact that such person is or was our director or officer, or is or was serving at our request as a director, officer, employee or agent of another corporation, or as our representative in a partnership, joint venture, trust or other entity, (an “indemnitee”) against expenses, liabilities, and losses (including attorneys’ fees, judgments, fines, and amounts paid in settlement) reasonably incurred or suffered by such indemnitee in connection therewith. We have also entered into separate indemnification agreements with our directors and executive officers that require us, among other things, to indemnify each of them against certain liabilities that may arise by reason of their status or service other than liabilities unless it is determined that he or she did not act in good faith and in a manner he or she reasonably believed to be in or not opposed to our best interests, and, with respect to any criminal action or proceeding, had no reasonable cause to believe his or her conduct was unlawful.</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right to indemnification set forth above includes the right for us to pay the expenses (including attorneys’ fees) incurred in defending any such proceeding in advance of its final disposition; provided, however, that, if the Delaware General Corporation Law requires an advancement of expenses incurred by an indemnitee in his capacity as a director or officer (and not in any other capacity in which service was or is rendered by such indemnitee, including, without limitation, service to an employee benefit plan) shall be made only upon delivery to us of an undertaking, by or on behalf of such indemnitee, to repay all amounts so advanced if it shall ultimately be determined by final judicial decision from which there is not further right to appeal that such indemnitee is not entitled to be indemnified for such expenses under this section or otherwise. The rights to indemnification and to the advancement of expenses conferred herewith are contract rights and continue as to an indemnitee who has ceased to be a director, officer, employee or agent and inures to the benefit of the indemnitee’s heirs, executors, and administrators.</w:t>
      </w:r>
    </w:p>
    <w:p>
      <w:pPr>
        <w:sectPr>
          <w:pgSz w:w="11900" w:h="16838" w:orient="portrait"/>
          <w:cols w:equalWidth="0" w:num="1">
            <w:col w:w="11220"/>
          </w:cols>
          <w:pgMar w:left="320" w:top="125" w:right="359" w:bottom="0" w:gutter="0" w:footer="0" w:header="0"/>
        </w:sectPr>
      </w:pPr>
    </w:p>
    <w:bookmarkStart w:id="74" w:name="page75"/>
    <w:bookmarkEnd w:id="74"/>
    <w:p>
      <w:pPr>
        <w:ind w:firstLine="648"/>
        <w:spacing w:after="0" w:line="272" w:lineRule="auto"/>
        <w:rPr>
          <w:sz w:val="20"/>
          <w:szCs w:val="20"/>
          <w:color w:val="auto"/>
        </w:rPr>
      </w:pPr>
      <w:r>
        <w:rPr>
          <w:rFonts w:ascii="Arial" w:cs="Arial" w:eastAsia="Arial" w:hAnsi="Arial"/>
          <w:sz w:val="17"/>
          <w:szCs w:val="17"/>
          <w:color w:val="auto"/>
        </w:rPr>
        <w:t>The Delaware General Corporation Law provides that indemnification is permissible only when the director, officer, employee, or agent acted in good faith and in a manner reasonably believed to be in or not opposed to the best interests of the corporation, and, with respect to any criminal action or proceeding, had no reasonable cause to believe the conduct was unlawful. The Delaware General Corporation Law also precludes indemnification in respect of any claim, issue, or matter as to which an officer, director, employee, or agent shall have been adjudged to be liable to the corporation unless and only to the extent that the Court of Chancery of the State of Delaware or the court in which such action or suit was brought shall determine that, despite such adjudication of liability, but in view of all the circumstances of the case, such person is fairly and reasonably entitled to indemnity for such expenses which the Court of Chancery or such other court deems proper.</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currently have a directors’ and officers’ liability insurance policy that insures such persons against the costs of defense, settlement or payment of a judgment under certain circumstances. We believe that these indemnification and liability provisions are essential to attracting and retaining qualified persons as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333-159313) pertaining to the Build-A-Bear Workshop, Inc. Second Amended and Restated 2004 Stock Incentive Plan; and</w:t>
      </w:r>
    </w:p>
    <w:p>
      <w:pPr>
        <w:ind w:left="660" w:right="2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333-195925) pertaining to the Build-A-Bear Workshop, Inc. Third Amended and Restated 2004 Stock Incentive Plan;</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333-218034) pertaining to the Build-A-Bear Workshop, Inc. 2017 Omnibus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Registration Statement (Form S-8 No. 333-248716) pertaining to the Build-A-Bear Workshop, Inc 2020 Omnibus Incentive Plan;</w:t>
      </w:r>
    </w:p>
    <w:p>
      <w:pPr>
        <w:spacing w:after="0" w:line="211" w:lineRule="exact"/>
        <w:rPr>
          <w:sz w:val="20"/>
          <w:szCs w:val="20"/>
          <w:color w:val="auto"/>
        </w:rPr>
      </w:pPr>
    </w:p>
    <w:p>
      <w:pPr>
        <w:jc w:val="both"/>
        <w:ind w:left="140" w:right="140"/>
        <w:spacing w:after="0" w:line="263" w:lineRule="auto"/>
        <w:rPr>
          <w:sz w:val="20"/>
          <w:szCs w:val="20"/>
          <w:color w:val="auto"/>
        </w:rPr>
      </w:pPr>
      <w:r>
        <w:rPr>
          <w:rFonts w:ascii="Arial" w:cs="Arial" w:eastAsia="Arial" w:hAnsi="Arial"/>
          <w:sz w:val="18"/>
          <w:szCs w:val="18"/>
          <w:color w:val="auto"/>
        </w:rPr>
        <w:t>of our report dated April 15, 2021, with respect to the consolidated financial statements of Build-A-Bear Workshop, Inc. and Subsidiaries, included in this Annual Report (Form 10-K) for the year-ended January 30, 2021, and the financial statement schedule of Build-A-Bear Workshop, Inc. and Subsidiaries included herein.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2021</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hanging="427"/>
        <w:spacing w:after="0" w:line="26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27"/>
        <w:spacing w:after="0" w:line="308"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hanging="427"/>
        <w:spacing w:after="0" w:line="291"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440"/>
        <w:spacing w:after="0" w:line="263" w:lineRule="auto"/>
        <w:tabs>
          <w:tab w:leader="none" w:pos="170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40"/>
        <w:spacing w:after="0" w:line="263" w:lineRule="auto"/>
        <w:tabs>
          <w:tab w:leader="none" w:pos="16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spacing w:after="0" w:line="263" w:lineRule="auto"/>
        <w:tabs>
          <w:tab w:leader="none" w:pos="16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40"/>
        <w:spacing w:after="0" w:line="263" w:lineRule="auto"/>
        <w:tabs>
          <w:tab w:leader="none" w:pos="17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hanging="427"/>
        <w:spacing w:after="0" w:line="34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spacing w:after="0" w:line="308" w:lineRule="auto"/>
        <w:tabs>
          <w:tab w:leader="none" w:pos="1688"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spacing w:after="0" w:line="277" w:lineRule="auto"/>
        <w:tabs>
          <w:tab w:leader="none" w:pos="17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April 15, 2021</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hanging="427"/>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hanging="427"/>
        <w:spacing w:after="0" w:line="308"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hanging="427"/>
        <w:spacing w:after="0" w:line="29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440"/>
        <w:spacing w:after="0" w:line="263" w:lineRule="auto"/>
        <w:tabs>
          <w:tab w:leader="none" w:pos="170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440"/>
        <w:spacing w:after="0" w:line="263" w:lineRule="auto"/>
        <w:tabs>
          <w:tab w:leader="none" w:pos="169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spacing w:after="0" w:line="263" w:lineRule="auto"/>
        <w:tabs>
          <w:tab w:leader="none" w:pos="16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40"/>
        <w:spacing w:after="0" w:line="263" w:lineRule="auto"/>
        <w:tabs>
          <w:tab w:leader="none" w:pos="17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hanging="427"/>
        <w:spacing w:after="0" w:line="342"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spacing w:after="0" w:line="308" w:lineRule="auto"/>
        <w:tabs>
          <w:tab w:leader="none" w:pos="1688"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spacing w:after="0" w:line="277" w:lineRule="auto"/>
        <w:tabs>
          <w:tab w:leader="none" w:pos="17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April 15, 2021</w:t>
            </w: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Voin Todorovic</w:t>
            </w:r>
          </w:p>
        </w:tc>
      </w:tr>
      <w:tr>
        <w:trPr>
          <w:trHeight w:val="195"/>
        </w:trPr>
        <w:tc>
          <w:tcPr>
            <w:tcW w:w="5880" w:type="dxa"/>
            <w:vAlign w:val="bottom"/>
          </w:tcPr>
          <w:p>
            <w:pPr>
              <w:spacing w:after="0"/>
              <w:rPr>
                <w:sz w:val="16"/>
                <w:szCs w:val="16"/>
                <w:color w:val="auto"/>
              </w:rPr>
            </w:pPr>
          </w:p>
        </w:tc>
        <w:tc>
          <w:tcPr>
            <w:tcW w:w="5360" w:type="dxa"/>
            <w:vAlign w:val="bottom"/>
          </w:tcPr>
          <w:p>
            <w:pPr>
              <w:ind w:left="6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30, 2021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15, 2021</w:t>
            </w: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30, 2021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15, 2021</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Voin Todorovic</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endash "/>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1)"/>
      <w:numFmt w:val="decimal"/>
      <w:start w:val="3"/>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1)"/>
      <w:numFmt w:val="decimal"/>
      <w:start w:val="5"/>
    </w:lvl>
  </w:abstractNum>
  <w:abstractNum w:abstractNumId="20">
    <w:nsid w:val="7C3DBD3D"/>
    <w:multiLevelType w:val="hybridMultilevel"/>
    <w:lvl w:ilvl="0">
      <w:lvlJc w:val="left"/>
      <w:lvlText w:val="%1"/>
      <w:numFmt w:val="decimal"/>
      <w:start w:val="1"/>
    </w:lvl>
    <w:lvl w:ilvl="1">
      <w:lvlJc w:val="left"/>
      <w:lvlText w:val="(%2)"/>
      <w:numFmt w:val="decimal"/>
      <w:start w:val="1"/>
    </w:lvl>
  </w:abstractNum>
  <w:abstractNum w:abstractNumId="21">
    <w:nsid w:val="737B8DDC"/>
    <w:multiLevelType w:val="hybridMultilevel"/>
    <w:lvl w:ilvl="0">
      <w:lvlJc w:val="left"/>
      <w:lvlText w:val="(%1)"/>
      <w:numFmt w:val="decimal"/>
      <w:start w:val="6"/>
    </w:lvl>
    <w:lvl w:ilvl="1">
      <w:lvlJc w:val="left"/>
      <w:lvlText w:val="%2"/>
      <w:numFmt w:val="decimal"/>
      <w:start w:val="1"/>
    </w:lvl>
  </w:abstractNum>
  <w:abstractNum w:abstractNumId="22">
    <w:nsid w:val="6CEAF087"/>
    <w:multiLevelType w:val="hybridMultilevel"/>
    <w:lvl w:ilvl="0">
      <w:lvlJc w:val="left"/>
      <w:lvlText w:val="(%1)"/>
      <w:numFmt w:val="decimal"/>
      <w:start w:val="7"/>
    </w:lvl>
  </w:abstractNum>
  <w:abstractNum w:abstractNumId="23">
    <w:nsid w:val="22221A70"/>
    <w:multiLevelType w:val="hybridMultilevel"/>
    <w:lvl w:ilvl="0">
      <w:lvlJc w:val="left"/>
      <w:lvlText w:val="(%1)"/>
      <w:numFmt w:val="decimal"/>
      <w:start w:val="8"/>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9"/>
    </w:lvl>
  </w:abstractNum>
  <w:abstractNum w:abstractNumId="27">
    <w:nsid w:val="419AC241"/>
    <w:multiLevelType w:val="hybridMultilevel"/>
    <w:lvl w:ilvl="0">
      <w:lvlJc w:val="left"/>
      <w:lvlText w:val="(%1)"/>
      <w:numFmt w:val="decimal"/>
      <w:start w:val="10"/>
    </w:lvl>
    <w:lvl w:ilvl="1">
      <w:lvlJc w:val="left"/>
      <w:lvlText w:val="(%2)"/>
      <w:numFmt w:val="lowerLetter"/>
      <w:start w:val="1"/>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2"/>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10"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84" Type="http://schemas.openxmlformats.org/officeDocument/2006/relationships/hyperlink" Target="http://www.sec.gov/Archives/edgar/data/1113809/000095013704006634/c86750exv2w1.txt" TargetMode="External"/><Relationship Id="rId85" Type="http://schemas.openxmlformats.org/officeDocument/2006/relationships/hyperlink" Target="http://www.sec.gov/Archives/edgar/data/1113809/000095013804000748/exh3-1.htm" TargetMode="External"/><Relationship Id="rId86" Type="http://schemas.openxmlformats.org/officeDocument/2006/relationships/hyperlink" Target="http://www.sec.gov/Archives/edgar/data/1113809/000115752318000029/a51738867_ex31.htm" TargetMode="External"/><Relationship Id="rId87" Type="http://schemas.openxmlformats.org/officeDocument/2006/relationships/hyperlink" Target="http://www.sec.gov/Archives/edgar/data/1113809/000095013704008227/c86750a3exv4w1.txt" TargetMode="External"/><Relationship Id="rId88" Type="http://schemas.openxmlformats.org/officeDocument/2006/relationships/hyperlink" Target="http://www.sec.gov/Archives/edgar/data/1113809/000095013806000595/exh10-1.htm" TargetMode="External"/><Relationship Id="rId89" Type="http://schemas.openxmlformats.org/officeDocument/2006/relationships/hyperlink" Target="http://www.sec.gov/Archives/edgar/data/1113809/000119312509113997/dex991.htm" TargetMode="External"/><Relationship Id="rId90" Type="http://schemas.openxmlformats.org/officeDocument/2006/relationships/hyperlink" Target="http://www.sec.gov/Archives/edgar/data/1113809/000143774914008741/ex10-1.htm" TargetMode="External"/><Relationship Id="rId91" Type="http://schemas.openxmlformats.org/officeDocument/2006/relationships/hyperlink" Target="http://www.sec.gov/Archives/edgar/data/1113809/000143774911001793/ex10-2.htm" TargetMode="External"/><Relationship Id="rId92" Type="http://schemas.openxmlformats.org/officeDocument/2006/relationships/hyperlink" Target="http://www.sec.gov/Archives/edgar/data/1113809/000143774914008741/ex10-2.htm" TargetMode="External"/><Relationship Id="rId93" Type="http://schemas.openxmlformats.org/officeDocument/2006/relationships/hyperlink" Target="http://www.sec.gov/Archives/edgar/data/1113809/000143774915005657/ex10-1.htm" TargetMode="External"/><Relationship Id="rId94" Type="http://schemas.openxmlformats.org/officeDocument/2006/relationships/hyperlink" Target="http://www.sec.gov/Archives/edgar/data/1113809/000143774916027470/ex10-7.htm" TargetMode="External"/><Relationship Id="rId95" Type="http://schemas.openxmlformats.org/officeDocument/2006/relationships/hyperlink" Target="http://www.sec.gov/Archives/edgar/data/1113809/000143774917004631/ex10-1.11.htm" TargetMode="External"/><Relationship Id="rId96" Type="http://schemas.openxmlformats.org/officeDocument/2006/relationships/hyperlink" Target="http://www.sec.gov/Archives/edgar/data/1113809/000143774917004827/ex10-2.htm" TargetMode="External"/><Relationship Id="rId97" Type="http://schemas.openxmlformats.org/officeDocument/2006/relationships/hyperlink" Target="http://www.sec.gov/Archives/edgar/data/1113809/000143774917008832/ex10-1.htm" TargetMode="External"/><Relationship Id="rId98" Type="http://schemas.openxmlformats.org/officeDocument/2006/relationships/hyperlink" Target="http://www.sec.gov/Archives/edgar/data/1113809/000143774918005168/ex_108426.htm" TargetMode="External"/><Relationship Id="rId99" Type="http://schemas.openxmlformats.org/officeDocument/2006/relationships/hyperlink" Target="http://www.sec.gov/Archives/edgar/data/1113809/000143774918005168/ex_108427.htm" TargetMode="External"/><Relationship Id="rId100" Type="http://schemas.openxmlformats.org/officeDocument/2006/relationships/hyperlink" Target="http://www.sec.gov/Archives/edgar/data/1113809/000143774919007569/ex_141143.htm" TargetMode="External"/><Relationship Id="rId101" Type="http://schemas.openxmlformats.org/officeDocument/2006/relationships/hyperlink" Target="http://www.sec.gov/Archives/edgar/data/1113809/000143774919007569/ex_141145.htm" TargetMode="External"/><Relationship Id="rId102" Type="http://schemas.openxmlformats.org/officeDocument/2006/relationships/hyperlink" Target="http://www.sec.gov/Archives/edgar/data/1113809/000143774919007569/ex_141146.htm" TargetMode="External"/><Relationship Id="rId103" Type="http://schemas.openxmlformats.org/officeDocument/2006/relationships/hyperlink" Target="http://www.sec.gov/Archives/edgar/data/1113809/000143774920020994/ex_206434.htm" TargetMode="External"/><Relationship Id="rId104" Type="http://schemas.openxmlformats.org/officeDocument/2006/relationships/hyperlink" Target="http://www.sec.gov/Archives/edgar/data/1113809/000143774920020994/ex_206435.htm" TargetMode="External"/><Relationship Id="rId105" Type="http://schemas.openxmlformats.org/officeDocument/2006/relationships/hyperlink" Target="http://www.sec.gov/Archives/edgar/data/1113809/000143774920020994/ex_206436.htm" TargetMode="External"/><Relationship Id="rId106" Type="http://schemas.openxmlformats.org/officeDocument/2006/relationships/hyperlink" Target="http://www.sec.gov/Archives/edgar/data/1113809/000095013707003883/n13023exv10w42.htm" TargetMode="External"/><Relationship Id="rId107" Type="http://schemas.openxmlformats.org/officeDocument/2006/relationships/hyperlink" Target="http://www.sec.gov/Archives/edgar/data/1113809/000143774916027470/ex10-1.htm" TargetMode="External"/><Relationship Id="rId108" Type="http://schemas.openxmlformats.org/officeDocument/2006/relationships/hyperlink" Target="http://www.sec.gov/Archives/edgar/data/1113809/000143774920012853/ex_188626.htm" TargetMode="External"/><Relationship Id="rId109" Type="http://schemas.openxmlformats.org/officeDocument/2006/relationships/hyperlink" Target="http://www.sec.gov/Archives/edgar/data/1113809/000143774920020994/ex_206437.htm" TargetMode="External"/><Relationship Id="rId111" Type="http://schemas.openxmlformats.org/officeDocument/2006/relationships/hyperlink" Target="http://www.sec.gov/Archives/edgar/data/1113809/000143774916027470/ex10-2.htm" TargetMode="External"/><Relationship Id="rId112" Type="http://schemas.openxmlformats.org/officeDocument/2006/relationships/hyperlink" Target="http://www.sec.gov/Archives/edgar/data/1113809/000143774920012853/ex_188627.htm" TargetMode="External"/><Relationship Id="rId113" Type="http://schemas.openxmlformats.org/officeDocument/2006/relationships/hyperlink" Target="http://www.sec.gov/Archives/edgar/data/1113809/000143774920020994/ex_206438.htm" TargetMode="External"/><Relationship Id="rId114" Type="http://schemas.openxmlformats.org/officeDocument/2006/relationships/hyperlink" Target="http://www.sec.gov/Archives/edgar/data/1113809/000143774916027470/ex10-3.htm" TargetMode="External"/><Relationship Id="rId115" Type="http://schemas.openxmlformats.org/officeDocument/2006/relationships/hyperlink" Target="http://www.sec.gov/Archives/edgar/data/1113809/000143774920012853/ex_188628.htm" TargetMode="External"/><Relationship Id="rId116" Type="http://schemas.openxmlformats.org/officeDocument/2006/relationships/hyperlink" Target="http://www.sec.gov/Archives/edgar/data/1113809/000143774920020994/ex_206439.htm" TargetMode="External"/><Relationship Id="rId117" Type="http://schemas.openxmlformats.org/officeDocument/2006/relationships/hyperlink" Target="http://www.sec.gov/Archives/edgar/data/1113809/000143774916027470/ex10-4.htm" TargetMode="External"/><Relationship Id="rId118" Type="http://schemas.openxmlformats.org/officeDocument/2006/relationships/hyperlink" Target="http://www.sec.gov/Archives/edgar/data/1113809/000143774920012853/ex_188629.htm" TargetMode="External"/><Relationship Id="rId119" Type="http://schemas.openxmlformats.org/officeDocument/2006/relationships/hyperlink" Target="http://www.sec.gov/Archives/edgar/data/1113809/000143774920020994/ex_206440.htm" TargetMode="External"/><Relationship Id="rId120" Type="http://schemas.openxmlformats.org/officeDocument/2006/relationships/hyperlink" Target="http://www.sec.gov/Archives/edgar/data/1113809/000143774916027470/ex10-5.htm" TargetMode="External"/><Relationship Id="rId121" Type="http://schemas.openxmlformats.org/officeDocument/2006/relationships/hyperlink" Target="http://www.sec.gov/Archives/edgar/data/1113809/000143774920012853/ex_188630.htm" TargetMode="External"/><Relationship Id="rId122" Type="http://schemas.openxmlformats.org/officeDocument/2006/relationships/hyperlink" Target="http://www.sec.gov/Archives/edgar/data/1113809/000143774920020994/ex_206441.htm" TargetMode="External"/><Relationship Id="rId123" Type="http://schemas.openxmlformats.org/officeDocument/2006/relationships/hyperlink" Target="http://www.sec.gov/Archives/edgar/data/1113809/000095013704006634/c86750exv10w11.txt" TargetMode="External"/><Relationship Id="rId124" Type="http://schemas.openxmlformats.org/officeDocument/2006/relationships/hyperlink" Target="http://www.sec.gov/Archives/edgar/data/1113809/000115752319001606/a52019157_ex101.htm" TargetMode="External"/><Relationship Id="rId125" Type="http://schemas.openxmlformats.org/officeDocument/2006/relationships/hyperlink" Target="http://www.sec.gov/Archives/edgar/data/1113809/000143774920019030/ex_201997.htm" TargetMode="External"/><Relationship Id="rId126" Type="http://schemas.openxmlformats.org/officeDocument/2006/relationships/hyperlink" Target="http://www.sec.gov/Archives/edgar/data/1113809/000095013706003138/c02747exv10w35.htm" TargetMode="External"/><Relationship Id="rId127" Type="http://schemas.openxmlformats.org/officeDocument/2006/relationships/hyperlink" Target="http://www.sec.gov/Archives/edgar/data/1113809/000095013706003138/c02747exv10w36.htm" TargetMode="External"/><Relationship Id="rId128" Type="http://schemas.openxmlformats.org/officeDocument/2006/relationships/hyperlink" Target="http://www.sec.gov/Archives/edgar/data/1113809/000143774920007818/ex_1798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2021-04-15T15:41:06Z</dcterms:created>
  <dcterms:modified xsi:type="dcterms:W3CDTF">2021-04-15T15:41:06Z</dcterms:modified>
</cp:coreProperties>
</file>