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273050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020" w:hanging="432"/>
        <w:spacing w:after="0" w:line="493" w:lineRule="auto"/>
        <w:tabs>
          <w:tab w:leader="none" w:pos="4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28, 2014</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1790700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73025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9"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ind w:left="1440"/>
        <w:spacing w:after="0" w:line="207" w:lineRule="exact"/>
        <w:tabs>
          <w:tab w:leader="none" w:pos="72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(Do not check if a smaller reporting company)</w:t>
      </w:r>
    </w:p>
    <w:p>
      <w:pPr>
        <w:spacing w:after="0" w:line="177"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August 1, 2014, there were 17,367,530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422" w:right="479" w:bottom="1440" w:gutter="0" w:footer="0" w:header="0"/>
        </w:sectPr>
      </w:pPr>
    </w:p>
    <w:p>
      <w:pPr>
        <w:spacing w:after="0" w:line="200" w:lineRule="exact"/>
        <w:rPr>
          <w:sz w:val="24"/>
          <w:szCs w:val="24"/>
          <w:color w:val="auto"/>
        </w:rPr>
      </w:pPr>
    </w:p>
    <w:p>
      <w:pPr>
        <w:spacing w:after="0" w:line="349"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422" w:right="4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 (Unaudited)</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560"/>
              <w:spacing w:after="0"/>
              <w:rPr>
                <w:sz w:val="20"/>
                <w:szCs w:val="20"/>
                <w:color w:val="auto"/>
              </w:rPr>
            </w:pPr>
            <w:r>
              <w:rPr>
                <w:rFonts w:ascii="Arial" w:cs="Arial" w:eastAsia="Arial" w:hAnsi="Arial"/>
                <w:sz w:val="18"/>
                <w:szCs w:val="18"/>
                <w:color w:val="auto"/>
              </w:rPr>
              <w:t>Consolidated Balance Sheets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Consolidated Statements of Operations and Comprehensive (Loss)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560"/>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1A.</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6.</w:t>
            </w:r>
          </w:p>
        </w:tc>
        <w:tc>
          <w:tcPr>
            <w:tcW w:w="100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5"/>
              </w:rPr>
              <w:t>Signatures</w:t>
            </w:r>
          </w:p>
        </w:tc>
        <w:tc>
          <w:tcPr>
            <w:tcW w:w="10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0" w:type="dxa"/>
            <w:vAlign w:val="bottom"/>
          </w:tcPr>
          <w:p>
            <w:pPr>
              <w:ind w:left="48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50,248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106,119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121,083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$181,527, $177,512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$180,364, respectively</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63,185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70,163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3,847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34,977</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16,380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4,687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90,730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72,080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June 28, 2014, December 28, 2013 and June 29, 2013</w:t>
            </w:r>
          </w:p>
        </w:tc>
        <w:tc>
          <w:tcPr>
            <w:tcW w:w="2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17,617,182; 17,386,920 and 17,271,671 shares, respectively</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(7,303)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87,538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84,390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76,781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Thirteen weeks ended</w:t>
            </w:r>
          </w:p>
        </w:tc>
        <w:tc>
          <w:tcPr>
            <w:tcW w:w="220" w:type="dxa"/>
            <w:vAlign w:val="bottom"/>
          </w:tcPr>
          <w:p>
            <w:pPr>
              <w:spacing w:after="0"/>
              <w:rPr>
                <w:sz w:val="20"/>
                <w:szCs w:val="20"/>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2"/>
              </w:rPr>
              <w:t>June 28, 2014</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29, 2013</w:t>
            </w:r>
          </w:p>
        </w:tc>
        <w:tc>
          <w:tcPr>
            <w:tcW w:w="200" w:type="dxa"/>
            <w:vAlign w:val="bottom"/>
          </w:tcPr>
          <w:p>
            <w:pPr>
              <w:spacing w:after="0"/>
              <w:rPr>
                <w:sz w:val="18"/>
                <w:szCs w:val="18"/>
                <w:color w:val="auto"/>
              </w:rPr>
            </w:pPr>
          </w:p>
        </w:tc>
        <w:tc>
          <w:tcPr>
            <w:tcW w:w="12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2"/>
              </w:rPr>
              <w:t>June 28, 2014</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29,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75,351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80,395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172,191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81,902</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51,169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100,997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172,843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(6,113)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(4,302)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0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17,024,598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16,460,474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16,863,160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16,345,882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17,024,598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16,460,474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17,097,263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16,345,882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3"/>
              </w:rPr>
              <w:t>June 28, 2014</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29,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 of store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Trade credit utilization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assets and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 related liabilities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Gift cards and customer deposits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(6,340)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(3,149)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Arial" w:cs="Arial" w:eastAsia="Arial" w:hAnsi="Arial"/>
                <w:sz w:val="18"/>
                <w:szCs w:val="18"/>
                <w:color w:val="auto"/>
              </w:rPr>
              <w:t>Cash used in investing activities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Company's common stock</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800"/>
              <w:spacing w:after="0"/>
              <w:rPr>
                <w:sz w:val="20"/>
                <w:szCs w:val="20"/>
                <w:color w:val="auto"/>
              </w:rPr>
            </w:pPr>
            <w:r>
              <w:rPr>
                <w:rFonts w:ascii="Arial" w:cs="Arial" w:eastAsia="Arial" w:hAnsi="Arial"/>
                <w:sz w:val="18"/>
                <w:szCs w:val="18"/>
                <w:color w:val="auto"/>
              </w:rPr>
              <w:t>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41,762</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28, 2013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28, 2013, which were included in the Company’s annual report on Form 10-K filed with the SEC on March 13, 2014.</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reclassifications have been made to prior year amounts to conform to current year presentation, including a net movement of $1.0 million between deferred tax assets and liabilities, none of which impact net income in any period.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fiscal 2014, the Company adopted new accounting guidance with regard to the presentation and disclosure of unrecognized tax benefits, according to the provisions of Accounting Standards Update (ASU) 2013-11. The adoption of this guidance did not have a material impact on the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December 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29,</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10,394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11,547</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13,115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2012, the Company initiated a turnaround plan that includes the closure of a number of stores. The Company considers a more likely than not assessment that an individual location will close as a triggering event to review the store asset group for recoverability. As a result of this review for the first and second quarters of fiscal 2014,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$0.3 million and $0.4 million were recorded in the thirteen weeks and twenty-six ended June 28, 2014, respectively, which are included in selling, general and administrative expenses as a component of income (loss) before income taxes in the Retail segment. The inputs used to determine the fair value of the assets are Level 3 inputs as defined by ASC section 820-10. Any remaining net book value is depreciated over the shortened expected life. The thirteen and twenty-six weeks ended June 29, 2013, included similar impairment charges of $0.2 million and $0.6 million, respectively.</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balances and activity for restricted stock and stock options for the twenty-six weeks ended June 28, 2014:</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28, 2013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720,198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189,970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96,222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307,749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49,296</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28, 2014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490,826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784,139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thirteen and twenty-six weeks ended June 28, 2014, selling, general and administrative expense includes $0.6 million and $1.2 million, respectively, of stock-based compensation expense. For the thirteen and twenty-six weeks ended June 29, 2013, selling, general and administrative expense includes $0.8 million and $1.6 million, respectively, of stock-based compensation expense. As of June 28, 2014, there was $4.1 million of total unrecognized compensation expense related to nonvested restricted stock and option awards which is expected to be recognized over a weighted-average period of 1.4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during the twenty-six weeks ended June 28, 2014 and June 29, 2013 was $3.6 million and $2.2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prior years, the Company recorded a valuation allowance on substantially all of its deferred tax assets. The effective tax rate was (8.7)% and 46.4% for the thirteen and twenty-six weeks ended June 28, 2014, respectively compared to (1.7)% and (3.4)% for the thirteen and twenty-six weeks ended June 29, 2013, respectively. The income tax expense recorded in the thirteen and twenty-six weeks ended represents state and withholding taxes, return-to-provision adjustments and adjustments to uncertain tax position reserves, partially offest by tax benefits recorded in foreign jurisdictions.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(Loss) per Share</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losses of the Company. The following table sets forth the computation of basic and diluted net income (loss) per share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Thirteen weeks ended</w:t>
            </w:r>
          </w:p>
        </w:tc>
        <w:tc>
          <w:tcPr>
            <w:tcW w:w="220" w:type="dxa"/>
            <w:vAlign w:val="bottom"/>
          </w:tcPr>
          <w:p>
            <w:pPr>
              <w:spacing w:after="0"/>
              <w:rPr>
                <w:sz w:val="20"/>
                <w:szCs w:val="20"/>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Twenty-six weeks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2"/>
              </w:rPr>
              <w:t>June 28, 2014</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29, 2013</w:t>
            </w:r>
          </w:p>
        </w:tc>
        <w:tc>
          <w:tcPr>
            <w:tcW w:w="20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2"/>
              </w:rPr>
              <w:t>June 28, 2014</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29,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6"/>
              </w:rPr>
              <w:t>Net income (loss) before allocation of earnings to participating securities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(4,302)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w w:val="96"/>
              </w:rPr>
              <w:t>Net income (loss) after allocation of earnings to participating securities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(4,302)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16,460,474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16,863,160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17,024,598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17,097,263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16,345,882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Pr>
          <w:p>
            <w:pPr>
              <w:spacing w:after="0" w:line="182" w:lineRule="exact"/>
              <w:rPr>
                <w:sz w:val="20"/>
                <w:szCs w:val="20"/>
                <w:color w:val="auto"/>
              </w:rPr>
            </w:pPr>
            <w:r>
              <w:rPr>
                <w:rFonts w:ascii="Arial" w:cs="Arial" w:eastAsia="Arial" w:hAnsi="Arial"/>
                <w:sz w:val="18"/>
                <w:szCs w:val="18"/>
                <w:color w:val="auto"/>
              </w:rPr>
              <w:t>Basic net income (loss) per common share attributable to Build-A-Bear</w:t>
            </w:r>
          </w:p>
        </w:tc>
        <w:tc>
          <w:tcPr>
            <w:tcW w:w="5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(0.25)</w:t>
            </w: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(0.38)</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0.04</w:t>
            </w: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40" w:type="dxa"/>
            <w:vAlign w:val="bottom"/>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5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Diluted net income (loss) per common share attributable to Build-A-Bear</w:t>
            </w:r>
          </w:p>
        </w:tc>
        <w:tc>
          <w:tcPr>
            <w:tcW w:w="5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5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calculating diluted net income (loss) per share for the thirteen and twenty-six week periods ended June 28, 2014, options to purchase 784,139 and 132,146 shares, respectively, of common stock that were outstanding at the end of the period were not included in the computation of diluted net income (loss) per share due to their anti-dilutive effect. For the thirteen and twenty-six week periods ended June 29, 2013, the number of options to purchase common shares that were excluded from the calculation was 1,275,307.</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Due to the net loss for the thirteen week period ended June 28, 2014 and the thirteen and twenty-six week periods June 29, 2013, the denominator for diluted net loss per common share is the same as the denominator for basic net loss per common share for those periods because the inclusion of stock options and unvested restricted shares would be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7. Comprehensive Income (Loss)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June 28, 2014 and December 28, 2013 is comprised entirely of foreign currency translation. For the thirteen and twenty-six weeks ended June 28, 2014 and June 29, 2013,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and Ireland and other retail delivery operations, including the Company’s web store, pop-up stores and non-traditional store locations such as a baseball park. The international franchising segment includes the licensing activities of the Company’s franchise agreements with store locations in Europe, outside of the United Kingdom and Ireland,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International</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Retail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Franchising</w:t>
            </w:r>
          </w:p>
        </w:tc>
        <w:tc>
          <w:tcPr>
            <w:tcW w:w="8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Commercial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28, 2014</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75,351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76,248</w:t>
            </w: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(3,959)</w:t>
            </w: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29, 2013</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80,395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81,902</w:t>
            </w: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(6,113)</w:t>
            </w: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28, 2014</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172,191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1,156</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174,189</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29, 2013</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183,326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1,618</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186,167</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(6,003)</w:t>
            </w: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9,016</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June 28, 2014</w:t>
            </w: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164,982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2,509</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173,331</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29, 2013</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3,016</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168,669</w:t>
            </w:r>
          </w:p>
        </w:tc>
        <w:tc>
          <w:tcPr>
            <w:tcW w:w="100" w:type="dxa"/>
            <w:vAlign w:val="bottom"/>
            <w:shd w:val="clear" w:color="auto" w:fill="CCEEFF"/>
          </w:tcPr>
          <w:p>
            <w:pPr>
              <w:spacing w:after="0"/>
              <w:rPr>
                <w:sz w:val="18"/>
                <w:szCs w:val="18"/>
                <w:color w:val="auto"/>
              </w:rPr>
            </w:pPr>
          </w:p>
        </w:tc>
      </w:tr>
      <w:tr>
        <w:trPr>
          <w:trHeight w:val="945"/>
        </w:trPr>
        <w:tc>
          <w:tcPr>
            <w:tcW w:w="1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41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8" w:name="page9"/>
    <w:bookmarkEnd w:id="8"/>
    <w:p>
      <w:pPr>
        <w:ind w:right="200" w:firstLine="486"/>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4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240"/>
              <w:spacing w:after="0" w:line="258"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ind w:left="40"/>
              <w:spacing w:after="0" w:line="258"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29"/>
                <w:szCs w:val="29"/>
                <w:b w:val="1"/>
                <w:bCs w:val="1"/>
                <w:color w:val="auto"/>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ind w:left="80"/>
              <w:spacing w:after="0" w:line="258"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9"/>
                <w:szCs w:val="29"/>
                <w:b w:val="1"/>
                <w:bCs w:val="1"/>
                <w:color w:val="auto"/>
                <w:vertAlign w:val="superscript"/>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June 28, 2014</w:t>
            </w:r>
          </w:p>
        </w:tc>
        <w:tc>
          <w:tcPr>
            <w:tcW w:w="1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61,503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14,424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76,248</w:t>
            </w:r>
          </w:p>
        </w:tc>
      </w:tr>
      <w:tr>
        <w:trPr>
          <w:trHeight w:val="216"/>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Thirteen weeks ended June 29, 2013</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81,902</w:t>
            </w: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60,042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68,273</w:t>
            </w:r>
          </w:p>
        </w:tc>
      </w:tr>
      <w:tr>
        <w:trPr>
          <w:trHeight w:val="216"/>
        </w:trPr>
        <w:tc>
          <w:tcPr>
            <w:tcW w:w="4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Twenty-six weeks ended June 28, 2014</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174,189</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63,185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June 29, 2013</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152,907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32,335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186,167</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68,273</w:t>
            </w: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420" w:hanging="250"/>
        <w:spacing w:after="0"/>
        <w:tabs>
          <w:tab w:leader="none" w:pos="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and franchise businesses in Europe</w:t>
      </w:r>
    </w:p>
    <w:p>
      <w:pPr>
        <w:spacing w:after="0" w:line="9" w:lineRule="exact"/>
        <w:rPr>
          <w:rFonts w:ascii="Arial" w:cs="Arial" w:eastAsia="Arial" w:hAnsi="Arial"/>
          <w:sz w:val="18"/>
          <w:szCs w:val="18"/>
          <w:color w:val="auto"/>
        </w:rPr>
      </w:pPr>
    </w:p>
    <w:p>
      <w:pPr>
        <w:ind w:left="420" w:hanging="250"/>
        <w:spacing w:after="0"/>
        <w:tabs>
          <w:tab w:leader="none" w:pos="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June 28, 2014, $3.2 million had been paid in respect of the disputed duty and is included in receivables in the Retail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May 2014, the Financial Accounting Standards Board issued ASU 2014-09,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us beginning January 1, 2017, and allows for both retrospective and prospective methods of adoption. The Company is in the process of determining the method of adoption and assessing the impact of this ASU on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period from June 29, 2014 through August 1, 2014, the Company repurchased approximately 225,000 shares of its common stock for an aggregate amount of $2.5 million, leaving $3.9 million of availability under the Board approved share repurchase program.</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584"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28, 2013, as filed with the SEC, and the following:</w:t>
      </w:r>
    </w:p>
    <w:p>
      <w:pPr>
        <w:spacing w:after="0" w:line="154" w:lineRule="exact"/>
        <w:rPr>
          <w:sz w:val="20"/>
          <w:szCs w:val="20"/>
          <w:color w:val="auto"/>
        </w:rPr>
      </w:pPr>
    </w:p>
    <w:p>
      <w:pPr>
        <w:ind w:left="580" w:right="100" w:hanging="342"/>
        <w:spacing w:after="0" w:line="25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the Company’s products, which represent relatively discretionary spending;</w:t>
      </w:r>
    </w:p>
    <w:p>
      <w:pPr>
        <w:spacing w:after="0" w:line="1" w:lineRule="exact"/>
        <w:rPr>
          <w:rFonts w:ascii="Arial" w:cs="Arial" w:eastAsia="Arial" w:hAnsi="Arial"/>
          <w:sz w:val="18"/>
          <w:szCs w:val="18"/>
          <w:color w:val="auto"/>
        </w:rPr>
      </w:pPr>
    </w:p>
    <w:p>
      <w:pPr>
        <w:ind w:left="580" w:hanging="34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customer traffic may decrease in the shopping malls where the Company’s stores are located, and which it depends on to attract guests to its stores;</w:t>
      </w:r>
    </w:p>
    <w:p>
      <w:pPr>
        <w:spacing w:after="0" w:line="32" w:lineRule="exact"/>
        <w:rPr>
          <w:rFonts w:ascii="Arial" w:cs="Arial" w:eastAsia="Arial" w:hAnsi="Arial"/>
          <w:sz w:val="16"/>
          <w:szCs w:val="16"/>
          <w:color w:val="auto"/>
        </w:rPr>
      </w:pPr>
    </w:p>
    <w:p>
      <w:pPr>
        <w:ind w:left="580" w:right="80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generate interest in and demand for its interactive retail experience, or to identify and respond to consumer preferences in a timely fashion;</w:t>
      </w:r>
    </w:p>
    <w:p>
      <w:pPr>
        <w:ind w:left="580" w:hanging="342"/>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marketing and on-line initiatives may not be effective in generating sufficient levels of brand awareness and guest traffic;</w:t>
      </w:r>
    </w:p>
    <w:p>
      <w:pPr>
        <w:spacing w:after="0" w:line="20" w:lineRule="exact"/>
        <w:rPr>
          <w:rFonts w:ascii="Arial" w:cs="Arial" w:eastAsia="Arial" w:hAnsi="Arial"/>
          <w:sz w:val="17"/>
          <w:szCs w:val="17"/>
          <w:color w:val="auto"/>
        </w:rPr>
      </w:pP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generate comparable store sales growth;</w:t>
      </w:r>
    </w:p>
    <w:p>
      <w:pPr>
        <w:spacing w:after="0" w:line="9" w:lineRule="exact"/>
        <w:rPr>
          <w:rFonts w:ascii="Arial" w:cs="Arial" w:eastAsia="Arial" w:hAnsi="Arial"/>
          <w:sz w:val="18"/>
          <w:szCs w:val="18"/>
          <w:color w:val="auto"/>
        </w:rPr>
      </w:pPr>
    </w:p>
    <w:p>
      <w:pPr>
        <w:ind w:left="580" w:right="10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subject to a number of risks related to disruptions, failures or security breaches of its information technology infrastructure and may we improperly obtain, or fail to protect, its data or violate privacy or security laws or expectations;</w:t>
      </w: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effectively operate or manage the overall portfolio of its company-owned stores;</w:t>
      </w:r>
    </w:p>
    <w:p>
      <w:pPr>
        <w:spacing w:after="0" w:line="9" w:lineRule="exact"/>
        <w:rPr>
          <w:rFonts w:ascii="Arial" w:cs="Arial" w:eastAsia="Arial" w:hAnsi="Arial"/>
          <w:sz w:val="18"/>
          <w:szCs w:val="18"/>
          <w:color w:val="auto"/>
        </w:rPr>
      </w:pPr>
    </w:p>
    <w:p>
      <w:pPr>
        <w:ind w:left="580" w:right="26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renew or replace its store leases, or enter into leases for new stores on favorable terms or in favorable locations, or may violate the terms of its current leases;</w:t>
      </w: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be able to operate its company-owned stores in the United Kingdom and Ireland profitably;</w:t>
      </w:r>
    </w:p>
    <w:p>
      <w:pPr>
        <w:spacing w:after="0" w:line="9" w:lineRule="exact"/>
        <w:rPr>
          <w:rFonts w:ascii="Arial" w:cs="Arial" w:eastAsia="Arial" w:hAnsi="Arial"/>
          <w:sz w:val="18"/>
          <w:szCs w:val="18"/>
          <w:color w:val="auto"/>
        </w:rPr>
      </w:pPr>
    </w:p>
    <w:p>
      <w:pPr>
        <w:ind w:left="580" w:right="4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costs of its products could be adversely affected by risks associated with international manufacturing and trade, including foreign currency fluctuation;</w:t>
      </w:r>
    </w:p>
    <w:p>
      <w:pPr>
        <w:ind w:left="580" w:right="14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its products could become subject to recalls or product liability claims that could adversely impact its financial performance and harm its reputation among consumers;</w:t>
      </w: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lose key personnel, be unable to hire qualified additional personnel, or experience turnover of its management team;</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susceptible to disruption in its inventory flow due to its reliance on a few vendors;</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effectively manage its international franchises or laws relating to those franchises may change;</w:t>
      </w:r>
    </w:p>
    <w:p>
      <w:pPr>
        <w:spacing w:after="0" w:line="9" w:lineRule="exact"/>
        <w:rPr>
          <w:rFonts w:ascii="Arial" w:cs="Arial" w:eastAsia="Arial" w:hAnsi="Arial"/>
          <w:sz w:val="18"/>
          <w:szCs w:val="18"/>
          <w:color w:val="auto"/>
        </w:rPr>
      </w:pPr>
    </w:p>
    <w:p>
      <w:pPr>
        <w:ind w:left="580" w:right="70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fail to renew, register or otherwise protect its trademarks or other intellectual property or may be sued by third parties for infringement or, misappropriation of their proprietary rights;</w:t>
      </w: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subject to risks associated with technology and digital operations;</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may suffer negative publicity or be sued due to violations of labor laws or unethical practices by manufacturers of its merchandise;</w:t>
      </w:r>
    </w:p>
    <w:p>
      <w:pPr>
        <w:spacing w:after="0" w:line="32" w:lineRule="exact"/>
        <w:rPr>
          <w:rFonts w:ascii="Arial" w:cs="Arial" w:eastAsia="Arial" w:hAnsi="Arial"/>
          <w:sz w:val="16"/>
          <w:szCs w:val="16"/>
          <w:color w:val="auto"/>
        </w:rPr>
      </w:pPr>
    </w:p>
    <w:p>
      <w:pPr>
        <w:ind w:left="580" w:right="6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operate its company-owned distribution center efficiently or its third-party distribution center providers may perform poorly;</w:t>
      </w: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petroleum products prices could increase the Company’s inventory transportation costs and adversely affect its profitability;</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580" w:right="260" w:hanging="34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suffer negative publicity or negative sales if the non-proprietary toy products it sells in its stores do not meet its quality or sales expectations;</w:t>
      </w: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the Company’s liquidity and capital resources;</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Company’s quarterly results of operations could cause the price of its common stock to substantially decline; and</w:t>
      </w:r>
    </w:p>
    <w:p>
      <w:pPr>
        <w:spacing w:after="0" w:line="9" w:lineRule="exact"/>
        <w:rPr>
          <w:rFonts w:ascii="Arial" w:cs="Arial" w:eastAsia="Arial" w:hAnsi="Arial"/>
          <w:sz w:val="18"/>
          <w:szCs w:val="18"/>
          <w:color w:val="auto"/>
        </w:rPr>
      </w:pPr>
    </w:p>
    <w:p>
      <w:pPr>
        <w:ind w:left="580" w:hanging="342"/>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be unable to repurchase shares of its common stock at the times or in the amounts it currently anticipates or the results of the share repurchase program may not be as beneficial as it currently anticipates.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June 28, 2014, we operated 244 traditional stores and ten non-traditional stores in the United States, Canada and Puerto Rico (collectively, North America), 57 traditional stores and two non-traditional stores in the United Kingdom and Ireland (collectively, Europe) and had 75 franchised stores operating internationally under the Build-A-Bear Workshop brand.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10" w:name="page11"/>
    <w:bookmarkEnd w:id="10"/>
    <w:p>
      <w:pPr>
        <w:ind w:right="340"/>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Retail - Company-owned retail stores located in the United States, Canada, Puerto Rico, the United Kingdom and Ireland, and a web store;</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2013 performance demonstrated progress toward our objective to achieve sustainable, profitable growth as we hired a new chief executive, executed a significant real estate strategy and implemented stringent cost controls throughout the organization. Our 2014 plan builds on the progress we made in 2013 in implementing our key strategies. We plan to continue to improve store productivity and profitability through our real estate optimization efforts, reposition our marketing programs to refine the consumer value equation and build on core competencies to lay the groundwork to further leverage the strength of our Build-A-Bear brand. Additionally we intend to work aggressively on expense rationalization as we continue to align our cost structure with our smaller store base and value engineer our products, along with an end to end review of our supply chain.</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weeks ended June 28, 2014 and June 29, 2013 are set forth in the notes to our condensed consolidated financial statements included elsewhere in this quarterly report on Form 10-Q.</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comparable store sales as one of the performance measures for our business. Comparable store sales percentage changes are based on net retail sales, excluding our web store and temporary,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Thirteen Weeks Ended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Twenty-Six Weeks Ended</w:t>
            </w:r>
          </w:p>
        </w:tc>
      </w:tr>
      <w:tr>
        <w:trPr>
          <w:trHeight w:val="210"/>
        </w:trPr>
        <w:tc>
          <w:tcPr>
            <w:tcW w:w="442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June 28, 2014</w:t>
            </w: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June 29,</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Pr>
          <w:p>
            <w:pPr>
              <w:spacing w:after="0"/>
              <w:rPr>
                <w:sz w:val="18"/>
                <w:szCs w:val="18"/>
                <w:color w:val="auto"/>
              </w:rPr>
            </w:pPr>
          </w:p>
        </w:tc>
        <w:tc>
          <w:tcPr>
            <w:tcW w:w="1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June 28, 2014</w:t>
            </w: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June 29, 2013</w:t>
            </w:r>
          </w:p>
        </w:tc>
        <w:tc>
          <w:tcPr>
            <w:tcW w:w="16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Europe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w:t>
            </w:r>
          </w:p>
        </w:tc>
        <w:tc>
          <w:tcPr>
            <w:tcW w:w="7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changes in comparable store sales for the periods presented are primarily attributable to the following factors:</w:t>
      </w:r>
    </w:p>
    <w:p>
      <w:pPr>
        <w:spacing w:after="0" w:line="225" w:lineRule="exact"/>
        <w:rPr>
          <w:sz w:val="20"/>
          <w:szCs w:val="20"/>
          <w:color w:val="auto"/>
        </w:rPr>
      </w:pPr>
    </w:p>
    <w:p>
      <w:pPr>
        <w:ind w:left="660" w:right="8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in traffic partially attributable to the extreme first quarter weather patterns in North America and its lingering effects. In the first quarter, extreme weather decreased overall mall traffic for many markets in North America impacting the retail sector overall. In the second quarter, we saw the lingering effect of the first quarter weather patterns as school vacations were cancelled and the school year was extended in many markets impacting experiential children’s retail such as ours whose traffic benefits when kids are out of school;</w:t>
      </w:r>
    </w:p>
    <w:p>
      <w:pPr>
        <w:spacing w:after="0" w:line="17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also believe that traffic was negatively impacted in the second quarter of 2014 as a result of our strategic decision to eliminate a gift-with-purchase promotion, along with its supporting marketing, that had run for several years in the second quarter but had failed to deliver a profitable return;</w:t>
      </w:r>
    </w:p>
    <w:p>
      <w:pPr>
        <w:spacing w:after="0" w:line="181"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Additionally, we believe a portion of the decline in the 2014 second quarter was a result of a shortfall in our plans to anniversary a high impact initial launch of My Little Pony in the 2013 second quarter. We had planned to offset the My Little Pony product launch with the introduction of a new concept from Disney, its Palace Pets collection, as well as incremental product introductions tied to movies with summer release dates. The build on the Disney product line was slower than planned and we underestimated demand on key movie products which contributed to the merchandise selling out in advance of the movie release dates;</w:t>
      </w:r>
    </w:p>
    <w:p>
      <w:pPr>
        <w:spacing w:after="0" w:line="188"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the thirteen week period was positively impacted from the shift of Easter and the associated school breaks into the second quarter in 2014 from last year’s first quarter;</w:t>
      </w:r>
    </w:p>
    <w:p>
      <w:pPr>
        <w:spacing w:after="0" w:line="197"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believe that comparable store sales were positively impacted in both the thirteen and twenty-six week periods by strategic store closures, primarily in North American multi-store markets, which have transferred approximately 16% of their sales to remaining stores in the market; and</w:t>
      </w:r>
    </w:p>
    <w:p>
      <w:pPr>
        <w:spacing w:after="0" w:line="123" w:lineRule="exact"/>
        <w:rPr>
          <w:rFonts w:ascii="Arial" w:cs="Arial" w:eastAsia="Arial" w:hAnsi="Arial"/>
          <w:sz w:val="16"/>
          <w:szCs w:val="16"/>
          <w:color w:val="auto"/>
        </w:rPr>
      </w:pPr>
    </w:p>
    <w:p>
      <w:pPr>
        <w:ind w:left="660" w:right="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improved key operational levers that are typically more in a retailer’s control by driving increases in dollars per transaction, units per transaction and average unit selling price in both the thirteen and twenty-six week periods. We also improved consumer conversion in the 2014 second quarter.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Company is working to improve comparable store sales through the following key initiatives:</w:t>
      </w:r>
    </w:p>
    <w:p>
      <w:pPr>
        <w:spacing w:after="0" w:line="225" w:lineRule="exact"/>
        <w:rPr>
          <w:sz w:val="20"/>
          <w:szCs w:val="20"/>
          <w:color w:val="auto"/>
        </w:rPr>
      </w:pPr>
    </w:p>
    <w:p>
      <w:pPr>
        <w:ind w:left="660" w:right="9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Refining product planning to align with consumer demand driven by consistent execution of integrated marketing programs that focus on repositioning the consumer value equation and elevating the Build-A-Bear brand; and</w:t>
      </w:r>
    </w:p>
    <w:p>
      <w:pPr>
        <w:spacing w:after="0" w:line="170"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Optimizing our real estate portfolio through strategic closures primarily in multi-store markets where we can transfer a portion of sales to other stores in the same markets. Additionally, in conjunction with lease renewals, we will strategically refresh and upgrade other stores with key features.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Twenty-six Weeks</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8"/>
                <w:szCs w:val="18"/>
                <w:b w:val="1"/>
                <w:bCs w:val="1"/>
                <w:color w:val="auto"/>
                <w:w w:val="90"/>
              </w:rPr>
              <w:t>Fifty-three Weeks - Projected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rPr>
              <w:t>December 28,</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rPr>
              <w:t>June 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December 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4"/>
              </w:rPr>
              <w:t>January 3,</w:t>
            </w:r>
          </w:p>
        </w:tc>
        <w:tc>
          <w:tcPr>
            <w:tcW w:w="100" w:type="dxa"/>
            <w:vAlign w:val="bottom"/>
          </w:tcPr>
          <w:p>
            <w:pPr>
              <w:spacing w:after="0"/>
              <w:rPr>
                <w:sz w:val="16"/>
                <w:szCs w:val="16"/>
                <w:color w:val="auto"/>
              </w:rPr>
            </w:pPr>
          </w:p>
        </w:tc>
      </w:tr>
      <w:tr>
        <w:trPr>
          <w:trHeight w:val="234"/>
        </w:trPr>
        <w:tc>
          <w:tcPr>
            <w:tcW w:w="1720" w:type="dxa"/>
            <w:vAlign w:val="bottom"/>
          </w:tcPr>
          <w:p>
            <w:pPr>
              <w:spacing w:after="0"/>
              <w:rPr>
                <w:sz w:val="20"/>
                <w:szCs w:val="20"/>
                <w:color w:val="auto"/>
              </w:rPr>
            </w:pPr>
          </w:p>
        </w:tc>
        <w:tc>
          <w:tcPr>
            <w:tcW w:w="15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4"/>
          </w:tcPr>
          <w:p>
            <w:pPr>
              <w:ind w:left="140"/>
              <w:spacing w:after="0"/>
              <w:rPr>
                <w:sz w:val="20"/>
                <w:szCs w:val="20"/>
                <w:color w:val="auto"/>
              </w:rPr>
            </w:pPr>
            <w:r>
              <w:rPr>
                <w:rFonts w:ascii="Arial" w:cs="Arial" w:eastAsia="Arial" w:hAnsi="Arial"/>
                <w:sz w:val="18"/>
                <w:szCs w:val="18"/>
                <w:b w:val="1"/>
                <w:bCs w:val="1"/>
                <w:color w:val="auto"/>
              </w:rPr>
              <w:t>Opened</w:t>
            </w:r>
          </w:p>
        </w:tc>
        <w:tc>
          <w:tcPr>
            <w:tcW w:w="1100" w:type="dxa"/>
            <w:vAlign w:val="bottom"/>
            <w:gridSpan w:val="4"/>
          </w:tcPr>
          <w:p>
            <w:pPr>
              <w:ind w:left="180"/>
              <w:spacing w:after="0"/>
              <w:rPr>
                <w:sz w:val="20"/>
                <w:szCs w:val="20"/>
                <w:color w:val="auto"/>
              </w:rPr>
            </w:pPr>
            <w:r>
              <w:rPr>
                <w:rFonts w:ascii="Arial" w:cs="Arial" w:eastAsia="Arial" w:hAnsi="Arial"/>
                <w:sz w:val="18"/>
                <w:szCs w:val="18"/>
                <w:b w:val="1"/>
                <w:bCs w:val="1"/>
                <w:color w:val="auto"/>
              </w:rPr>
              <w:t>Closed</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160"/>
              <w:spacing w:after="0"/>
              <w:rPr>
                <w:sz w:val="20"/>
                <w:szCs w:val="20"/>
                <w:color w:val="auto"/>
              </w:rPr>
            </w:pPr>
            <w:r>
              <w:rPr>
                <w:rFonts w:ascii="Arial" w:cs="Arial" w:eastAsia="Arial" w:hAnsi="Arial"/>
                <w:sz w:val="18"/>
                <w:szCs w:val="18"/>
                <w:b w:val="1"/>
                <w:bCs w:val="1"/>
                <w:color w:val="auto"/>
              </w:rPr>
              <w:t>Opened</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Closed</w:t>
            </w:r>
          </w:p>
        </w:tc>
        <w:tc>
          <w:tcPr>
            <w:tcW w:w="10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720" w:type="dxa"/>
            <w:vAlign w:val="bottom"/>
            <w:gridSpan w:val="5"/>
          </w:tcPr>
          <w:p>
            <w:pPr>
              <w:jc w:val="right"/>
              <w:ind w:right="12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252</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56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0"/>
        </w:trPr>
        <w:tc>
          <w:tcPr>
            <w:tcW w:w="1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263</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1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560" w:type="dxa"/>
            <w:vAlign w:val="bottom"/>
            <w:gridSpan w:val="2"/>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0"/>
        </w:trPr>
        <w:tc>
          <w:tcPr>
            <w:tcW w:w="1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720" w:type="dxa"/>
            <w:vAlign w:val="bottom"/>
          </w:tcPr>
          <w:p>
            <w:pPr>
              <w:ind w:left="32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323</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320</w:t>
            </w:r>
          </w:p>
        </w:tc>
      </w:tr>
      <w:tr>
        <w:trPr>
          <w:trHeight w:val="20"/>
        </w:trPr>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rPr>
              <w:t>Twenty-six Weeks</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8"/>
                <w:szCs w:val="18"/>
                <w:b w:val="1"/>
                <w:bCs w:val="1"/>
                <w:color w:val="auto"/>
              </w:rPr>
              <w:t>Fifty-two Weeks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5"/>
          </w:tcPr>
          <w:p>
            <w:pPr>
              <w:spacing w:after="0" w:line="191" w:lineRule="exact"/>
              <w:rPr>
                <w:sz w:val="20"/>
                <w:szCs w:val="20"/>
                <w:color w:val="auto"/>
              </w:rPr>
            </w:pPr>
            <w:r>
              <w:rPr>
                <w:rFonts w:ascii="Arial" w:cs="Arial" w:eastAsia="Arial" w:hAnsi="Arial"/>
                <w:sz w:val="18"/>
                <w:szCs w:val="18"/>
                <w:b w:val="1"/>
                <w:bCs w:val="1"/>
                <w:color w:val="auto"/>
              </w:rPr>
              <w:t>December 29,</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5"/>
              </w:rPr>
              <w:t>June 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December 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7"/>
              </w:rPr>
              <w:t>December 28,</w:t>
            </w:r>
          </w:p>
        </w:tc>
        <w:tc>
          <w:tcPr>
            <w:tcW w:w="100" w:type="dxa"/>
            <w:vAlign w:val="bottom"/>
          </w:tcPr>
          <w:p>
            <w:pPr>
              <w:spacing w:after="0"/>
              <w:rPr>
                <w:sz w:val="16"/>
                <w:szCs w:val="16"/>
                <w:color w:val="auto"/>
              </w:rPr>
            </w:pPr>
          </w:p>
        </w:tc>
      </w:tr>
      <w:tr>
        <w:trPr>
          <w:trHeight w:val="234"/>
        </w:trPr>
        <w:tc>
          <w:tcPr>
            <w:tcW w:w="1720" w:type="dxa"/>
            <w:vAlign w:val="bottom"/>
          </w:tcPr>
          <w:p>
            <w:pPr>
              <w:spacing w:after="0"/>
              <w:rPr>
                <w:sz w:val="20"/>
                <w:szCs w:val="20"/>
                <w:color w:val="auto"/>
              </w:rPr>
            </w:pPr>
          </w:p>
        </w:tc>
        <w:tc>
          <w:tcPr>
            <w:tcW w:w="15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4"/>
          </w:tcPr>
          <w:p>
            <w:pPr>
              <w:ind w:left="60"/>
              <w:spacing w:after="0"/>
              <w:rPr>
                <w:sz w:val="20"/>
                <w:szCs w:val="20"/>
                <w:color w:val="auto"/>
              </w:rPr>
            </w:pPr>
            <w:r>
              <w:rPr>
                <w:rFonts w:ascii="Arial" w:cs="Arial" w:eastAsia="Arial" w:hAnsi="Arial"/>
                <w:sz w:val="18"/>
                <w:szCs w:val="18"/>
                <w:b w:val="1"/>
                <w:bCs w:val="1"/>
                <w:color w:val="auto"/>
              </w:rPr>
              <w:t>Opened</w:t>
            </w:r>
          </w:p>
        </w:tc>
        <w:tc>
          <w:tcPr>
            <w:tcW w:w="1100" w:type="dxa"/>
            <w:vAlign w:val="bottom"/>
            <w:gridSpan w:val="4"/>
          </w:tcPr>
          <w:p>
            <w:pPr>
              <w:ind w:left="80"/>
              <w:spacing w:after="0"/>
              <w:rPr>
                <w:sz w:val="20"/>
                <w:szCs w:val="20"/>
                <w:color w:val="auto"/>
              </w:rPr>
            </w:pPr>
            <w:r>
              <w:rPr>
                <w:rFonts w:ascii="Arial" w:cs="Arial" w:eastAsia="Arial" w:hAnsi="Arial"/>
                <w:sz w:val="18"/>
                <w:szCs w:val="18"/>
                <w:b w:val="1"/>
                <w:bCs w:val="1"/>
                <w:color w:val="auto"/>
              </w:rPr>
              <w:t>Closed</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b w:val="1"/>
                <w:bCs w:val="1"/>
                <w:color w:val="auto"/>
              </w:rPr>
              <w:t>Opened</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89"/>
              </w:rPr>
              <w:t>Closed</w:t>
            </w:r>
          </w:p>
        </w:tc>
        <w:tc>
          <w:tcPr>
            <w:tcW w:w="1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283</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6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1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291</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0"/>
        </w:trPr>
        <w:tc>
          <w:tcPr>
            <w:tcW w:w="1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720" w:type="dxa"/>
            <w:vAlign w:val="bottom"/>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351</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323</w:t>
            </w:r>
          </w:p>
        </w:tc>
      </w:tr>
      <w:tr>
        <w:trPr>
          <w:trHeight w:val="20"/>
        </w:trPr>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long term store real estate goal is to improve our stores’ sales productivity and profitability. We currently intend to close approximately 15 locations in 2014, primarily in North America. We also intend to strategically refresh and upgrade stores with select features from the new store design, while driving down the cost of capital required for these improvements. We also expect to open new traditional and non-traditional locations selectively as opportunities arise.</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611"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first franchised location opened in November 2003. The number of international, franchised stores for the periods presented below are summarized as follows:</w:t>
      </w:r>
    </w:p>
    <w:p>
      <w:pPr>
        <w:spacing w:after="0" w:line="19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8"/>
              </w:rPr>
              <w:t>June 28, 2014</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June 29, 2013</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(13)</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10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June 28, 2014, we had master franchise agreements, which typically grant franchise rights for a particular country or group of countries. With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Turkish franchise added in the 2014 first quarter, we now have agreements covering an aggregate of 17 countries. The closures in 2014 are primarily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result of our franchisees implementing real estate optimization plans, similar to what we have undertaken in North America. In the ordinary course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we anticipate signing additional master franchise agreements in the future and terminating other such agreements. In the long term, we believe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market potential for approximately 300 franchised stores outside of the United States, Canada, Puerto Rico, the United Kingdom and Ireland, which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 to be operated primarily by new and existing franchisees.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9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28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June 28,</w:t>
            </w:r>
          </w:p>
        </w:tc>
        <w:tc>
          <w:tcPr>
            <w:tcW w:w="12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June 29,</w:t>
            </w:r>
          </w:p>
        </w:tc>
        <w:tc>
          <w:tcPr>
            <w:tcW w:w="2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June 28,</w:t>
            </w:r>
          </w:p>
        </w:tc>
        <w:tc>
          <w:tcPr>
            <w:tcW w:w="12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June 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Net retail sales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fees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Commercial revenue</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Cost of merchandise sold </w:t>
            </w:r>
            <w:r>
              <w:rPr>
                <w:rFonts w:ascii="Arial" w:cs="Arial" w:eastAsia="Arial" w:hAnsi="Arial"/>
                <w:sz w:val="25"/>
                <w:szCs w:val="25"/>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63.1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58.4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Interest expense (income), net</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12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3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2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$29.4 million and $71.6 million for the thirteen and twenty-six weeks ended June 28, 2014, respectively, and $29.6 million and $72.3 million for the thirteen and twenty-six weeks ended June 29, 2013, respectively. Retail gross margin percentage represents retail gross margin divided by net retail sales.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Thirteen weeks ended June 28, 2014 compared to thirteen weeks ended June 29, 2013</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Total revenues were $76.2 million for the thirteen weeks ended June 28, 2014 as compared to $81.9 million for the thirteen weeks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29, 2013, a decrease of $5.7 million, or 6.9%. Net retail sales were $75.4 million for the thirteen weeks ended June 28, 2014 as compared to $80.4 million for the thirteen weeks ended June 29, 2013, a decrease of $5.0 million, or 6.3%. The components of this decrease are as follows: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Thirteen weeks</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28,</w:t>
            </w:r>
          </w:p>
        </w:tc>
      </w:tr>
      <w:tr>
        <w:trPr>
          <w:trHeight w:val="234"/>
        </w:trPr>
        <w:tc>
          <w:tcPr>
            <w:tcW w:w="8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86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comparable store sales</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(3.4)</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r>
      <w:tr>
        <w:trPr>
          <w:trHeight w:val="20"/>
        </w:trPr>
        <w:tc>
          <w:tcPr>
            <w:tcW w:w="8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0"/>
        </w:trPr>
        <w:tc>
          <w:tcPr>
            <w:tcW w:w="8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decrease in comparable store sales for the thirteen weeks ended June 28, 2014 was primarily attributable to the following factors:</w:t>
      </w:r>
    </w:p>
    <w:p>
      <w:pPr>
        <w:spacing w:after="0" w:line="237" w:lineRule="exact"/>
        <w:rPr>
          <w:sz w:val="20"/>
          <w:szCs w:val="20"/>
          <w:color w:val="auto"/>
        </w:rPr>
      </w:pPr>
    </w:p>
    <w:p>
      <w:pPr>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traffic partially attributable to the extreme winter weather patterns in North America and its lingering effects. In the second quarter, we saw the lingering effects as school vacations were cancelled and the school year was extended in many markets impacting experiential children’s retail such as ours whose traffic benefits when kids are out of school;</w:t>
      </w:r>
    </w:p>
    <w:p>
      <w:pPr>
        <w:spacing w:after="0" w:line="181"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also believe that traffic was negatively impacted in the second quarter of 2014 as a result of our strategic decision to eliminate a gift-with-purchase promotion, along with its supporting marketing, that had run for several years in the second quarter but had failed to deliver a profitable return;</w:t>
      </w:r>
    </w:p>
    <w:p>
      <w:pPr>
        <w:spacing w:after="0" w:line="181"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Additionally, we believe a portion of the decline in the 2014 second quarter was a result of a shortfall in our plans to anniversary a high impact initial launch of My Little Pony in the 2013 second quarter. We had planned to offset the My Little Pony product launch with the introduction of a new concept from Disney, its Palace Pets collection, as well as incremental product introductions tied to movies with summer release dates. The build on the Disney product line was slower than planned and we underestimated demand on key movie products which contributed to the merchandise selling out in advance of the movie release dates;</w:t>
      </w:r>
    </w:p>
    <w:p>
      <w:pPr>
        <w:spacing w:after="0" w:line="188"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the thirteen week period was positively impacted from the shift of Easter and the associated school breaks into the second quarter in 2014 from last year’s first quarter;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comparable store sales were positively impacted in the second quarter by strategic store closures, primarily in North American multi-store markets, which have transferred approximately 16% of their sales to remaining stores in the market;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improved key operational levers that are typically more in a retailer’s control by driving increases in dollars per transaction, units per transaction, average unit selling price and consumer conversion.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from franchise fees was $0.5 million and $0.8 million for the thirteen weeks ended June 28, 2014 and June 29, 2013, respectively, consistent with 15 fewer franchise locations in the second quarter of 2014. Commercial revenue was $0.4 million and $0.8 million for the thirteen weeks ended June 28, 2014 and June 29, 2013, respectively, primarily resulting from a decline in licensing activities.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 w:name="page15"/>
    <w:bookmarkEnd w:id="14"/>
    <w:p>
      <w:pPr>
        <w:ind w:right="4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was $29.7 million for the thirteen weeks ended June 28, 2014, compared to $30.0 million for the thirteen weeks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29, 2013, a decrease of $0.3 million, or 1.0%. Retail gross margin was $29.4 million for the thirteen weeks ended June 28, 2014 compared to $29.6 million for the thirteen weeks ended June 29, 2013, a decrease of $0.2 million, or 0.5%. As a percentage of net retail sales, retail gross margin increased to 39.0% for the thirteen weeks ended June 28, 2014 from 36.8% for the thirteen weeks ended June 29, 2013. This 220 basis points as a percentage of net retail sales (bps) improvement was primarily driven by a 360 basis point improvement from expansion in merchandise margin and reduction in distribution costs partially offset by deleverage of fixed occupancy cost.</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decreased to $34.0 million for the thirteen weeks ended June 28, 2014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$36.9 million for the thirteen weeks ended June 29, 2013, a decrease of $2.9 million, or 7.7%. As a percentage of total revenues, selling, general and administrative expenses decreased to 44.6% for the thirteen weeks ended June 28, 2014 as compared to 45.1% for the thirteen weeks ended June 29, 2013, a decrease of 50 bps. The dollar decrease in the quarter was primarily due to decreases in store payroll costs and other operational cost savings resulting from store closures, a decrease in management transition and store closing costs and the elimination of a gift with purchase promotion and the associated marketing that ran in the 2013 second quarter. As a percent of revenue, these decreases were partially offset by decreased leverage on fixed overhead. Excluding the management transition and store closing costs, selling, general and administrative expenses as a percent of revenue increased 70 bps, primarily due to decreased leverage offset by lower costs.</w:t>
      </w:r>
    </w:p>
    <w:p>
      <w:pPr>
        <w:spacing w:after="0" w:line="1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net of interest income was $64,000 for the thirteen weeks ended June 28, 2014. Interest income,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was $55,000 for the thirteen weeks ended June 29, 2013.</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Income tax expense was $0.3 million for the thirteen weeks ended June 28, 2014 as compared to income tax expense of $0.1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thirteen weeks ended June 29, 2013. The effective tax rate was (8.7)% for the thirteen weeks ended June 28, 2014 compared to (1.7)% for the thirteen weeks ended June 29, 2013. The change in effective tax rate was primarily attributable to the impact of recording state and withholding taxes, return-to-provision adjustments and adjustments to uncertain tax position reserves, partially offset by tax benefits recorded in foreign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Twenty-six weeks ended June 28, 2014 compared to twenty-six weeks ended June 29, 2013</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$174.2 million for the twenty-six weeks ended June 28, 2014 as compared to $186.2 million for the twenty-six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29, 2013, a decrease of $12.0 million, or 6.4%. Net retail sales were $172.2 million for the twenty-six weeks ended June 28, 2014 as compared to $183.3 million for the twenty-six weeks ended June 29, 2013, a decrease of $11.1 million, or 6.1%. The components of this decrease are as follows: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Twenty-six</w:t>
            </w:r>
          </w:p>
        </w:tc>
      </w:t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weeks ended</w:t>
            </w:r>
          </w:p>
        </w:tc>
      </w:tr>
      <w:tr>
        <w:trPr>
          <w:trHeight w:val="216"/>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28,</w:t>
            </w:r>
          </w:p>
        </w:tc>
      </w:tr>
      <w:tr>
        <w:trPr>
          <w:trHeight w:val="234"/>
        </w:trPr>
        <w:tc>
          <w:tcPr>
            <w:tcW w:w="8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86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 in comparable store sales</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non-comparable stores, primarily remodels and relocations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r>
      <w:tr>
        <w:trPr>
          <w:trHeight w:val="20"/>
        </w:trPr>
        <w:tc>
          <w:tcPr>
            <w:tcW w:w="86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(11.1)</w:t>
            </w:r>
          </w:p>
        </w:tc>
      </w:tr>
      <w:tr>
        <w:trPr>
          <w:trHeight w:val="20"/>
        </w:trPr>
        <w:tc>
          <w:tcPr>
            <w:tcW w:w="8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decrease in comparable store sales for the twenty-six weeks ended June 28, 2014 was primarily attributable to the following factors:</w:t>
      </w:r>
    </w:p>
    <w:p>
      <w:pPr>
        <w:spacing w:after="0" w:line="237" w:lineRule="exact"/>
        <w:rPr>
          <w:sz w:val="20"/>
          <w:szCs w:val="20"/>
          <w:color w:val="auto"/>
        </w:rPr>
      </w:pPr>
    </w:p>
    <w:p>
      <w:pPr>
        <w:ind w:left="660" w:right="8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traffic partially attributable to the extreme first quarter weather patterns in North America and its lingering effects. In the first quarter, extreme weather decreased overall mall traffic for many markets in North America impacting the retail sector overall. In the second quarter, we saw the lingering effect of the first quarter weather patterns as school vacations were cancelled and the school year was extended in many markets impacting experiential children’s retail such as ours whose traffic benefits when kids are out of school;</w:t>
      </w:r>
    </w:p>
    <w:p>
      <w:pPr>
        <w:spacing w:after="0" w:line="17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also believe that traffic was negatively impacted in the second quarter of 2014 as a result of our strategic decision to eliminate a gift-with-purchase promotion, along with its supporting marketing, that had run for several years in the second quarter but had failed to deliver a profitable return;</w:t>
      </w:r>
    </w:p>
    <w:p>
      <w:pPr>
        <w:spacing w:after="0" w:line="181" w:lineRule="exact"/>
        <w:rPr>
          <w:rFonts w:ascii="Arial" w:cs="Arial" w:eastAsia="Arial" w:hAnsi="Arial"/>
          <w:sz w:val="18"/>
          <w:szCs w:val="18"/>
          <w:color w:val="auto"/>
        </w:rPr>
      </w:pPr>
    </w:p>
    <w:p>
      <w:pPr>
        <w:ind w:left="660" w:right="2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Additionally, we believe a portion of the decline in 2014 was a result of a shortfall in our plans to anniversary a high impact initial launch of My Little Pony in the 2013 second quarter. We had planned to offset the My Little Pony product launch with the introduction of a new concept from Disney, its Palace Pets collection, as well as incremental product introductions tied to movies with summer release dates. The build on the Disney product line was slower than planned and we underestimated demand on key movie products which contributed to the merchandise selling out in advance of the movie release dates;</w:t>
      </w:r>
    </w:p>
    <w:p>
      <w:pPr>
        <w:spacing w:after="0" w:line="188"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that comparable store sales were positively impacted in 2014 by strategic store closures, primarily in North American multi-store markets, which have transferred approximately 16% of their sales to remaining stores in the market;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improved key operational levers that are typically more in a retailer’s control by driving increases in dollars per transaction, units per transaction and average unit selling price in 2014.</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289"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t>Revenue from franchise fees was $1.2 million for the twenty-six weeks ended June 28, 2014 from $1.6 million for the twenty-six weeks ended June 29, 2013, a decrease of $0.5 million, consistent with 15 fewer franchise locations in the first half of 2014. Commercial revenue was $0.8 million for the twenty-six weeks ended June 28, 2014 compared to $1.2 million for the twenty-six weeks ended June 29, 2013, a decrease of $0.4 million, primarily resulting from a decline in licensing activities.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Total gross margin was $72.0 million for the twenty-six weeks ended June 28, 2014 compared to $72.9 million for the twenty-six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29, 2013, a decrease of $0.9 million, or 1.2%. Retail gross margin was $71.6 million for the twenty-six weeks ended June 28, 2014 compared to $72.3 million for the twenty-six weeks ended June 29, 2013, a decrease of $0.7 million, or 1.0%. As a percentage of net retail sales, retail gross margin increased to 41.6% for the twenty-six weeks ended June 28, 2014 from 39.4% for the twenty-six weeks ended June 29, 2013. This 220 bps improvement was primarily driven by a 300 basis point improvement in merchandise margin partially offset by deleverage in occupancy cost.</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$71.8 million for the twenty-six weeks ended June 28, 2014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$80.6 million for the twenty-six weeks ended June 29, 2013, a decrease of $8.8 million, or 10.9%. As a percentage of total revenues, selling, general and administrative expenses decreased to 41.2% for the twenty-six weeks ended June 28, 2014 as compared to 43.3% for the twenty-six weeks ended June 29, 2013, a decrease of 210 bps. The dollar decrease was primarily due to decreases in store payroll costs and other operational cost savings resulting from store closures, a decrease in management transition and store closing costs and our cost reduction efforts. As a percent of revenue, these decreases were partially offset by decreased leverage. Excluding the management transition and store closing costs, selling, general and administrative expenses as a percent of revenue decreased 60 bps, primarily due to the overall decrease in expenses from store closures and our ongoing cost reduction efforts and the elimination of certain marketing associated with a promotion in the prior year.</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net of interest income was $2,000 for the twenty-six weeks ended June 28, 2014. Interest income,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was $0.1 million for the twenty-six weeks ended June 29, 2013.</w:t>
      </w:r>
    </w:p>
    <w:p>
      <w:pPr>
        <w:spacing w:after="0" w:line="170"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Income tax expense was $0.6 million for the twenty-six weeks ended June 28, 2014 as compared to income tax expense of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twenty-six weeks ended June 29, 2013. The effective tax rate was 46.4% for the twenty-six weeks ended June 28, 2014 compared to (3.4)% for the twenty-six weeks ended June 29, 2013. The change in effective tax rate was primarily attributable to the impact of recording state and withholding taxes, return-to-provision adjustments and adjustments to uncertain tax position reserves, partially offset by tax benefits recorded in foreign jurisdictions.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seasonal shopping patterns and holiday and vacation schedules; (2) the timing and frequency of our marketing initiatives, including national media and other public relations events; (3) the timing of our store openings and closings and related expenses; (4) changes in general economic conditions and consumer spending patterns; (5) increases or decreases in our comparable store sales; (6) fluctuations in the profitability of our stores; (7) changes in foreign currency exchange rates; (8) the actions of our competitors or mall anchors and co-tenants; (9) changes in consumer preferences; (10) the effectiveness of our inventory management; and (11) weather conditions.</w:t>
      </w:r>
    </w:p>
    <w:p>
      <w:pPr>
        <w:spacing w:after="0" w:line="2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 and the 2014 fiscal fourth quarter will have 14 weeks.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was $0.5 million for the twenty-six weeks ended June 28, 2014 as compared with $7.5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June 29, 2013, a decrease of $7.0 million. Generally, changes in cash from operating activities are driven by changes in net income or loss and changes in operating assets and liabilities. This decrease in cash used in operating activities over the year ago period was primarily due to increased store contribution and the timing of payments for inventory and rent.</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was $3.2 million for the twenty-six weeks ended June 28, 2014 as compared to $9.0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twenty-six weeks ended June 29, 2013, a decrease of $5.8 million. Cash used in investing activities during the twenty-six weeks ended June 28, 2014 and June 29, 2013 primarily related to construction costs for new and remodeled stores and investments in central office information technology systems.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provided cash of $0.4 million in the twenty-six weeks ended June 28, 2014, as exercises of employee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shares used for withholding tax payments provided $1.2 million partially offset by $0.7 million in cash used for purchases of our common stock. Cash provided by financing activities in the twenty-six weeks ended June 29, 2013 was $0.1 million resulting from exercises of employee stock options, net of shares used for withholding tax payments. No borrowings were made under our line of credit in either the twenty-six weeks ended June 28, 2014 or June 29, 2013.</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June 28, 2014, we had a consolidated cash balance of $41.8 million over half of which was domiciled outside of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our foreign subsidiaries. The credit agreement expires on December 31, 2015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June 28, 2014: (i) we were in compliance with these covenants; (ii) there were no borrowings under our line of credit; (iii) there was a standby letter of credit of approximately $1.1 million outstanding under the credit agreement; and (iv) there was approximately $33.9 million available for borrowing under the line of credit.</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relocate existing stores and open new stores.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fiscal 2014, we expect to spend a total of $12 to $15 million on capital expenditures. Capital spending through the twenty-six weeks ended June 28, 2014 totaled $3.2 million. Capital spending in fiscal 2014 is primarily to support the refresh and repositioning of stores and investment in infrastructure.</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that cash generated from operations and available borrowings under our credit agreement will be sufficient to fund our working capital and other cash flow requirements for the near future. Our credit agreement expires on December 31,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On February 24, 2014, we announced that our share repurchase program had been extended to March 31, 2015.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 As of August 1, 2014, approximately 6.2 million shares at an average price of $7.39 per share have been repurchased under this program for an aggregate amount of $46.1 million, leaving $3.9 million of availability under the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13, 2014, which includes audited consolidated financial statements for our 2013, 2012 and 2011 fiscal years. There have been no material changes to the critical accounting estimates disclosed in the 2013 Form 10-K.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May 2014, the Financial Accounting Standards Board issued ASU 2014-09, Revenue from Contracts with Customers,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us beginning January 1, 2017, and allows for both retrospective and prospective methods of adoption. We are in the process of determining the method of adoption and assessing the impact of this ASU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half of fiscal 2014. Accordingly, a</w:t>
      </w:r>
    </w:p>
    <w:p>
      <w:pPr>
        <w:ind w:right="60"/>
        <w:spacing w:after="0" w:line="295" w:lineRule="auto"/>
        <w:rPr>
          <w:sz w:val="20"/>
          <w:szCs w:val="20"/>
          <w:color w:val="auto"/>
        </w:rPr>
      </w:pPr>
      <w:r>
        <w:rPr>
          <w:rFonts w:ascii="Arial" w:cs="Arial" w:eastAsia="Arial" w:hAnsi="Arial"/>
          <w:sz w:val="16"/>
          <w:szCs w:val="16"/>
          <w:color w:val="auto"/>
        </w:rPr>
        <w:t>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1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President Bear and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President Bear and Chief Operations and Financial Bear, concluded that our disclosure controls and procedures were effective as of June 28, 2014, the end of the period covered by this Quarterly Report.</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President Bear and the Chief Operations and Financial Bear,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Bear and Chief Operations and 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28, 2013 as filed with the SEC on March 13,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349"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Units) the</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 Average</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of Shares (or</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Price Paid Per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1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Share (or</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86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 (1)</w:t>
            </w: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Unit)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Mar. 30, 2014</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Apr. 26, 2014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6,425,557</w:t>
            </w:r>
          </w:p>
        </w:tc>
        <w:tc>
          <w:tcPr>
            <w:tcW w:w="100" w:type="dxa"/>
            <w:vAlign w:val="bottom"/>
            <w:shd w:val="clear" w:color="auto" w:fill="CCEEFF"/>
          </w:tcPr>
          <w:p>
            <w:pPr>
              <w:spacing w:after="0"/>
              <w:rPr>
                <w:sz w:val="18"/>
                <w:szCs w:val="18"/>
                <w:color w:val="auto"/>
              </w:rPr>
            </w:pPr>
          </w:p>
        </w:tc>
      </w:tr>
      <w:tr>
        <w:trPr>
          <w:trHeight w:val="216"/>
        </w:trPr>
        <w:tc>
          <w:tcPr>
            <w:tcW w:w="1240" w:type="dxa"/>
            <w:vAlign w:val="bottom"/>
          </w:tcPr>
          <w:p>
            <w:pPr>
              <w:ind w:left="160"/>
              <w:spacing w:after="0"/>
              <w:rPr>
                <w:sz w:val="20"/>
                <w:szCs w:val="20"/>
                <w:color w:val="auto"/>
              </w:rPr>
            </w:pPr>
            <w:r>
              <w:rPr>
                <w:rFonts w:ascii="Arial" w:cs="Arial" w:eastAsia="Arial" w:hAnsi="Arial"/>
                <w:sz w:val="18"/>
                <w:szCs w:val="18"/>
                <w:b w:val="1"/>
                <w:bCs w:val="1"/>
                <w:color w:val="auto"/>
                <w:w w:val="95"/>
              </w:rPr>
              <w:t>Apr. 27, 2014</w:t>
            </w:r>
          </w:p>
        </w:tc>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 May 24, 2014</w:t>
            </w: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13.73</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6,425,557</w:t>
            </w:r>
          </w:p>
        </w:tc>
      </w:tr>
      <w:tr>
        <w:trPr>
          <w:trHeight w:val="216"/>
        </w:trPr>
        <w:tc>
          <w:tcPr>
            <w:tcW w:w="1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May 25, 2014</w:t>
            </w:r>
          </w:p>
        </w:tc>
        <w:tc>
          <w:tcPr>
            <w:tcW w:w="38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 Jun. 28, 2014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6,425,557</w:t>
            </w:r>
          </w:p>
        </w:tc>
      </w:tr>
      <w:tr>
        <w:trPr>
          <w:trHeight w:val="20"/>
        </w:trPr>
        <w:tc>
          <w:tcPr>
            <w:tcW w:w="124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38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9,439</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13.97</w:t>
            </w:r>
          </w:p>
        </w:tc>
        <w:tc>
          <w:tcPr>
            <w:tcW w:w="180" w:type="dxa"/>
            <w:vAlign w:val="bottom"/>
          </w:tcPr>
          <w:p>
            <w:pPr>
              <w:spacing w:after="0"/>
              <w:rPr>
                <w:sz w:val="18"/>
                <w:szCs w:val="18"/>
                <w:color w:val="auto"/>
              </w:rPr>
            </w:pP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right="100" w:hanging="492"/>
        <w:spacing w:after="0" w:line="271"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500" w:right="40" w:hanging="492"/>
        <w:spacing w:after="0" w:line="29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February 24, 2014, we announced the further extension of our $50 million share repurchase program of our outstanding common stock until March 31, 2015.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464" w:gutter="0" w:footer="0" w:header="0"/>
        </w:sectPr>
      </w:pPr>
    </w:p>
    <w:bookmarkStart w:id="19" w:name="page20"/>
    <w:bookmarkEnd w:id="19"/>
    <w:p>
      <w:pPr>
        <w:ind w:left="440"/>
        <w:spacing w:after="0"/>
        <w:rPr>
          <w:sz w:val="20"/>
          <w:szCs w:val="20"/>
          <w:color w:val="auto"/>
        </w:rPr>
      </w:pPr>
      <w:r>
        <w:rPr>
          <w:rFonts w:ascii="Arial" w:cs="Arial" w:eastAsia="Arial" w:hAnsi="Arial"/>
          <w:sz w:val="16"/>
          <w:szCs w:val="16"/>
          <w:color w:val="auto"/>
        </w:rPr>
        <w:t>The following is a list of exhibits filed as a part of the quarterly report on Form 10-Q:</w:t>
      </w:r>
    </w:p>
    <w:p>
      <w:pPr>
        <w:spacing w:after="0" w:line="244"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60"/>
          </w:cols>
          <w:pgMar w:left="240" w:top="611" w:right="19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Agreement and Plan of Merger dated April 3, 2000 between Build-A-Bear Workshop, L.L.C. and the Registrant (incorporated by reference from Exhibit 2.1 to our Registration Statement on Form S-1, filed on August 12, 2004, Registration No. 333-118142)</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Third Amended and Restated Certificate of Incorporation (incorporated by reference from Exhibit 3.1 of our Current Report on Form 8-K, filed on November 11, 2004)</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Amended and Restated Bylaws (incorporated by reference from Exhibit 3.4 to our Registration Statement on Form S-1, filed on August 12, 2004, Registration No. 333-118142)</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Specimen Stock Certificate (incorporated by reference from Exhibit 4.1 to Amendment No. 3 to our Registration Statement on Form S-1, filed on October 1, 2004, Registration No. 333-118142)</w:t>
      </w:r>
    </w:p>
    <w:p>
      <w:pPr>
        <w:spacing w:after="0" w:line="170" w:lineRule="exact"/>
        <w:rPr>
          <w:sz w:val="20"/>
          <w:szCs w:val="20"/>
          <w:color w:val="auto"/>
        </w:rPr>
      </w:pPr>
    </w:p>
    <w:p>
      <w:pPr>
        <w:sectPr>
          <w:pgSz w:w="11900" w:h="16838" w:orient="portrait"/>
          <w:cols w:equalWidth="0" w:num="2">
            <w:col w:w="320" w:space="720"/>
            <w:col w:w="10420"/>
          </w:cols>
          <w:pgMar w:left="240" w:top="611"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0600" w:type="dxa"/>
            <w:vAlign w:val="bottom"/>
          </w:tcPr>
          <w:p>
            <w:pPr>
              <w:ind w:left="180"/>
              <w:spacing w:after="0"/>
              <w:rPr>
                <w:sz w:val="20"/>
                <w:szCs w:val="20"/>
                <w:color w:val="auto"/>
              </w:rPr>
            </w:pPr>
            <w:r>
              <w:rPr>
                <w:rFonts w:ascii="Arial" w:cs="Arial" w:eastAsia="Arial" w:hAnsi="Arial"/>
                <w:sz w:val="18"/>
                <w:szCs w:val="18"/>
                <w:color w:val="auto"/>
                <w:w w:val="94"/>
              </w:rPr>
              <w:t>Rule 13a-14(a)/15d-14(a) certification (pursuant to Section 302 of the Sarbanes-Oxley Act of 2002, executed by the Chief Executive Officer</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0600" w:type="dxa"/>
            <w:vAlign w:val="bottom"/>
            <w:vMerge w:val="restart"/>
          </w:tcPr>
          <w:p>
            <w:pPr>
              <w:ind w:left="180"/>
              <w:spacing w:after="0"/>
              <w:rPr>
                <w:sz w:val="20"/>
                <w:szCs w:val="20"/>
                <w:color w:val="auto"/>
              </w:rPr>
            </w:pPr>
            <w:r>
              <w:rPr>
                <w:rFonts w:ascii="Arial" w:cs="Arial" w:eastAsia="Arial" w:hAnsi="Arial"/>
                <w:sz w:val="18"/>
                <w:szCs w:val="18"/>
                <w:color w:val="auto"/>
              </w:rPr>
              <w:t>and President Bear)</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0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tcPr>
          <w:p>
            <w:pPr>
              <w:ind w:left="180"/>
              <w:spacing w:after="0"/>
              <w:rPr>
                <w:sz w:val="20"/>
                <w:szCs w:val="20"/>
                <w:color w:val="auto"/>
              </w:rPr>
            </w:pPr>
            <w:r>
              <w:rPr>
                <w:rFonts w:ascii="Arial" w:cs="Arial" w:eastAsia="Arial" w:hAnsi="Arial"/>
                <w:sz w:val="18"/>
                <w:szCs w:val="18"/>
                <w:color w:val="auto"/>
                <w:w w:val="95"/>
              </w:rPr>
              <w:t>Rule 13a-14(a)/15d-14(a) certification (pursuant to Section 302 of the Sarbanes-Oxley Act of 2002, executed by the Chief Operations and</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Financial Bear)</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tcPr>
          <w:p>
            <w:pPr>
              <w:ind w:left="18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 Officer and President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Bear)</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tcPr>
          <w:p>
            <w:pPr>
              <w:ind w:left="18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Operations and Financial Bear)</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tcPr>
          <w:p>
            <w:pPr>
              <w:ind w:left="180"/>
              <w:spacing w:after="0"/>
              <w:rPr>
                <w:sz w:val="20"/>
                <w:szCs w:val="20"/>
                <w:color w:val="auto"/>
              </w:rPr>
            </w:pPr>
            <w:r>
              <w:rPr>
                <w:rFonts w:ascii="Arial" w:cs="Arial" w:eastAsia="Arial" w:hAnsi="Arial"/>
                <w:sz w:val="18"/>
                <w:szCs w:val="18"/>
                <w:color w:val="auto"/>
              </w:rPr>
              <w:t>XBRL Instance</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600" w:type="dxa"/>
            <w:vAlign w:val="bottom"/>
          </w:tcPr>
          <w:p>
            <w:pPr>
              <w:ind w:left="180"/>
              <w:spacing w:after="0"/>
              <w:rPr>
                <w:sz w:val="20"/>
                <w:szCs w:val="20"/>
                <w:color w:val="auto"/>
              </w:rPr>
            </w:pPr>
            <w:r>
              <w:rPr>
                <w:rFonts w:ascii="Arial" w:cs="Arial" w:eastAsia="Arial" w:hAnsi="Arial"/>
                <w:sz w:val="18"/>
                <w:szCs w:val="18"/>
                <w:color w:val="auto"/>
              </w:rPr>
              <w:t>XBRL Extension Schema</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tcPr>
          <w:p>
            <w:pPr>
              <w:ind w:left="180"/>
              <w:spacing w:after="0"/>
              <w:rPr>
                <w:sz w:val="20"/>
                <w:szCs w:val="20"/>
                <w:color w:val="auto"/>
              </w:rPr>
            </w:pPr>
            <w:r>
              <w:rPr>
                <w:rFonts w:ascii="Arial" w:cs="Arial" w:eastAsia="Arial" w:hAnsi="Arial"/>
                <w:sz w:val="18"/>
                <w:szCs w:val="18"/>
                <w:color w:val="auto"/>
              </w:rPr>
              <w:t>XBRL Extension Calculation</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tcPr>
          <w:p>
            <w:pPr>
              <w:ind w:left="180"/>
              <w:spacing w:after="0"/>
              <w:rPr>
                <w:sz w:val="20"/>
                <w:szCs w:val="20"/>
                <w:color w:val="auto"/>
              </w:rPr>
            </w:pPr>
            <w:r>
              <w:rPr>
                <w:rFonts w:ascii="Arial" w:cs="Arial" w:eastAsia="Arial" w:hAnsi="Arial"/>
                <w:sz w:val="18"/>
                <w:szCs w:val="18"/>
                <w:color w:val="auto"/>
              </w:rPr>
              <w:t>XBRL Extension Definition</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tcPr>
          <w:p>
            <w:pPr>
              <w:ind w:left="180"/>
              <w:spacing w:after="0"/>
              <w:rPr>
                <w:sz w:val="20"/>
                <w:szCs w:val="20"/>
                <w:color w:val="auto"/>
              </w:rPr>
            </w:pPr>
            <w:r>
              <w:rPr>
                <w:rFonts w:ascii="Arial" w:cs="Arial" w:eastAsia="Arial" w:hAnsi="Arial"/>
                <w:sz w:val="18"/>
                <w:szCs w:val="18"/>
                <w:color w:val="auto"/>
              </w:rPr>
              <w:t>XBRL Extension Label</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tcPr>
          <w:p>
            <w:pPr>
              <w:ind w:left="180"/>
              <w:spacing w:after="0"/>
              <w:rPr>
                <w:sz w:val="20"/>
                <w:szCs w:val="20"/>
                <w:color w:val="auto"/>
              </w:rPr>
            </w:pPr>
            <w:r>
              <w:rPr>
                <w:rFonts w:ascii="Arial" w:cs="Arial" w:eastAsia="Arial" w:hAnsi="Arial"/>
                <w:sz w:val="18"/>
                <w:szCs w:val="18"/>
                <w:color w:val="auto"/>
              </w:rPr>
              <w:t>XBRL Extension Presentation</w:t>
            </w:r>
          </w:p>
        </w:tc>
        <w:tc>
          <w:tcPr>
            <w:tcW w:w="0" w:type="dxa"/>
            <w:vAlign w:val="bottom"/>
          </w:tcPr>
          <w:p>
            <w:pPr>
              <w:spacing w:after="0"/>
              <w:rPr>
                <w:sz w:val="1"/>
                <w:szCs w:val="1"/>
                <w:color w:val="auto"/>
              </w:rPr>
            </w:pPr>
          </w:p>
        </w:tc>
      </w:tr>
      <w:tr>
        <w:trPr>
          <w:trHeight w:val="729"/>
        </w:trPr>
        <w:tc>
          <w:tcPr>
            <w:tcW w:w="860" w:type="dxa"/>
            <w:vAlign w:val="bottom"/>
          </w:tcPr>
          <w:p>
            <w:pPr>
              <w:spacing w:after="0"/>
              <w:rPr>
                <w:sz w:val="24"/>
                <w:szCs w:val="24"/>
                <w:color w:val="auto"/>
              </w:rPr>
            </w:pPr>
          </w:p>
        </w:tc>
        <w:tc>
          <w:tcPr>
            <w:tcW w:w="10600" w:type="dxa"/>
            <w:vAlign w:val="bottom"/>
          </w:tcPr>
          <w:p>
            <w:pPr>
              <w:ind w:left="47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10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0" w:type="dxa"/>
            <w:vAlign w:val="bottom"/>
            <w:shd w:val="clear" w:color="auto" w:fill="808080"/>
          </w:tcPr>
          <w:p>
            <w:pPr>
              <w:spacing w:after="0"/>
              <w:rPr>
                <w:sz w:val="5"/>
                <w:szCs w:val="5"/>
                <w:color w:val="auto"/>
              </w:rPr>
            </w:pPr>
          </w:p>
        </w:tc>
        <w:tc>
          <w:tcPr>
            <w:tcW w:w="10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type w:val="continuous"/>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7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Chief Executive Officer and Chief President Bear</w:t>
      </w:r>
    </w:p>
    <w:p>
      <w:pPr>
        <w:spacing w:after="0" w:line="2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By: /s/ Tina Klocke</w:t>
      </w:r>
    </w:p>
    <w:p>
      <w:pPr>
        <w:spacing w:after="0" w:line="23" w:lineRule="exact"/>
        <w:rPr>
          <w:sz w:val="20"/>
          <w:szCs w:val="20"/>
          <w:color w:val="auto"/>
        </w:rPr>
      </w:pPr>
    </w:p>
    <w:p>
      <w:pPr>
        <w:jc w:val="right"/>
        <w:ind w:right="290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Chief Operations and Financial Bear, Treasurer</w:t>
      </w:r>
    </w:p>
    <w:p>
      <w:pPr>
        <w:spacing w:after="0" w:line="21"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(on behalf of the registrant and as principal financial</w:t>
      </w:r>
    </w:p>
    <w:p>
      <w:pPr>
        <w:spacing w:after="0" w:line="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607" w:right="27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25" w:lineRule="exact"/>
        <w:rPr>
          <w:sz w:val="20"/>
          <w:szCs w:val="20"/>
          <w:color w:val="auto"/>
        </w:rPr>
      </w:pPr>
    </w:p>
    <w:p>
      <w:pPr>
        <w:ind w:left="880" w:hanging="426"/>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Operations and Financial Bear, Treasurer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ectPr>
          <w:pgSz w:w="11900" w:h="16838" w:orient="portrait"/>
          <w:cols w:equalWidth="0" w:num="1">
            <w:col w:w="11420"/>
          </w:cols>
          <w:pgMar w:left="240" w:top="36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June 28, 2014 as filed with the Securities and Exchange Commission on the date hereof (the “Report”), I, Sharon John, Chief Executive Officer and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ectPr>
          <w:pgSz w:w="11900" w:h="16838" w:orient="portrait"/>
          <w:cols w:equalWidth="0" w:num="1">
            <w:col w:w="11420"/>
          </w:cols>
          <w:pgMar w:left="240" w:top="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June 28, 2014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Tina Klocke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Operations and Financial Bear, Treasurer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decimal"/>
      <w:start w:val="1"/>
    </w:lvl>
  </w:abstractNum>
  <w:abstractNum w:abstractNumId="3">
    <w:nsid w:val="4DB127F8"/>
    <w:multiLevelType w:val="hybridMultilevel"/>
    <w:lvl w:ilvl="0">
      <w:lvlJc w:val="left"/>
      <w:lvlText w:val="%1."/>
      <w:numFmt w:val="decimal"/>
      <w:start w:val="9"/>
    </w:lvl>
    <w:lvl w:ilvl="1">
      <w:lvlJc w:val="left"/>
      <w:lvlText w:val="%2"/>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2019-12-06T23:27:37Z</dcterms:created>
  <dcterms:modified xsi:type="dcterms:W3CDTF">2019-12-06T23:27:37Z</dcterms:modified>
</cp:coreProperties>
</file>