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143510</wp:posOffset>
            </wp:positionH>
            <wp:positionV relativeFrom="page">
              <wp:posOffset>107950</wp:posOffset>
            </wp:positionV>
            <wp:extent cx="72739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925" cy="34290"/>
                    </a:xfrm>
                    <a:prstGeom prst="rect">
                      <a:avLst/>
                    </a:prstGeom>
                    <a:noFill/>
                  </pic:spPr>
                </pic:pic>
              </a:graphicData>
            </a:graphic>
          </wp:anchor>
        </w:drawing>
        <w:t>UNITED STATES</w:t>
      </w:r>
    </w:p>
    <w:p>
      <w:pPr>
        <w:spacing w:after="0" w:line="44"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SECURITIES AND EXCHANGE COMMISSION</w:t>
      </w:r>
    </w:p>
    <w:p>
      <w:pPr>
        <w:spacing w:after="0" w:line="28"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3080385</wp:posOffset>
            </wp:positionH>
            <wp:positionV relativeFrom="paragraph">
              <wp:posOffset>206375</wp:posOffset>
            </wp:positionV>
            <wp:extent cx="110807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807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8"/>
        <w:spacing w:after="0"/>
        <w:rPr>
          <w:sz w:val="20"/>
          <w:szCs w:val="20"/>
          <w:color w:val="auto"/>
        </w:rPr>
      </w:pPr>
      <w:r>
        <w:rPr>
          <w:rFonts w:ascii="Arial" w:cs="Arial" w:eastAsia="Arial" w:hAnsi="Arial"/>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3080385</wp:posOffset>
            </wp:positionH>
            <wp:positionV relativeFrom="paragraph">
              <wp:posOffset>198755</wp:posOffset>
            </wp:positionV>
            <wp:extent cx="110807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8075" cy="6985"/>
                    </a:xfrm>
                    <a:prstGeom prst="rect">
                      <a:avLst/>
                    </a:prstGeom>
                    <a:noFill/>
                  </pic:spPr>
                </pic:pic>
              </a:graphicData>
            </a:graphic>
          </wp:anchor>
        </w:drawing>
      </w:r>
    </w:p>
    <w:p>
      <w:pPr>
        <w:spacing w:after="0" w:line="381" w:lineRule="exact"/>
        <w:rPr>
          <w:sz w:val="24"/>
          <w:szCs w:val="24"/>
          <w:color w:val="auto"/>
        </w:rPr>
      </w:pPr>
    </w:p>
    <w:p>
      <w:pPr>
        <w:ind w:left="9"/>
        <w:spacing w:after="0"/>
        <w:rPr>
          <w:sz w:val="20"/>
          <w:szCs w:val="20"/>
          <w:color w:val="auto"/>
        </w:rPr>
      </w:pPr>
      <w:r>
        <w:rPr>
          <w:rFonts w:ascii="Arial" w:cs="Arial" w:eastAsia="Arial" w:hAnsi="Arial"/>
          <w:sz w:val="15"/>
          <w:szCs w:val="15"/>
          <w:b w:val="1"/>
          <w:bCs w:val="1"/>
          <w:color w:val="auto"/>
        </w:rPr>
        <w:t>(Mark One)</w:t>
      </w:r>
    </w:p>
    <w:p>
      <w:pPr>
        <w:spacing w:after="0" w:line="22" w:lineRule="exact"/>
        <w:rPr>
          <w:sz w:val="24"/>
          <w:szCs w:val="24"/>
          <w:color w:val="auto"/>
        </w:rPr>
      </w:pPr>
    </w:p>
    <w:p>
      <w:pPr>
        <w:ind w:left="549" w:right="5240" w:hanging="549"/>
        <w:spacing w:after="0" w:line="558" w:lineRule="auto"/>
        <w:tabs>
          <w:tab w:leader="none" w:pos="549"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Quarterly report pursuant to Section 13 or 15(d) of the Securities Exchange Act of 1934 For the quarterly period ended June 30, 2012</w:t>
      </w:r>
    </w:p>
    <w:p>
      <w:pPr>
        <w:spacing w:after="0" w:line="1"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OR</w:t>
      </w:r>
    </w:p>
    <w:p>
      <w:pPr>
        <w:spacing w:after="0" w:line="236" w:lineRule="exact"/>
        <w:rPr>
          <w:sz w:val="24"/>
          <w:szCs w:val="24"/>
          <w:color w:val="auto"/>
        </w:rPr>
      </w:pPr>
    </w:p>
    <w:p>
      <w:pPr>
        <w:ind w:left="549" w:hanging="549"/>
        <w:spacing w:after="0"/>
        <w:tabs>
          <w:tab w:leader="none" w:pos="549"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Transition report pursuant to Section 13 or 15(d) of the Securities Exchange Act of 1934</w:t>
      </w:r>
    </w:p>
    <w:p>
      <w:pPr>
        <w:spacing w:after="0" w:line="225" w:lineRule="exact"/>
        <w:rPr>
          <w:sz w:val="24"/>
          <w:szCs w:val="24"/>
          <w:color w:val="auto"/>
        </w:rPr>
      </w:pPr>
    </w:p>
    <w:tbl>
      <w:tblPr>
        <w:tblLayout w:type="fixed"/>
        <w:tblInd w:w="549" w:type="dxa"/>
        <w:tblCellMar>
          <w:top w:w="0" w:type="dxa"/>
          <w:left w:w="0" w:type="dxa"/>
          <w:bottom w:w="0" w:type="dxa"/>
          <w:right w:w="0" w:type="dxa"/>
        </w:tblCellMar>
      </w:tblPr>
      <w:tr>
        <w:trPr>
          <w:trHeight w:val="172"/>
        </w:trPr>
        <w:tc>
          <w:tcPr>
            <w:tcW w:w="1980" w:type="dxa"/>
            <w:vAlign w:val="bottom"/>
          </w:tcPr>
          <w:p>
            <w:pPr>
              <w:spacing w:after="0"/>
              <w:rPr>
                <w:sz w:val="20"/>
                <w:szCs w:val="20"/>
                <w:color w:val="auto"/>
              </w:rPr>
            </w:pPr>
            <w:r>
              <w:rPr>
                <w:rFonts w:ascii="Arial" w:cs="Arial" w:eastAsia="Arial" w:hAnsi="Arial"/>
                <w:sz w:val="15"/>
                <w:szCs w:val="15"/>
                <w:b w:val="1"/>
                <w:bCs w:val="1"/>
                <w:color w:val="auto"/>
                <w:w w:val="92"/>
              </w:rPr>
              <w:t>For the transition period from</w:t>
            </w:r>
          </w:p>
        </w:tc>
        <w:tc>
          <w:tcPr>
            <w:tcW w:w="460" w:type="dxa"/>
            <w:vAlign w:val="bottom"/>
          </w:tcPr>
          <w:p>
            <w:pPr>
              <w:spacing w:after="0"/>
              <w:rPr>
                <w:sz w:val="14"/>
                <w:szCs w:val="14"/>
                <w:color w:val="auto"/>
              </w:rPr>
            </w:pPr>
          </w:p>
        </w:tc>
        <w:tc>
          <w:tcPr>
            <w:tcW w:w="3900" w:type="dxa"/>
            <w:vAlign w:val="bottom"/>
            <w:gridSpan w:val="3"/>
          </w:tcPr>
          <w:p>
            <w:pPr>
              <w:ind w:left="40"/>
              <w:spacing w:after="0"/>
              <w:rPr>
                <w:sz w:val="20"/>
                <w:szCs w:val="20"/>
                <w:color w:val="auto"/>
              </w:rPr>
            </w:pPr>
            <w:r>
              <w:rPr>
                <w:rFonts w:ascii="Arial" w:cs="Arial" w:eastAsia="Arial" w:hAnsi="Arial"/>
                <w:sz w:val="15"/>
                <w:szCs w:val="15"/>
                <w:b w:val="1"/>
                <w:bCs w:val="1"/>
                <w:color w:val="auto"/>
              </w:rPr>
              <w:t>to</w:t>
            </w:r>
          </w:p>
        </w:tc>
      </w:tr>
      <w:tr>
        <w:trPr>
          <w:trHeight w:val="421"/>
        </w:trPr>
        <w:tc>
          <w:tcPr>
            <w:tcW w:w="19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220" w:type="dxa"/>
            <w:vAlign w:val="bottom"/>
          </w:tcPr>
          <w:p>
            <w:pPr>
              <w:ind w:left="880"/>
              <w:spacing w:after="0"/>
              <w:rPr>
                <w:sz w:val="20"/>
                <w:szCs w:val="20"/>
                <w:color w:val="auto"/>
              </w:rPr>
            </w:pPr>
            <w:r>
              <w:rPr>
                <w:rFonts w:ascii="Arial" w:cs="Arial" w:eastAsia="Arial" w:hAnsi="Arial"/>
                <w:sz w:val="15"/>
                <w:szCs w:val="15"/>
                <w:b w:val="1"/>
                <w:bCs w:val="1"/>
                <w:color w:val="auto"/>
                <w:w w:val="90"/>
              </w:rPr>
              <w:t>Commission file number: 001-32320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3080385</wp:posOffset>
            </wp:positionH>
            <wp:positionV relativeFrom="paragraph">
              <wp:posOffset>202565</wp:posOffset>
            </wp:positionV>
            <wp:extent cx="110807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8075"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8"/>
        <w:spacing w:after="0"/>
        <w:rPr>
          <w:sz w:val="20"/>
          <w:szCs w:val="20"/>
          <w:color w:val="auto"/>
        </w:rPr>
      </w:pPr>
      <w:r>
        <w:rPr>
          <w:rFonts w:ascii="Arial" w:cs="Arial" w:eastAsia="Arial" w:hAnsi="Arial"/>
          <w:sz w:val="36"/>
          <w:szCs w:val="36"/>
          <w:b w:val="1"/>
          <w:bCs w:val="1"/>
          <w:color w:val="auto"/>
        </w:rPr>
        <w:t>BUILD-A-BEAR WORKSHOP, INC.</w:t>
      </w:r>
    </w:p>
    <w:p>
      <w:pPr>
        <w:spacing w:after="0" w:line="55" w:lineRule="exact"/>
        <w:rPr>
          <w:sz w:val="24"/>
          <w:szCs w:val="24"/>
          <w:color w:val="auto"/>
        </w:rPr>
      </w:pPr>
    </w:p>
    <w:p>
      <w:pPr>
        <w:jc w:val="center"/>
        <w:ind w:right="-8"/>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3080385</wp:posOffset>
            </wp:positionH>
            <wp:positionV relativeFrom="paragraph">
              <wp:posOffset>206375</wp:posOffset>
            </wp:positionV>
            <wp:extent cx="110807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08075" cy="698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tbl>
      <w:tblPr>
        <w:tblLayout w:type="fixed"/>
        <w:tblInd w:w="1569" w:type="dxa"/>
        <w:tblCellMar>
          <w:top w:w="0" w:type="dxa"/>
          <w:left w:w="0" w:type="dxa"/>
          <w:bottom w:w="0" w:type="dxa"/>
          <w:right w:w="0" w:type="dxa"/>
        </w:tblCellMar>
      </w:tblPr>
      <w:tr>
        <w:trPr>
          <w:trHeight w:val="181"/>
        </w:trPr>
        <w:tc>
          <w:tcPr>
            <w:tcW w:w="6180" w:type="dxa"/>
            <w:vAlign w:val="bottom"/>
          </w:tcPr>
          <w:p>
            <w:pPr>
              <w:jc w:val="center"/>
              <w:ind w:right="3524"/>
              <w:spacing w:after="0"/>
              <w:rPr>
                <w:sz w:val="20"/>
                <w:szCs w:val="20"/>
                <w:color w:val="auto"/>
              </w:rPr>
            </w:pPr>
            <w:r>
              <w:rPr>
                <w:rFonts w:ascii="Arial" w:cs="Arial" w:eastAsia="Arial" w:hAnsi="Arial"/>
                <w:sz w:val="15"/>
                <w:szCs w:val="15"/>
                <w:b w:val="1"/>
                <w:bCs w:val="1"/>
                <w:color w:val="auto"/>
                <w:w w:val="94"/>
              </w:rPr>
              <w:t>Delaware</w:t>
            </w:r>
          </w:p>
        </w:tc>
        <w:tc>
          <w:tcPr>
            <w:tcW w:w="1420" w:type="dxa"/>
            <w:vAlign w:val="bottom"/>
          </w:tcPr>
          <w:p>
            <w:pPr>
              <w:jc w:val="right"/>
              <w:ind w:right="144"/>
              <w:spacing w:after="0"/>
              <w:rPr>
                <w:sz w:val="20"/>
                <w:szCs w:val="20"/>
                <w:color w:val="auto"/>
              </w:rPr>
            </w:pPr>
            <w:r>
              <w:rPr>
                <w:rFonts w:ascii="Arial" w:cs="Arial" w:eastAsia="Arial" w:hAnsi="Arial"/>
                <w:sz w:val="15"/>
                <w:szCs w:val="15"/>
                <w:b w:val="1"/>
                <w:bCs w:val="1"/>
                <w:color w:val="auto"/>
              </w:rPr>
              <w:t>43-1883836</w:t>
            </w:r>
          </w:p>
        </w:tc>
      </w:tr>
      <w:tr>
        <w:trPr>
          <w:trHeight w:val="181"/>
        </w:trPr>
        <w:tc>
          <w:tcPr>
            <w:tcW w:w="6180" w:type="dxa"/>
            <w:vAlign w:val="bottom"/>
          </w:tcPr>
          <w:p>
            <w:pPr>
              <w:jc w:val="center"/>
              <w:ind w:right="3524"/>
              <w:spacing w:after="0"/>
              <w:rPr>
                <w:sz w:val="20"/>
                <w:szCs w:val="20"/>
                <w:color w:val="auto"/>
              </w:rPr>
            </w:pPr>
            <w:r>
              <w:rPr>
                <w:rFonts w:ascii="Arial" w:cs="Arial" w:eastAsia="Arial" w:hAnsi="Arial"/>
                <w:sz w:val="15"/>
                <w:szCs w:val="15"/>
                <w:b w:val="1"/>
                <w:bCs w:val="1"/>
                <w:color w:val="auto"/>
                <w:w w:val="91"/>
              </w:rPr>
              <w:t>(State or Other Jurisdiction of</w:t>
            </w:r>
          </w:p>
        </w:tc>
        <w:tc>
          <w:tcPr>
            <w:tcW w:w="1420" w:type="dxa"/>
            <w:vAlign w:val="bottom"/>
          </w:tcPr>
          <w:p>
            <w:pPr>
              <w:jc w:val="center"/>
              <w:ind w:left="164"/>
              <w:spacing w:after="0"/>
              <w:rPr>
                <w:sz w:val="20"/>
                <w:szCs w:val="20"/>
                <w:color w:val="auto"/>
              </w:rPr>
            </w:pPr>
            <w:r>
              <w:rPr>
                <w:rFonts w:ascii="Arial" w:cs="Arial" w:eastAsia="Arial" w:hAnsi="Arial"/>
                <w:sz w:val="15"/>
                <w:szCs w:val="15"/>
                <w:b w:val="1"/>
                <w:bCs w:val="1"/>
                <w:color w:val="auto"/>
                <w:w w:val="95"/>
              </w:rPr>
              <w:t>(IRS Employer</w:t>
            </w:r>
          </w:p>
        </w:tc>
      </w:tr>
      <w:tr>
        <w:trPr>
          <w:trHeight w:val="195"/>
        </w:trPr>
        <w:tc>
          <w:tcPr>
            <w:tcW w:w="6180" w:type="dxa"/>
            <w:vAlign w:val="bottom"/>
          </w:tcPr>
          <w:p>
            <w:pPr>
              <w:jc w:val="center"/>
              <w:ind w:right="3524"/>
              <w:spacing w:after="0"/>
              <w:rPr>
                <w:sz w:val="20"/>
                <w:szCs w:val="20"/>
                <w:color w:val="auto"/>
              </w:rPr>
            </w:pPr>
            <w:r>
              <w:rPr>
                <w:rFonts w:ascii="Arial" w:cs="Arial" w:eastAsia="Arial" w:hAnsi="Arial"/>
                <w:sz w:val="15"/>
                <w:szCs w:val="15"/>
                <w:b w:val="1"/>
                <w:bCs w:val="1"/>
                <w:color w:val="auto"/>
                <w:w w:val="93"/>
              </w:rPr>
              <w:t>Incorporation or Organization)</w:t>
            </w:r>
          </w:p>
        </w:tc>
        <w:tc>
          <w:tcPr>
            <w:tcW w:w="1420" w:type="dxa"/>
            <w:vAlign w:val="bottom"/>
          </w:tcPr>
          <w:p>
            <w:pPr>
              <w:jc w:val="center"/>
              <w:ind w:left="164"/>
              <w:spacing w:after="0"/>
              <w:rPr>
                <w:sz w:val="20"/>
                <w:szCs w:val="20"/>
                <w:color w:val="auto"/>
              </w:rPr>
            </w:pPr>
            <w:r>
              <w:rPr>
                <w:rFonts w:ascii="Arial" w:cs="Arial" w:eastAsia="Arial" w:hAnsi="Arial"/>
                <w:sz w:val="15"/>
                <w:szCs w:val="15"/>
                <w:b w:val="1"/>
                <w:bCs w:val="1"/>
                <w:color w:val="auto"/>
                <w:w w:val="93"/>
              </w:rPr>
              <w:t>Identification No.)</w:t>
            </w:r>
          </w:p>
        </w:tc>
      </w:tr>
      <w:tr>
        <w:trPr>
          <w:trHeight w:val="349"/>
        </w:trPr>
        <w:tc>
          <w:tcPr>
            <w:tcW w:w="6180" w:type="dxa"/>
            <w:vAlign w:val="bottom"/>
          </w:tcPr>
          <w:p>
            <w:pPr>
              <w:jc w:val="center"/>
              <w:ind w:right="3524"/>
              <w:spacing w:after="0"/>
              <w:rPr>
                <w:sz w:val="20"/>
                <w:szCs w:val="20"/>
                <w:color w:val="auto"/>
              </w:rPr>
            </w:pPr>
            <w:r>
              <w:rPr>
                <w:rFonts w:ascii="Arial" w:cs="Arial" w:eastAsia="Arial" w:hAnsi="Arial"/>
                <w:sz w:val="15"/>
                <w:szCs w:val="15"/>
                <w:b w:val="1"/>
                <w:bCs w:val="1"/>
                <w:color w:val="auto"/>
                <w:w w:val="91"/>
              </w:rPr>
              <w:t>1954 Innerbelt Business Center Drive</w:t>
            </w:r>
          </w:p>
        </w:tc>
        <w:tc>
          <w:tcPr>
            <w:tcW w:w="1420" w:type="dxa"/>
            <w:vAlign w:val="bottom"/>
          </w:tcPr>
          <w:p>
            <w:pPr>
              <w:spacing w:after="0"/>
              <w:rPr>
                <w:sz w:val="24"/>
                <w:szCs w:val="24"/>
                <w:color w:val="auto"/>
              </w:rPr>
            </w:pPr>
          </w:p>
        </w:tc>
      </w:tr>
      <w:tr>
        <w:trPr>
          <w:trHeight w:val="181"/>
        </w:trPr>
        <w:tc>
          <w:tcPr>
            <w:tcW w:w="6180" w:type="dxa"/>
            <w:vAlign w:val="bottom"/>
          </w:tcPr>
          <w:p>
            <w:pPr>
              <w:jc w:val="center"/>
              <w:ind w:right="3524"/>
              <w:spacing w:after="0"/>
              <w:rPr>
                <w:sz w:val="20"/>
                <w:szCs w:val="20"/>
                <w:color w:val="auto"/>
              </w:rPr>
            </w:pPr>
            <w:r>
              <w:rPr>
                <w:rFonts w:ascii="Arial" w:cs="Arial" w:eastAsia="Arial" w:hAnsi="Arial"/>
                <w:sz w:val="15"/>
                <w:szCs w:val="15"/>
                <w:b w:val="1"/>
                <w:bCs w:val="1"/>
                <w:color w:val="auto"/>
                <w:w w:val="91"/>
              </w:rPr>
              <w:t>St. Louis, Missouri</w:t>
            </w:r>
          </w:p>
        </w:tc>
        <w:tc>
          <w:tcPr>
            <w:tcW w:w="1420" w:type="dxa"/>
            <w:vAlign w:val="bottom"/>
          </w:tcPr>
          <w:p>
            <w:pPr>
              <w:jc w:val="right"/>
              <w:ind w:right="324"/>
              <w:spacing w:after="0"/>
              <w:rPr>
                <w:sz w:val="20"/>
                <w:szCs w:val="20"/>
                <w:color w:val="auto"/>
              </w:rPr>
            </w:pPr>
            <w:r>
              <w:rPr>
                <w:rFonts w:ascii="Arial" w:cs="Arial" w:eastAsia="Arial" w:hAnsi="Arial"/>
                <w:sz w:val="15"/>
                <w:szCs w:val="15"/>
                <w:b w:val="1"/>
                <w:bCs w:val="1"/>
                <w:color w:val="auto"/>
              </w:rPr>
              <w:t>63114</w:t>
            </w:r>
          </w:p>
        </w:tc>
      </w:tr>
      <w:tr>
        <w:trPr>
          <w:trHeight w:val="195"/>
        </w:trPr>
        <w:tc>
          <w:tcPr>
            <w:tcW w:w="6180" w:type="dxa"/>
            <w:vAlign w:val="bottom"/>
          </w:tcPr>
          <w:p>
            <w:pPr>
              <w:jc w:val="center"/>
              <w:ind w:right="3524"/>
              <w:spacing w:after="0"/>
              <w:rPr>
                <w:sz w:val="20"/>
                <w:szCs w:val="20"/>
                <w:color w:val="auto"/>
              </w:rPr>
            </w:pPr>
            <w:r>
              <w:rPr>
                <w:rFonts w:ascii="Arial" w:cs="Arial" w:eastAsia="Arial" w:hAnsi="Arial"/>
                <w:sz w:val="15"/>
                <w:szCs w:val="15"/>
                <w:b w:val="1"/>
                <w:bCs w:val="1"/>
                <w:color w:val="auto"/>
                <w:w w:val="90"/>
              </w:rPr>
              <w:t>(Address of Principal Executive Offices)</w:t>
            </w:r>
          </w:p>
        </w:tc>
        <w:tc>
          <w:tcPr>
            <w:tcW w:w="1420" w:type="dxa"/>
            <w:vAlign w:val="bottom"/>
          </w:tcPr>
          <w:p>
            <w:pPr>
              <w:jc w:val="center"/>
              <w:ind w:left="164"/>
              <w:spacing w:after="0"/>
              <w:rPr>
                <w:sz w:val="20"/>
                <w:szCs w:val="20"/>
                <w:color w:val="auto"/>
              </w:rPr>
            </w:pPr>
            <w:r>
              <w:rPr>
                <w:rFonts w:ascii="Arial" w:cs="Arial" w:eastAsia="Arial" w:hAnsi="Arial"/>
                <w:sz w:val="15"/>
                <w:szCs w:val="15"/>
                <w:b w:val="1"/>
                <w:bCs w:val="1"/>
                <w:color w:val="auto"/>
                <w:w w:val="94"/>
              </w:rPr>
              <w:t>(Zip Code)</w:t>
            </w:r>
          </w:p>
        </w:tc>
      </w:tr>
      <w:tr>
        <w:trPr>
          <w:trHeight w:val="395"/>
        </w:trPr>
        <w:tc>
          <w:tcPr>
            <w:tcW w:w="6180" w:type="dxa"/>
            <w:vAlign w:val="bottom"/>
          </w:tcPr>
          <w:p>
            <w:pPr>
              <w:jc w:val="right"/>
              <w:ind w:right="1484"/>
              <w:spacing w:after="0"/>
              <w:rPr>
                <w:sz w:val="20"/>
                <w:szCs w:val="20"/>
                <w:color w:val="auto"/>
              </w:rPr>
            </w:pPr>
            <w:r>
              <w:rPr>
                <w:rFonts w:ascii="Arial" w:cs="Arial" w:eastAsia="Arial" w:hAnsi="Arial"/>
                <w:sz w:val="15"/>
                <w:szCs w:val="15"/>
                <w:b w:val="1"/>
                <w:bCs w:val="1"/>
                <w:color w:val="auto"/>
              </w:rPr>
              <w:t>(314) 423-8000</w:t>
            </w:r>
          </w:p>
        </w:tc>
        <w:tc>
          <w:tcPr>
            <w:tcW w:w="1420" w:type="dxa"/>
            <w:vAlign w:val="bottom"/>
          </w:tcPr>
          <w:p>
            <w:pPr>
              <w:spacing w:after="0"/>
              <w:rPr>
                <w:sz w:val="24"/>
                <w:szCs w:val="24"/>
                <w:color w:val="auto"/>
              </w:rPr>
            </w:pPr>
          </w:p>
        </w:tc>
      </w:tr>
      <w:tr>
        <w:trPr>
          <w:trHeight w:val="195"/>
        </w:trPr>
        <w:tc>
          <w:tcPr>
            <w:tcW w:w="6180" w:type="dxa"/>
            <w:vAlign w:val="bottom"/>
          </w:tcPr>
          <w:p>
            <w:pPr>
              <w:jc w:val="center"/>
              <w:ind w:left="2064"/>
              <w:spacing w:after="0"/>
              <w:rPr>
                <w:sz w:val="20"/>
                <w:szCs w:val="20"/>
                <w:color w:val="auto"/>
              </w:rPr>
            </w:pPr>
            <w:r>
              <w:rPr>
                <w:rFonts w:ascii="Arial" w:cs="Arial" w:eastAsia="Arial" w:hAnsi="Arial"/>
                <w:sz w:val="15"/>
                <w:szCs w:val="15"/>
                <w:b w:val="1"/>
                <w:bCs w:val="1"/>
                <w:color w:val="auto"/>
                <w:w w:val="91"/>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3080385</wp:posOffset>
            </wp:positionH>
            <wp:positionV relativeFrom="paragraph">
              <wp:posOffset>202565</wp:posOffset>
            </wp:positionV>
            <wp:extent cx="110807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8075" cy="6985"/>
                    </a:xfrm>
                    <a:prstGeom prst="rect">
                      <a:avLst/>
                    </a:prstGeom>
                    <a:noFill/>
                  </pic:spPr>
                </pic:pic>
              </a:graphicData>
            </a:graphic>
          </wp:anchor>
        </w:drawing>
      </w:r>
    </w:p>
    <w:p>
      <w:pPr>
        <w:spacing w:after="0" w:line="390" w:lineRule="exact"/>
        <w:rPr>
          <w:sz w:val="24"/>
          <w:szCs w:val="24"/>
          <w:color w:val="auto"/>
        </w:rPr>
      </w:pPr>
    </w:p>
    <w:p>
      <w:pPr>
        <w:ind w:left="9" w:right="320" w:firstLine="408"/>
        <w:spacing w:after="0" w:line="19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200" w:lineRule="exact"/>
        <w:rPr>
          <w:sz w:val="24"/>
          <w:szCs w:val="24"/>
          <w:color w:val="auto"/>
        </w:rPr>
      </w:pPr>
    </w:p>
    <w:p>
      <w:pPr>
        <w:ind w:left="9" w:firstLine="408"/>
        <w:spacing w:after="0" w:line="190"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5"/>
          <w:szCs w:val="15"/>
          <w:color w:val="auto"/>
        </w:rPr>
        <w:t>☐</w:t>
      </w:r>
    </w:p>
    <w:p>
      <w:pPr>
        <w:spacing w:after="0" w:line="201" w:lineRule="exact"/>
        <w:rPr>
          <w:sz w:val="24"/>
          <w:szCs w:val="24"/>
          <w:color w:val="auto"/>
        </w:rPr>
      </w:pPr>
    </w:p>
    <w:p>
      <w:pPr>
        <w:ind w:left="9" w:right="340" w:firstLine="408"/>
        <w:spacing w:after="0" w:line="27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9"/>
          </w:cols>
          <w:pgMar w:left="231" w:top="286" w:right="239" w:bottom="1440" w:gutter="0" w:footer="0" w:header="0"/>
        </w:sectPr>
      </w:pPr>
    </w:p>
    <w:p>
      <w:pPr>
        <w:spacing w:after="0" w:line="327" w:lineRule="exact"/>
        <w:rPr>
          <w:sz w:val="24"/>
          <w:szCs w:val="24"/>
          <w:color w:val="auto"/>
        </w:rPr>
      </w:pPr>
    </w:p>
    <w:p>
      <w:pPr>
        <w:ind w:left="1089"/>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x</w:t>
      </w:r>
    </w:p>
    <w:p>
      <w:pPr>
        <w:spacing w:after="0" w:line="172" w:lineRule="exact"/>
        <w:rPr>
          <w:sz w:val="24"/>
          <w:szCs w:val="24"/>
          <w:color w:val="auto"/>
        </w:rPr>
      </w:pPr>
    </w:p>
    <w:p>
      <w:pPr>
        <w:sectPr>
          <w:pgSz w:w="11900" w:h="16838" w:orient="portrait"/>
          <w:cols w:equalWidth="0" w:num="3">
            <w:col w:w="2449" w:space="60"/>
            <w:col w:w="2260" w:space="720"/>
            <w:col w:w="5940"/>
          </w:cols>
          <w:pgMar w:left="231" w:top="286" w:right="239" w:bottom="1440" w:gutter="0" w:footer="0" w:header="0"/>
          <w:type w:val="continuous"/>
        </w:sectPr>
      </w:pPr>
    </w:p>
    <w:p>
      <w:pPr>
        <w:ind w:left="1089"/>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50" w:lineRule="exact"/>
        <w:rPr>
          <w:sz w:val="24"/>
          <w:szCs w:val="24"/>
          <w:color w:val="auto"/>
        </w:rPr>
      </w:pPr>
    </w:p>
    <w:p>
      <w:pPr>
        <w:ind w:left="1089"/>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422" w:lineRule="exact"/>
        <w:rPr>
          <w:sz w:val="24"/>
          <w:szCs w:val="24"/>
          <w:color w:val="auto"/>
        </w:rPr>
      </w:pPr>
    </w:p>
    <w:p>
      <w:pPr>
        <w:sectPr>
          <w:pgSz w:w="11900" w:h="16838" w:orient="portrait"/>
          <w:cols w:equalWidth="0" w:num="2">
            <w:col w:w="4769" w:space="720"/>
            <w:col w:w="5940"/>
          </w:cols>
          <w:pgMar w:left="231" w:top="286" w:right="239" w:bottom="1440" w:gutter="0" w:footer="0" w:header="0"/>
          <w:type w:val="continuous"/>
        </w:sectPr>
      </w:pPr>
    </w:p>
    <w:p>
      <w:pPr>
        <w:spacing w:after="0" w:line="17" w:lineRule="exact"/>
        <w:rPr>
          <w:sz w:val="24"/>
          <w:szCs w:val="24"/>
          <w:color w:val="auto"/>
        </w:rPr>
      </w:pPr>
    </w:p>
    <w:p>
      <w:pPr>
        <w:ind w:left="409"/>
        <w:spacing w:after="0" w:line="173" w:lineRule="exact"/>
        <w:tabs>
          <w:tab w:leader="none" w:pos="7389" w:val="left"/>
          <w:tab w:leader="none" w:pos="7969"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No  x</w:t>
      </w:r>
    </w:p>
    <w:p>
      <w:pPr>
        <w:spacing w:after="0" w:line="265" w:lineRule="exact"/>
        <w:rPr>
          <w:sz w:val="24"/>
          <w:szCs w:val="24"/>
          <w:color w:val="auto"/>
        </w:rPr>
      </w:pPr>
    </w:p>
    <w:p>
      <w:pPr>
        <w:ind w:left="409"/>
        <w:spacing w:after="0"/>
        <w:rPr>
          <w:sz w:val="20"/>
          <w:szCs w:val="20"/>
          <w:color w:val="auto"/>
        </w:rPr>
      </w:pPr>
      <w:r>
        <w:rPr>
          <w:rFonts w:ascii="Arial" w:cs="Arial" w:eastAsia="Arial" w:hAnsi="Arial"/>
          <w:sz w:val="15"/>
          <w:szCs w:val="15"/>
          <w:color w:val="auto"/>
        </w:rPr>
        <w:t>As of August 6, 2012, there were 17,382,913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727392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3925" cy="38735"/>
                    </a:xfrm>
                    <a:prstGeom prst="rect">
                      <a:avLst/>
                    </a:prstGeom>
                    <a:noFill/>
                  </pic:spPr>
                </pic:pic>
              </a:graphicData>
            </a:graphic>
          </wp:anchor>
        </w:drawing>
      </w:r>
    </w:p>
    <w:p>
      <w:pPr>
        <w:spacing w:after="0" w:line="374" w:lineRule="exact"/>
        <w:rPr>
          <w:sz w:val="24"/>
          <w:szCs w:val="24"/>
          <w:color w:val="auto"/>
        </w:rPr>
      </w:pPr>
    </w:p>
    <w:p>
      <w:pPr>
        <w:jc w:val="center"/>
        <w:ind w:right="-8"/>
        <w:spacing w:after="0"/>
        <w:rPr>
          <w:sz w:val="20"/>
          <w:szCs w:val="20"/>
          <w:color w:val="auto"/>
        </w:rPr>
      </w:pPr>
      <w:r>
        <w:rPr>
          <w:rFonts w:ascii="Arial" w:cs="Arial" w:eastAsia="Arial" w:hAnsi="Arial"/>
          <w:sz w:val="15"/>
          <w:szCs w:val="15"/>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29"/>
          </w:cols>
          <w:pgMar w:left="231" w:top="286"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BUILD-A-BEAR WORKSHOP,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INDEX TO FORM 10-Q</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900" w:type="dxa"/>
            <w:vAlign w:val="bottom"/>
            <w:tcBorders>
              <w:bottom w:val="single" w:sz="8" w:color="auto"/>
            </w:tcBorders>
          </w:tcPr>
          <w:p>
            <w:pPr>
              <w:ind w:left="4800"/>
              <w:spacing w:after="0"/>
              <w:rPr>
                <w:sz w:val="20"/>
                <w:szCs w:val="20"/>
                <w:color w:val="auto"/>
              </w:rPr>
            </w:pPr>
            <w:r>
              <w:rPr>
                <w:rFonts w:ascii="Arial" w:cs="Arial" w:eastAsia="Arial" w:hAnsi="Arial"/>
                <w:sz w:val="15"/>
                <w:szCs w:val="15"/>
                <w:b w:val="1"/>
                <w:bCs w:val="1"/>
                <w:color w:val="auto"/>
              </w:rPr>
              <w:t>Page</w:t>
            </w: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00" w:type="dxa"/>
            <w:vAlign w:val="bottom"/>
          </w:tcPr>
          <w:p>
            <w:pPr>
              <w:spacing w:after="0"/>
              <w:rPr>
                <w:sz w:val="15"/>
                <w:szCs w:val="15"/>
                <w:color w:val="auto"/>
              </w:rPr>
            </w:pPr>
          </w:p>
        </w:tc>
        <w:tc>
          <w:tcPr>
            <w:tcW w:w="9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900" w:type="dxa"/>
            <w:vAlign w:val="bottom"/>
            <w:gridSpan w:val="2"/>
            <w:shd w:val="clear" w:color="auto" w:fill="C0FFFF"/>
          </w:tcPr>
          <w:p>
            <w:pPr>
              <w:spacing w:after="0"/>
              <w:rPr>
                <w:sz w:val="20"/>
                <w:szCs w:val="20"/>
                <w:color w:val="auto"/>
              </w:rPr>
            </w:pPr>
            <w:r>
              <w:rPr>
                <w:rFonts w:ascii="Arial" w:cs="Arial" w:eastAsia="Arial" w:hAnsi="Arial"/>
                <w:sz w:val="15"/>
                <w:szCs w:val="15"/>
                <w:color w:val="auto"/>
              </w:rPr>
              <w:t>Part I Financial Information</w:t>
            </w:r>
          </w:p>
        </w:tc>
        <w:tc>
          <w:tcPr>
            <w:tcW w:w="520" w:type="dxa"/>
            <w:vAlign w:val="bottom"/>
            <w:shd w:val="clear" w:color="auto" w:fill="C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shd w:val="clear" w:color="auto" w:fill="C0FFFF"/>
          </w:tcPr>
          <w:p>
            <w:pPr>
              <w:ind w:left="240"/>
              <w:spacing w:after="0"/>
              <w:rPr>
                <w:sz w:val="20"/>
                <w:szCs w:val="20"/>
                <w:color w:val="auto"/>
              </w:rPr>
            </w:pPr>
            <w:r>
              <w:rPr>
                <w:rFonts w:ascii="Arial" w:cs="Arial" w:eastAsia="Arial" w:hAnsi="Arial"/>
                <w:sz w:val="15"/>
                <w:szCs w:val="15"/>
                <w:color w:val="auto"/>
              </w:rPr>
              <w:t>Item 1.</w:t>
            </w:r>
          </w:p>
        </w:tc>
        <w:tc>
          <w:tcPr>
            <w:tcW w:w="9900" w:type="dxa"/>
            <w:vAlign w:val="bottom"/>
            <w:shd w:val="clear" w:color="auto" w:fill="C0FFFF"/>
          </w:tcPr>
          <w:p>
            <w:pPr>
              <w:spacing w:after="0"/>
              <w:rPr>
                <w:sz w:val="20"/>
                <w:szCs w:val="20"/>
                <w:color w:val="auto"/>
              </w:rPr>
            </w:pPr>
            <w:r>
              <w:rPr>
                <w:rFonts w:ascii="Arial" w:cs="Arial" w:eastAsia="Arial" w:hAnsi="Arial"/>
                <w:sz w:val="15"/>
                <w:szCs w:val="15"/>
                <w:color w:val="auto"/>
              </w:rPr>
              <w:t>Financial Statements (Unaudited)</w:t>
            </w:r>
          </w:p>
        </w:tc>
        <w:tc>
          <w:tcPr>
            <w:tcW w:w="520" w:type="dxa"/>
            <w:vAlign w:val="bottom"/>
            <w:shd w:val="clear" w:color="auto" w:fill="C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900" w:type="dxa"/>
            <w:vAlign w:val="bottom"/>
          </w:tcPr>
          <w:p>
            <w:pPr>
              <w:ind w:left="420"/>
              <w:spacing w:after="0"/>
              <w:rPr>
                <w:sz w:val="20"/>
                <w:szCs w:val="20"/>
                <w:color w:val="auto"/>
              </w:rPr>
            </w:pPr>
            <w:r>
              <w:rPr>
                <w:rFonts w:ascii="Arial" w:cs="Arial" w:eastAsia="Arial" w:hAnsi="Arial"/>
                <w:sz w:val="15"/>
                <w:szCs w:val="15"/>
                <w:color w:val="auto"/>
              </w:rPr>
              <w:t>Consolidated Balance Sheets</w:t>
            </w:r>
          </w:p>
        </w:tc>
        <w:tc>
          <w:tcPr>
            <w:tcW w:w="52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900" w:type="dxa"/>
            <w:vAlign w:val="bottom"/>
            <w:shd w:val="clear" w:color="auto" w:fill="C0FFFF"/>
          </w:tcPr>
          <w:p>
            <w:pPr>
              <w:ind w:left="420"/>
              <w:spacing w:after="0"/>
              <w:rPr>
                <w:sz w:val="20"/>
                <w:szCs w:val="20"/>
                <w:color w:val="auto"/>
              </w:rPr>
            </w:pPr>
            <w:r>
              <w:rPr>
                <w:rFonts w:ascii="Arial" w:cs="Arial" w:eastAsia="Arial" w:hAnsi="Arial"/>
                <w:sz w:val="15"/>
                <w:szCs w:val="15"/>
                <w:color w:val="auto"/>
              </w:rPr>
              <w:t>Consolidated Statements of Operations and Comprehensive Income</w:t>
            </w:r>
          </w:p>
        </w:tc>
        <w:tc>
          <w:tcPr>
            <w:tcW w:w="5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900" w:type="dxa"/>
            <w:vAlign w:val="bottom"/>
          </w:tcPr>
          <w:p>
            <w:pPr>
              <w:ind w:left="420"/>
              <w:spacing w:after="0"/>
              <w:rPr>
                <w:sz w:val="20"/>
                <w:szCs w:val="20"/>
                <w:color w:val="auto"/>
              </w:rPr>
            </w:pPr>
            <w:r>
              <w:rPr>
                <w:rFonts w:ascii="Arial" w:cs="Arial" w:eastAsia="Arial" w:hAnsi="Arial"/>
                <w:sz w:val="15"/>
                <w:szCs w:val="15"/>
                <w:color w:val="auto"/>
              </w:rPr>
              <w:t>Consolidated Statements of Cash Flows</w:t>
            </w:r>
          </w:p>
        </w:tc>
        <w:tc>
          <w:tcPr>
            <w:tcW w:w="520" w:type="dxa"/>
            <w:vAlign w:val="bottom"/>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9900" w:type="dxa"/>
            <w:vAlign w:val="bottom"/>
            <w:shd w:val="clear" w:color="auto" w:fill="C0FFFF"/>
          </w:tcPr>
          <w:p>
            <w:pPr>
              <w:ind w:left="420"/>
              <w:spacing w:after="0"/>
              <w:rPr>
                <w:sz w:val="20"/>
                <w:szCs w:val="20"/>
                <w:color w:val="auto"/>
              </w:rPr>
            </w:pPr>
            <w:r>
              <w:rPr>
                <w:rFonts w:ascii="Arial" w:cs="Arial" w:eastAsia="Arial" w:hAnsi="Arial"/>
                <w:sz w:val="15"/>
                <w:szCs w:val="15"/>
                <w:color w:val="auto"/>
              </w:rPr>
              <w:t>Notes to Consolidated Financial Statements</w:t>
            </w:r>
          </w:p>
        </w:tc>
        <w:tc>
          <w:tcPr>
            <w:tcW w:w="5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shd w:val="clear" w:color="auto" w:fill="C0FFFF"/>
          </w:tcPr>
          <w:p>
            <w:pPr>
              <w:ind w:left="240"/>
              <w:spacing w:after="0"/>
              <w:rPr>
                <w:sz w:val="20"/>
                <w:szCs w:val="20"/>
                <w:color w:val="auto"/>
              </w:rPr>
            </w:pPr>
            <w:r>
              <w:rPr>
                <w:rFonts w:ascii="Arial" w:cs="Arial" w:eastAsia="Arial" w:hAnsi="Arial"/>
                <w:sz w:val="15"/>
                <w:szCs w:val="15"/>
                <w:color w:val="auto"/>
              </w:rPr>
              <w:t>Item 2.</w:t>
            </w:r>
          </w:p>
        </w:tc>
        <w:tc>
          <w:tcPr>
            <w:tcW w:w="9900" w:type="dxa"/>
            <w:vAlign w:val="bottom"/>
            <w:shd w:val="clear" w:color="auto" w:fill="C0FFFF"/>
          </w:tcPr>
          <w:p>
            <w:pPr>
              <w:spacing w:after="0"/>
              <w:rPr>
                <w:sz w:val="20"/>
                <w:szCs w:val="20"/>
                <w:color w:val="auto"/>
              </w:rPr>
            </w:pPr>
            <w:r>
              <w:rPr>
                <w:rFonts w:ascii="Arial" w:cs="Arial" w:eastAsia="Arial" w:hAnsi="Arial"/>
                <w:sz w:val="15"/>
                <w:szCs w:val="15"/>
                <w:color w:val="auto"/>
              </w:rPr>
              <w:t>Management’s Discussion and Analysis of Financial Condition and Results of Operations</w:t>
            </w:r>
          </w:p>
        </w:tc>
        <w:tc>
          <w:tcPr>
            <w:tcW w:w="5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shd w:val="clear" w:color="auto" w:fill="C0FFFF"/>
          </w:tcPr>
          <w:p>
            <w:pPr>
              <w:ind w:left="240"/>
              <w:spacing w:after="0"/>
              <w:rPr>
                <w:sz w:val="20"/>
                <w:szCs w:val="20"/>
                <w:color w:val="auto"/>
              </w:rPr>
            </w:pPr>
            <w:r>
              <w:rPr>
                <w:rFonts w:ascii="Arial" w:cs="Arial" w:eastAsia="Arial" w:hAnsi="Arial"/>
                <w:sz w:val="15"/>
                <w:szCs w:val="15"/>
                <w:color w:val="auto"/>
              </w:rPr>
              <w:t>Item 3.</w:t>
            </w:r>
          </w:p>
        </w:tc>
        <w:tc>
          <w:tcPr>
            <w:tcW w:w="9900" w:type="dxa"/>
            <w:vAlign w:val="bottom"/>
            <w:shd w:val="clear" w:color="auto" w:fill="C0FFFF"/>
          </w:tcPr>
          <w:p>
            <w:pPr>
              <w:spacing w:after="0"/>
              <w:rPr>
                <w:sz w:val="20"/>
                <w:szCs w:val="20"/>
                <w:color w:val="auto"/>
              </w:rPr>
            </w:pPr>
            <w:r>
              <w:rPr>
                <w:rFonts w:ascii="Arial" w:cs="Arial" w:eastAsia="Arial" w:hAnsi="Arial"/>
                <w:sz w:val="15"/>
                <w:szCs w:val="15"/>
                <w:color w:val="auto"/>
              </w:rPr>
              <w:t>Quantitative and Qualitative Disclosures About Market Risk</w:t>
            </w:r>
          </w:p>
        </w:tc>
        <w:tc>
          <w:tcPr>
            <w:tcW w:w="5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shd w:val="clear" w:color="auto" w:fill="C0FFFF"/>
          </w:tcPr>
          <w:p>
            <w:pPr>
              <w:ind w:left="240"/>
              <w:spacing w:after="0"/>
              <w:rPr>
                <w:sz w:val="20"/>
                <w:szCs w:val="20"/>
                <w:color w:val="auto"/>
              </w:rPr>
            </w:pPr>
            <w:r>
              <w:rPr>
                <w:rFonts w:ascii="Arial" w:cs="Arial" w:eastAsia="Arial" w:hAnsi="Arial"/>
                <w:sz w:val="15"/>
                <w:szCs w:val="15"/>
                <w:color w:val="auto"/>
              </w:rPr>
              <w:t>Item 4.</w:t>
            </w:r>
          </w:p>
        </w:tc>
        <w:tc>
          <w:tcPr>
            <w:tcW w:w="9900" w:type="dxa"/>
            <w:vAlign w:val="bottom"/>
            <w:shd w:val="clear" w:color="auto" w:fill="C0FFFF"/>
          </w:tcPr>
          <w:p>
            <w:pPr>
              <w:spacing w:after="0"/>
              <w:rPr>
                <w:sz w:val="20"/>
                <w:szCs w:val="20"/>
                <w:color w:val="auto"/>
              </w:rPr>
            </w:pPr>
            <w:r>
              <w:rPr>
                <w:rFonts w:ascii="Arial" w:cs="Arial" w:eastAsia="Arial" w:hAnsi="Arial"/>
                <w:sz w:val="15"/>
                <w:szCs w:val="15"/>
                <w:color w:val="auto"/>
              </w:rPr>
              <w:t>Controls and Procedures</w:t>
            </w:r>
          </w:p>
        </w:tc>
        <w:tc>
          <w:tcPr>
            <w:tcW w:w="5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1090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10900" w:type="dxa"/>
            <w:vAlign w:val="bottom"/>
            <w:gridSpan w:val="2"/>
            <w:shd w:val="clear" w:color="auto" w:fill="C0FFFF"/>
          </w:tcPr>
          <w:p>
            <w:pPr>
              <w:spacing w:after="0"/>
              <w:rPr>
                <w:sz w:val="20"/>
                <w:szCs w:val="20"/>
                <w:color w:val="auto"/>
              </w:rPr>
            </w:pPr>
            <w:r>
              <w:rPr>
                <w:rFonts w:ascii="Arial" w:cs="Arial" w:eastAsia="Arial" w:hAnsi="Arial"/>
                <w:sz w:val="15"/>
                <w:szCs w:val="15"/>
                <w:color w:val="auto"/>
              </w:rPr>
              <w:t>Part II Other Information</w:t>
            </w:r>
          </w:p>
        </w:tc>
        <w:tc>
          <w:tcPr>
            <w:tcW w:w="520" w:type="dxa"/>
            <w:vAlign w:val="bottom"/>
            <w:shd w:val="clear" w:color="auto" w:fill="C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shd w:val="clear" w:color="auto" w:fill="C0FFFF"/>
          </w:tcPr>
          <w:p>
            <w:pPr>
              <w:ind w:left="240"/>
              <w:spacing w:after="0"/>
              <w:rPr>
                <w:sz w:val="20"/>
                <w:szCs w:val="20"/>
                <w:color w:val="auto"/>
              </w:rPr>
            </w:pPr>
            <w:r>
              <w:rPr>
                <w:rFonts w:ascii="Arial" w:cs="Arial" w:eastAsia="Arial" w:hAnsi="Arial"/>
                <w:sz w:val="15"/>
                <w:szCs w:val="15"/>
                <w:color w:val="auto"/>
              </w:rPr>
              <w:t>Item 1A.</w:t>
            </w:r>
          </w:p>
        </w:tc>
        <w:tc>
          <w:tcPr>
            <w:tcW w:w="9900" w:type="dxa"/>
            <w:vAlign w:val="bottom"/>
            <w:shd w:val="clear" w:color="auto" w:fill="C0FFFF"/>
          </w:tcPr>
          <w:p>
            <w:pPr>
              <w:spacing w:after="0"/>
              <w:rPr>
                <w:sz w:val="20"/>
                <w:szCs w:val="20"/>
                <w:color w:val="auto"/>
              </w:rPr>
            </w:pPr>
            <w:r>
              <w:rPr>
                <w:rFonts w:ascii="Arial" w:cs="Arial" w:eastAsia="Arial" w:hAnsi="Arial"/>
                <w:sz w:val="15"/>
                <w:szCs w:val="15"/>
                <w:color w:val="auto"/>
              </w:rPr>
              <w:t>Risk Factors</w:t>
            </w:r>
          </w:p>
        </w:tc>
        <w:tc>
          <w:tcPr>
            <w:tcW w:w="5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tcPr>
          <w:p>
            <w:pPr>
              <w:ind w:left="240"/>
              <w:spacing w:after="0"/>
              <w:rPr>
                <w:sz w:val="20"/>
                <w:szCs w:val="20"/>
                <w:color w:val="auto"/>
              </w:rPr>
            </w:pPr>
            <w:r>
              <w:rPr>
                <w:rFonts w:ascii="Arial" w:cs="Arial" w:eastAsia="Arial" w:hAnsi="Arial"/>
                <w:sz w:val="15"/>
                <w:szCs w:val="15"/>
                <w:color w:val="auto"/>
              </w:rPr>
              <w:t>Item 2.</w:t>
            </w:r>
          </w:p>
        </w:tc>
        <w:tc>
          <w:tcPr>
            <w:tcW w:w="9900" w:type="dxa"/>
            <w:vAlign w:val="bottom"/>
          </w:tcPr>
          <w:p>
            <w:pPr>
              <w:spacing w:after="0"/>
              <w:rPr>
                <w:sz w:val="20"/>
                <w:szCs w:val="20"/>
                <w:color w:val="auto"/>
              </w:rPr>
            </w:pPr>
            <w:r>
              <w:rPr>
                <w:rFonts w:ascii="Arial" w:cs="Arial" w:eastAsia="Arial" w:hAnsi="Arial"/>
                <w:sz w:val="15"/>
                <w:szCs w:val="15"/>
                <w:color w:val="auto"/>
              </w:rPr>
              <w:t>Unregistered Sales of Equity Securities and Use of Proceeds</w:t>
            </w:r>
          </w:p>
        </w:tc>
        <w:tc>
          <w:tcPr>
            <w:tcW w:w="520" w:type="dxa"/>
            <w:vAlign w:val="bottom"/>
          </w:tcPr>
          <w:p>
            <w:pPr>
              <w:jc w:val="right"/>
              <w:spacing w:after="0"/>
              <w:rPr>
                <w:sz w:val="20"/>
                <w:szCs w:val="20"/>
                <w:color w:val="auto"/>
              </w:rPr>
            </w:pPr>
            <w:r>
              <w:rPr>
                <w:rFonts w:ascii="Arial" w:cs="Arial" w:eastAsia="Arial" w:hAnsi="Arial"/>
                <w:sz w:val="15"/>
                <w:szCs w:val="15"/>
                <w:color w:val="auto"/>
              </w:rPr>
              <w:t>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shd w:val="clear" w:color="auto" w:fill="C0FFFF"/>
          </w:tcPr>
          <w:p>
            <w:pPr>
              <w:ind w:left="240"/>
              <w:spacing w:after="0"/>
              <w:rPr>
                <w:sz w:val="20"/>
                <w:szCs w:val="20"/>
                <w:color w:val="auto"/>
              </w:rPr>
            </w:pPr>
            <w:r>
              <w:rPr>
                <w:rFonts w:ascii="Arial" w:cs="Arial" w:eastAsia="Arial" w:hAnsi="Arial"/>
                <w:sz w:val="15"/>
                <w:szCs w:val="15"/>
                <w:color w:val="auto"/>
              </w:rPr>
              <w:t>Item 6.</w:t>
            </w:r>
          </w:p>
        </w:tc>
        <w:tc>
          <w:tcPr>
            <w:tcW w:w="9900" w:type="dxa"/>
            <w:vAlign w:val="bottom"/>
            <w:shd w:val="clear" w:color="auto" w:fill="C0FFFF"/>
          </w:tcPr>
          <w:p>
            <w:pPr>
              <w:spacing w:after="0"/>
              <w:rPr>
                <w:sz w:val="20"/>
                <w:szCs w:val="20"/>
                <w:color w:val="auto"/>
              </w:rPr>
            </w:pPr>
            <w:r>
              <w:rPr>
                <w:rFonts w:ascii="Arial" w:cs="Arial" w:eastAsia="Arial" w:hAnsi="Arial"/>
                <w:sz w:val="15"/>
                <w:szCs w:val="15"/>
                <w:color w:val="auto"/>
              </w:rPr>
              <w:t>Exhibits</w:t>
            </w:r>
          </w:p>
        </w:tc>
        <w:tc>
          <w:tcPr>
            <w:tcW w:w="5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0" w:type="dxa"/>
            <w:vAlign w:val="bottom"/>
            <w:shd w:val="clear" w:color="auto" w:fill="C0FFFF"/>
          </w:tcPr>
          <w:p>
            <w:pPr>
              <w:ind w:left="240"/>
              <w:spacing w:after="0"/>
              <w:rPr>
                <w:sz w:val="20"/>
                <w:szCs w:val="20"/>
                <w:color w:val="auto"/>
              </w:rPr>
            </w:pPr>
            <w:r>
              <w:rPr>
                <w:rFonts w:ascii="Arial" w:cs="Arial" w:eastAsia="Arial" w:hAnsi="Arial"/>
                <w:sz w:val="15"/>
                <w:szCs w:val="15"/>
                <w:color w:val="auto"/>
              </w:rPr>
              <w:t>Signatures</w:t>
            </w:r>
          </w:p>
        </w:tc>
        <w:tc>
          <w:tcPr>
            <w:tcW w:w="9900" w:type="dxa"/>
            <w:vAlign w:val="bottom"/>
            <w:shd w:val="clear" w:color="auto" w:fill="C0FFFF"/>
          </w:tcPr>
          <w:p>
            <w:pPr>
              <w:spacing w:after="0"/>
              <w:rPr>
                <w:sz w:val="15"/>
                <w:szCs w:val="15"/>
                <w:color w:val="auto"/>
              </w:rPr>
            </w:pPr>
          </w:p>
        </w:tc>
        <w:tc>
          <w:tcPr>
            <w:tcW w:w="5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900" w:type="dxa"/>
            <w:vAlign w:val="bottom"/>
          </w:tcPr>
          <w:p>
            <w:pPr>
              <w:ind w:left="4660"/>
              <w:spacing w:after="0"/>
              <w:rPr>
                <w:sz w:val="20"/>
                <w:szCs w:val="20"/>
                <w:color w:val="auto"/>
              </w:rPr>
            </w:pPr>
            <w:r>
              <w:rPr>
                <w:rFonts w:ascii="Arial" w:cs="Arial" w:eastAsia="Arial" w:hAnsi="Arial"/>
                <w:sz w:val="15"/>
                <w:szCs w:val="15"/>
                <w:color w:val="auto"/>
              </w:rPr>
              <w:t>2</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99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658"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PART I-FINANCIAL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 Financial Statements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BUILD-A-BEAR WORKSHOP,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(Dollars 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9"/>
              </w:rPr>
              <w:t>June 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0"/>
              </w:rPr>
              <w:t>December 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4"/>
              </w:rPr>
              <w:t>July 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89"/>
              </w:rPr>
              <w:t>2012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3"/>
              </w:rPr>
              <w:t>2011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center"/>
              <w:ind w:right="64"/>
              <w:spacing w:after="0"/>
              <w:rPr>
                <w:sz w:val="20"/>
                <w:szCs w:val="20"/>
                <w:color w:val="auto"/>
              </w:rPr>
            </w:pPr>
            <w:r>
              <w:rPr>
                <w:rFonts w:ascii="Arial" w:cs="Arial" w:eastAsia="Arial" w:hAnsi="Arial"/>
                <w:sz w:val="15"/>
                <w:szCs w:val="15"/>
                <w:color w:val="auto"/>
                <w:w w:val="94"/>
              </w:rPr>
              <w:t>(Unaudited)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44"/>
              <w:spacing w:after="0"/>
              <w:rPr>
                <w:sz w:val="20"/>
                <w:szCs w:val="20"/>
                <w:color w:val="auto"/>
              </w:rPr>
            </w:pPr>
            <w:r>
              <w:rPr>
                <w:rFonts w:ascii="Arial" w:cs="Arial" w:eastAsia="Arial" w:hAnsi="Arial"/>
                <w:sz w:val="15"/>
                <w:szCs w:val="15"/>
                <w:color w:val="auto"/>
                <w:w w:val="91"/>
              </w:rPr>
              <w:t>(Unaudited)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shd w:val="clear" w:color="auto" w:fill="C0FFFF"/>
          </w:tcPr>
          <w:p>
            <w:pPr>
              <w:ind w:left="5360"/>
              <w:spacing w:after="0"/>
              <w:rPr>
                <w:sz w:val="20"/>
                <w:szCs w:val="20"/>
                <w:color w:val="auto"/>
              </w:rPr>
            </w:pPr>
            <w:r>
              <w:rPr>
                <w:rFonts w:ascii="Arial" w:cs="Arial" w:eastAsia="Arial" w:hAnsi="Arial"/>
                <w:sz w:val="15"/>
                <w:szCs w:val="15"/>
                <w:b w:val="1"/>
                <w:bCs w:val="1"/>
                <w:color w:val="auto"/>
              </w:rPr>
              <w:t>ASSETS</w:t>
            </w:r>
          </w:p>
        </w:tc>
        <w:tc>
          <w:tcPr>
            <w:tcW w:w="1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5"/>
                <w:szCs w:val="15"/>
                <w:color w:val="auto"/>
              </w:rPr>
              <w:t>Current assets:</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shd w:val="clear" w:color="auto" w:fill="C0FFFF"/>
          </w:tcPr>
          <w:p>
            <w:pPr>
              <w:ind w:left="100"/>
              <w:spacing w:after="0"/>
              <w:rPr>
                <w:sz w:val="20"/>
                <w:szCs w:val="20"/>
                <w:color w:val="auto"/>
              </w:rPr>
            </w:pPr>
            <w:r>
              <w:rPr>
                <w:rFonts w:ascii="Arial" w:cs="Arial" w:eastAsia="Arial" w:hAnsi="Arial"/>
                <w:sz w:val="15"/>
                <w:szCs w:val="15"/>
                <w:color w:val="auto"/>
              </w:rPr>
              <w:t>Cash and cash equivalents</w:t>
            </w:r>
          </w:p>
        </w:tc>
        <w:tc>
          <w:tcPr>
            <w:tcW w:w="16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26,450</w:t>
            </w:r>
          </w:p>
        </w:tc>
        <w:tc>
          <w:tcPr>
            <w:tcW w:w="20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46,367</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34,742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ind w:left="100"/>
              <w:spacing w:after="0"/>
              <w:rPr>
                <w:sz w:val="20"/>
                <w:szCs w:val="20"/>
                <w:color w:val="auto"/>
              </w:rPr>
            </w:pPr>
            <w:r>
              <w:rPr>
                <w:rFonts w:ascii="Arial" w:cs="Arial" w:eastAsia="Arial" w:hAnsi="Arial"/>
                <w:sz w:val="15"/>
                <w:szCs w:val="15"/>
                <w:color w:val="auto"/>
              </w:rPr>
              <w:t>Inventories</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47,029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51,860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46,156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shd w:val="clear" w:color="auto" w:fill="C0FFFF"/>
          </w:tcPr>
          <w:p>
            <w:pPr>
              <w:ind w:left="100"/>
              <w:spacing w:after="0"/>
              <w:rPr>
                <w:sz w:val="20"/>
                <w:szCs w:val="20"/>
                <w:color w:val="auto"/>
              </w:rPr>
            </w:pPr>
            <w:r>
              <w:rPr>
                <w:rFonts w:ascii="Arial" w:cs="Arial" w:eastAsia="Arial" w:hAnsi="Arial"/>
                <w:sz w:val="15"/>
                <w:szCs w:val="15"/>
                <w:color w:val="auto"/>
              </w:rPr>
              <w:t>Receivables</w:t>
            </w:r>
          </w:p>
        </w:tc>
        <w:tc>
          <w:tcPr>
            <w:tcW w:w="16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4,935</w:t>
            </w: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7,878</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4,606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ind w:left="100"/>
              <w:spacing w:after="0"/>
              <w:rPr>
                <w:sz w:val="20"/>
                <w:szCs w:val="20"/>
                <w:color w:val="auto"/>
              </w:rPr>
            </w:pPr>
            <w:r>
              <w:rPr>
                <w:rFonts w:ascii="Arial" w:cs="Arial" w:eastAsia="Arial" w:hAnsi="Arial"/>
                <w:sz w:val="15"/>
                <w:szCs w:val="15"/>
                <w:color w:val="auto"/>
              </w:rPr>
              <w:t>Prepaid expenses and other current assets</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13,604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17,854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22,580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shd w:val="clear" w:color="auto" w:fill="C0FFFF"/>
          </w:tcPr>
          <w:p>
            <w:pPr>
              <w:ind w:left="100"/>
              <w:spacing w:after="0"/>
              <w:rPr>
                <w:sz w:val="20"/>
                <w:szCs w:val="20"/>
                <w:color w:val="auto"/>
              </w:rPr>
            </w:pPr>
            <w:r>
              <w:rPr>
                <w:rFonts w:ascii="Arial" w:cs="Arial" w:eastAsia="Arial" w:hAnsi="Arial"/>
                <w:sz w:val="15"/>
                <w:szCs w:val="15"/>
                <w:color w:val="auto"/>
              </w:rPr>
              <w:t>Deferred tax assets</w:t>
            </w:r>
          </w:p>
        </w:tc>
        <w:tc>
          <w:tcPr>
            <w:tcW w:w="16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469</w:t>
            </w: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419</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7,585</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420" w:type="dxa"/>
            <w:vAlign w:val="bottom"/>
            <w:shd w:val="clear" w:color="auto" w:fill="C0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ind w:left="380"/>
              <w:spacing w:after="0"/>
              <w:rPr>
                <w:sz w:val="20"/>
                <w:szCs w:val="20"/>
                <w:color w:val="auto"/>
              </w:rPr>
            </w:pPr>
            <w:r>
              <w:rPr>
                <w:rFonts w:ascii="Arial" w:cs="Arial" w:eastAsia="Arial" w:hAnsi="Arial"/>
                <w:sz w:val="15"/>
                <w:szCs w:val="15"/>
                <w:color w:val="auto"/>
              </w:rPr>
              <w:t>Total current assets</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92,487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124,378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115,669</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42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5"/>
                <w:szCs w:val="15"/>
                <w:color w:val="auto"/>
              </w:rPr>
              <w:t>Property and equipment, net of accumulated depreciation of $181,892, $175,018 and $173,418, respectively</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73,518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77,445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81,225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5"/>
                <w:szCs w:val="15"/>
                <w:color w:val="auto"/>
              </w:rPr>
              <w:t>Goodwill</w:t>
            </w:r>
          </w:p>
        </w:tc>
        <w:tc>
          <w:tcPr>
            <w:tcW w:w="16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32,643</w:t>
            </w: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32,306</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33,542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5"/>
                <w:szCs w:val="15"/>
                <w:color w:val="auto"/>
              </w:rPr>
              <w:t>Other intangible assets, net</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595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655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1,043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5"/>
                <w:szCs w:val="15"/>
                <w:color w:val="auto"/>
              </w:rPr>
              <w:t>Other assets, net</w:t>
            </w:r>
          </w:p>
        </w:tc>
        <w:tc>
          <w:tcPr>
            <w:tcW w:w="16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6,704</w:t>
            </w: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6,787</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15,070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420" w:type="dxa"/>
            <w:vAlign w:val="bottom"/>
            <w:shd w:val="clear" w:color="auto" w:fill="C0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5"/>
                <w:szCs w:val="15"/>
                <w:color w:val="auto"/>
              </w:rPr>
              <w:t>Total Assets</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205,947</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241,571</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246,549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7420" w:type="dxa"/>
            <w:vAlign w:val="bottom"/>
            <w:shd w:val="clear" w:color="auto" w:fill="C0FFFF"/>
          </w:tcPr>
          <w:p>
            <w:pPr>
              <w:spacing w:after="0"/>
              <w:rPr>
                <w:sz w:val="14"/>
                <w:szCs w:val="14"/>
                <w:color w:val="auto"/>
              </w:rPr>
            </w:pPr>
          </w:p>
        </w:tc>
        <w:tc>
          <w:tcPr>
            <w:tcW w:w="16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14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020" w:type="dxa"/>
            <w:vAlign w:val="bottom"/>
            <w:shd w:val="clear" w:color="auto" w:fill="C0FFFF"/>
          </w:tcPr>
          <w:p>
            <w:pPr>
              <w:spacing w:after="0"/>
              <w:rPr>
                <w:sz w:val="14"/>
                <w:szCs w:val="14"/>
                <w:color w:val="auto"/>
              </w:rPr>
            </w:pPr>
          </w:p>
        </w:tc>
        <w:tc>
          <w:tcPr>
            <w:tcW w:w="14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ind w:left="4000"/>
              <w:spacing w:after="0"/>
              <w:rPr>
                <w:sz w:val="20"/>
                <w:szCs w:val="20"/>
                <w:color w:val="auto"/>
              </w:rPr>
            </w:pPr>
            <w:r>
              <w:rPr>
                <w:rFonts w:ascii="Arial" w:cs="Arial" w:eastAsia="Arial" w:hAnsi="Arial"/>
                <w:sz w:val="15"/>
                <w:szCs w:val="15"/>
                <w:b w:val="1"/>
                <w:bCs w:val="1"/>
                <w:color w:val="auto"/>
              </w:rPr>
              <w:t>LIABILITIES AND STOCKHOLDERS' EQUITY</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5"/>
                <w:szCs w:val="15"/>
                <w:color w:val="auto"/>
              </w:rPr>
              <w:t>Current liabilities:</w:t>
            </w:r>
          </w:p>
        </w:tc>
        <w:tc>
          <w:tcPr>
            <w:tcW w:w="1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ind w:left="100"/>
              <w:spacing w:after="0"/>
              <w:rPr>
                <w:sz w:val="20"/>
                <w:szCs w:val="20"/>
                <w:color w:val="auto"/>
              </w:rPr>
            </w:pPr>
            <w:r>
              <w:rPr>
                <w:rFonts w:ascii="Arial" w:cs="Arial" w:eastAsia="Arial" w:hAnsi="Arial"/>
                <w:sz w:val="15"/>
                <w:szCs w:val="15"/>
                <w:color w:val="auto"/>
              </w:rPr>
              <w:t>Accounts payable</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24,253</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41,032</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33,280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shd w:val="clear" w:color="auto" w:fill="C0FFFF"/>
          </w:tcPr>
          <w:p>
            <w:pPr>
              <w:ind w:left="100"/>
              <w:spacing w:after="0"/>
              <w:rPr>
                <w:sz w:val="20"/>
                <w:szCs w:val="20"/>
                <w:color w:val="auto"/>
              </w:rPr>
            </w:pPr>
            <w:r>
              <w:rPr>
                <w:rFonts w:ascii="Arial" w:cs="Arial" w:eastAsia="Arial" w:hAnsi="Arial"/>
                <w:sz w:val="15"/>
                <w:szCs w:val="15"/>
                <w:color w:val="auto"/>
              </w:rPr>
              <w:t>Accrued expenses</w:t>
            </w:r>
          </w:p>
        </w:tc>
        <w:tc>
          <w:tcPr>
            <w:tcW w:w="16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7,227</w:t>
            </w: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12,128</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6,818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ind w:left="100"/>
              <w:spacing w:after="0"/>
              <w:rPr>
                <w:sz w:val="20"/>
                <w:szCs w:val="20"/>
                <w:color w:val="auto"/>
              </w:rPr>
            </w:pPr>
            <w:r>
              <w:rPr>
                <w:rFonts w:ascii="Arial" w:cs="Arial" w:eastAsia="Arial" w:hAnsi="Arial"/>
                <w:sz w:val="15"/>
                <w:szCs w:val="15"/>
                <w:color w:val="auto"/>
              </w:rPr>
              <w:t>Gift cards and customer deposits</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22,848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28,323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23,487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shd w:val="clear" w:color="auto" w:fill="C0FFFF"/>
          </w:tcPr>
          <w:p>
            <w:pPr>
              <w:ind w:left="100"/>
              <w:spacing w:after="0"/>
              <w:rPr>
                <w:sz w:val="20"/>
                <w:szCs w:val="20"/>
                <w:color w:val="auto"/>
              </w:rPr>
            </w:pPr>
            <w:r>
              <w:rPr>
                <w:rFonts w:ascii="Arial" w:cs="Arial" w:eastAsia="Arial" w:hAnsi="Arial"/>
                <w:sz w:val="15"/>
                <w:szCs w:val="15"/>
                <w:color w:val="auto"/>
              </w:rPr>
              <w:t>Deferred revenue</w:t>
            </w:r>
          </w:p>
        </w:tc>
        <w:tc>
          <w:tcPr>
            <w:tcW w:w="16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5,568</w:t>
            </w: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5,285</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6,852</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420" w:type="dxa"/>
            <w:vAlign w:val="bottom"/>
            <w:shd w:val="clear" w:color="auto" w:fill="C0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7420" w:type="dxa"/>
            <w:vAlign w:val="bottom"/>
          </w:tcPr>
          <w:p>
            <w:pPr>
              <w:ind w:left="380"/>
              <w:spacing w:after="0"/>
              <w:rPr>
                <w:sz w:val="20"/>
                <w:szCs w:val="20"/>
                <w:color w:val="auto"/>
              </w:rPr>
            </w:pPr>
            <w:r>
              <w:rPr>
                <w:rFonts w:ascii="Arial" w:cs="Arial" w:eastAsia="Arial" w:hAnsi="Arial"/>
                <w:sz w:val="15"/>
                <w:szCs w:val="15"/>
                <w:color w:val="auto"/>
              </w:rPr>
              <w:t>Total current liabilities</w:t>
            </w:r>
          </w:p>
        </w:tc>
        <w:tc>
          <w:tcPr>
            <w:tcW w:w="1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59,896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86,768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70,437</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420" w:type="dxa"/>
            <w:vAlign w:val="bottom"/>
            <w:shd w:val="clear" w:color="auto" w:fill="C0FFFF"/>
          </w:tcPr>
          <w:p>
            <w:pPr>
              <w:spacing w:after="0"/>
              <w:rPr>
                <w:sz w:val="15"/>
                <w:szCs w:val="15"/>
                <w:color w:val="auto"/>
              </w:rPr>
            </w:pPr>
          </w:p>
        </w:tc>
        <w:tc>
          <w:tcPr>
            <w:tcW w:w="160" w:type="dxa"/>
            <w:vAlign w:val="bottom"/>
            <w:tcBorders>
              <w:top w:val="single" w:sz="8" w:color="auto"/>
            </w:tcBorders>
            <w:shd w:val="clear" w:color="auto" w:fill="C0FFFF"/>
          </w:tcPr>
          <w:p>
            <w:pPr>
              <w:spacing w:after="0"/>
              <w:rPr>
                <w:sz w:val="15"/>
                <w:szCs w:val="15"/>
                <w:color w:val="auto"/>
              </w:rPr>
            </w:pPr>
          </w:p>
        </w:tc>
        <w:tc>
          <w:tcPr>
            <w:tcW w:w="1000" w:type="dxa"/>
            <w:vAlign w:val="bottom"/>
            <w:tcBorders>
              <w:top w:val="single" w:sz="8" w:color="auto"/>
            </w:tcBorders>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0" w:type="dxa"/>
            <w:vAlign w:val="bottom"/>
            <w:tcBorders>
              <w:top w:val="single" w:sz="8" w:color="auto"/>
            </w:tcBorders>
            <w:shd w:val="clear" w:color="auto" w:fill="C0FFFF"/>
          </w:tcPr>
          <w:p>
            <w:pPr>
              <w:spacing w:after="0"/>
              <w:rPr>
                <w:sz w:val="15"/>
                <w:szCs w:val="15"/>
                <w:color w:val="auto"/>
              </w:rPr>
            </w:pPr>
          </w:p>
        </w:tc>
        <w:tc>
          <w:tcPr>
            <w:tcW w:w="1020" w:type="dxa"/>
            <w:vAlign w:val="bottom"/>
            <w:tcBorders>
              <w:top w:val="single" w:sz="8" w:color="auto"/>
            </w:tcBorders>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tcBorders>
              <w:top w:val="single" w:sz="8" w:color="auto"/>
            </w:tcBorders>
            <w:shd w:val="clear" w:color="auto" w:fill="C0FFFF"/>
          </w:tcPr>
          <w:p>
            <w:pPr>
              <w:spacing w:after="0"/>
              <w:rPr>
                <w:sz w:val="15"/>
                <w:szCs w:val="15"/>
                <w:color w:val="auto"/>
              </w:rPr>
            </w:pPr>
          </w:p>
        </w:tc>
        <w:tc>
          <w:tcPr>
            <w:tcW w:w="1000" w:type="dxa"/>
            <w:vAlign w:val="bottom"/>
            <w:tcBorders>
              <w:top w:val="single" w:sz="8" w:color="auto"/>
            </w:tcBorders>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5"/>
                <w:szCs w:val="15"/>
                <w:color w:val="auto"/>
              </w:rPr>
              <w:t>Deferred franchise revenue</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1,301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1,436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1,571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5"/>
                <w:szCs w:val="15"/>
                <w:color w:val="auto"/>
              </w:rPr>
              <w:t>Deferred rent</w:t>
            </w:r>
          </w:p>
        </w:tc>
        <w:tc>
          <w:tcPr>
            <w:tcW w:w="16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22,075</w:t>
            </w: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23,867</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26,606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5"/>
                <w:szCs w:val="15"/>
                <w:color w:val="auto"/>
              </w:rPr>
              <w:t>Other liabilities</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257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375</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742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7420" w:type="dxa"/>
            <w:vAlign w:val="bottom"/>
          </w:tcPr>
          <w:p>
            <w:pPr>
              <w:spacing w:after="0"/>
              <w:rPr>
                <w:sz w:val="20"/>
                <w:szCs w:val="20"/>
                <w:color w:val="auto"/>
              </w:rPr>
            </w:pPr>
            <w:r>
              <w:rPr>
                <w:rFonts w:ascii="Arial" w:cs="Arial" w:eastAsia="Arial" w:hAnsi="Arial"/>
                <w:sz w:val="15"/>
                <w:szCs w:val="15"/>
                <w:color w:val="auto"/>
              </w:rPr>
              <w:t>Stockholders' equity:</w:t>
            </w: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shd w:val="clear" w:color="auto" w:fill="C0FFFF"/>
          </w:tcPr>
          <w:p>
            <w:pPr>
              <w:ind w:left="100"/>
              <w:spacing w:after="0" w:line="171" w:lineRule="exact"/>
              <w:rPr>
                <w:sz w:val="20"/>
                <w:szCs w:val="20"/>
                <w:color w:val="auto"/>
              </w:rPr>
            </w:pPr>
            <w:r>
              <w:rPr>
                <w:rFonts w:ascii="Arial" w:cs="Arial" w:eastAsia="Arial" w:hAnsi="Arial"/>
                <w:sz w:val="15"/>
                <w:szCs w:val="15"/>
                <w:color w:val="auto"/>
                <w:w w:val="94"/>
              </w:rPr>
              <w:t>Preferred stock, par value $0.01, Shares authorized: 15,000,000; No shares issued or outstanding at June 30, 2012,</w:t>
            </w:r>
          </w:p>
        </w:tc>
        <w:tc>
          <w:tcPr>
            <w:tcW w:w="16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14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020" w:type="dxa"/>
            <w:vAlign w:val="bottom"/>
            <w:shd w:val="clear" w:color="auto" w:fill="C0FFFF"/>
          </w:tcPr>
          <w:p>
            <w:pPr>
              <w:spacing w:after="0"/>
              <w:rPr>
                <w:sz w:val="14"/>
                <w:szCs w:val="14"/>
                <w:color w:val="auto"/>
              </w:rPr>
            </w:pPr>
          </w:p>
        </w:tc>
        <w:tc>
          <w:tcPr>
            <w:tcW w:w="140" w:type="dxa"/>
            <w:vAlign w:val="bottom"/>
            <w:shd w:val="clear" w:color="auto" w:fill="C0FFFF"/>
          </w:tcPr>
          <w:p>
            <w:pPr>
              <w:spacing w:after="0"/>
              <w:rPr>
                <w:sz w:val="14"/>
                <w:szCs w:val="14"/>
                <w:color w:val="auto"/>
              </w:rPr>
            </w:pPr>
          </w:p>
        </w:tc>
        <w:tc>
          <w:tcPr>
            <w:tcW w:w="10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1000" w:type="dxa"/>
            <w:vAlign w:val="bottom"/>
            <w:shd w:val="clear" w:color="auto" w:fill="C0FFFF"/>
          </w:tcPr>
          <w:p>
            <w:pPr>
              <w:spacing w:after="0"/>
              <w:rPr>
                <w:sz w:val="14"/>
                <w:szCs w:val="14"/>
                <w:color w:val="auto"/>
              </w:rPr>
            </w:pPr>
          </w:p>
        </w:tc>
        <w:tc>
          <w:tcPr>
            <w:tcW w:w="120" w:type="dxa"/>
            <w:vAlign w:val="bottom"/>
            <w:shd w:val="clear" w:color="auto" w:fill="C0FF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20" w:type="dxa"/>
            <w:vAlign w:val="bottom"/>
            <w:shd w:val="clear" w:color="auto" w:fill="C0FFFF"/>
          </w:tcPr>
          <w:p>
            <w:pPr>
              <w:ind w:left="240"/>
              <w:spacing w:after="0"/>
              <w:rPr>
                <w:sz w:val="20"/>
                <w:szCs w:val="20"/>
                <w:color w:val="auto"/>
              </w:rPr>
            </w:pPr>
            <w:r>
              <w:rPr>
                <w:rFonts w:ascii="Arial" w:cs="Arial" w:eastAsia="Arial" w:hAnsi="Arial"/>
                <w:sz w:val="15"/>
                <w:szCs w:val="15"/>
                <w:color w:val="auto"/>
              </w:rPr>
              <w:t>December 31, 2011 and July 2, 2011</w:t>
            </w:r>
          </w:p>
        </w:tc>
        <w:tc>
          <w:tcPr>
            <w:tcW w:w="16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Pr>
          <w:p>
            <w:pPr>
              <w:ind w:left="100"/>
              <w:spacing w:after="0" w:line="171" w:lineRule="exact"/>
              <w:rPr>
                <w:sz w:val="20"/>
                <w:szCs w:val="20"/>
                <w:color w:val="auto"/>
              </w:rPr>
            </w:pPr>
            <w:r>
              <w:rPr>
                <w:rFonts w:ascii="Arial" w:cs="Arial" w:eastAsia="Arial" w:hAnsi="Arial"/>
                <w:sz w:val="15"/>
                <w:szCs w:val="15"/>
                <w:color w:val="auto"/>
                <w:w w:val="93"/>
              </w:rPr>
              <w:t>Common stock, par value $0.01, Shares authorized: 50,000,000; Issued and outstanding: 17,386,393, 17,405,270 and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20" w:type="dxa"/>
            <w:vAlign w:val="bottom"/>
          </w:tcPr>
          <w:p>
            <w:pPr>
              <w:ind w:left="240"/>
              <w:spacing w:after="0"/>
              <w:rPr>
                <w:sz w:val="20"/>
                <w:szCs w:val="20"/>
                <w:color w:val="auto"/>
              </w:rPr>
            </w:pPr>
            <w:r>
              <w:rPr>
                <w:rFonts w:ascii="Arial" w:cs="Arial" w:eastAsia="Arial" w:hAnsi="Arial"/>
                <w:sz w:val="15"/>
                <w:szCs w:val="15"/>
                <w:color w:val="auto"/>
              </w:rPr>
              <w:t>19,198,941 shares, respectively</w:t>
            </w:r>
          </w:p>
        </w:tc>
        <w:tc>
          <w:tcPr>
            <w:tcW w:w="1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192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420" w:type="dxa"/>
            <w:vAlign w:val="bottom"/>
            <w:shd w:val="clear" w:color="auto" w:fill="C0FFFF"/>
          </w:tcPr>
          <w:p>
            <w:pPr>
              <w:ind w:left="100"/>
              <w:spacing w:after="0"/>
              <w:rPr>
                <w:sz w:val="20"/>
                <w:szCs w:val="20"/>
                <w:color w:val="auto"/>
              </w:rPr>
            </w:pPr>
            <w:r>
              <w:rPr>
                <w:rFonts w:ascii="Arial" w:cs="Arial" w:eastAsia="Arial" w:hAnsi="Arial"/>
                <w:sz w:val="15"/>
                <w:szCs w:val="15"/>
                <w:color w:val="auto"/>
              </w:rPr>
              <w:t>Additional paid-in capital</w:t>
            </w:r>
          </w:p>
        </w:tc>
        <w:tc>
          <w:tcPr>
            <w:tcW w:w="16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66,060</w:t>
            </w: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65,402</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72,979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ind w:left="100"/>
              <w:spacing w:after="0"/>
              <w:rPr>
                <w:sz w:val="20"/>
                <w:szCs w:val="20"/>
                <w:color w:val="auto"/>
              </w:rPr>
            </w:pPr>
            <w:r>
              <w:rPr>
                <w:rFonts w:ascii="Arial" w:cs="Arial" w:eastAsia="Arial" w:hAnsi="Arial"/>
                <w:sz w:val="15"/>
                <w:szCs w:val="15"/>
                <w:color w:val="auto"/>
              </w:rPr>
              <w:t>Accumulated other comprehensive loss</w:t>
            </w:r>
          </w:p>
        </w:tc>
        <w:tc>
          <w:tcPr>
            <w:tcW w:w="16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(9,082)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(10,165)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(7,580)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shd w:val="clear" w:color="auto" w:fill="C0FFFF"/>
          </w:tcPr>
          <w:p>
            <w:pPr>
              <w:ind w:left="100"/>
              <w:spacing w:after="0"/>
              <w:rPr>
                <w:sz w:val="20"/>
                <w:szCs w:val="20"/>
                <w:color w:val="auto"/>
              </w:rPr>
            </w:pPr>
            <w:r>
              <w:rPr>
                <w:rFonts w:ascii="Arial" w:cs="Arial" w:eastAsia="Arial" w:hAnsi="Arial"/>
                <w:sz w:val="15"/>
                <w:szCs w:val="15"/>
                <w:color w:val="auto"/>
              </w:rPr>
              <w:t>Retained earnings</w:t>
            </w:r>
          </w:p>
        </w:tc>
        <w:tc>
          <w:tcPr>
            <w:tcW w:w="16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65,266</w:t>
            </w: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73,832</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81,969</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7420" w:type="dxa"/>
            <w:vAlign w:val="bottom"/>
            <w:shd w:val="clear" w:color="auto" w:fill="C0FF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7420" w:type="dxa"/>
            <w:vAlign w:val="bottom"/>
          </w:tcPr>
          <w:p>
            <w:pPr>
              <w:ind w:left="380"/>
              <w:spacing w:after="0"/>
              <w:rPr>
                <w:sz w:val="20"/>
                <w:szCs w:val="20"/>
                <w:color w:val="auto"/>
              </w:rPr>
            </w:pPr>
            <w:r>
              <w:rPr>
                <w:rFonts w:ascii="Arial" w:cs="Arial" w:eastAsia="Arial" w:hAnsi="Arial"/>
                <w:sz w:val="15"/>
                <w:szCs w:val="15"/>
                <w:color w:val="auto"/>
              </w:rPr>
              <w:t>Total stockholders' equity</w:t>
            </w:r>
          </w:p>
        </w:tc>
        <w:tc>
          <w:tcPr>
            <w:tcW w:w="16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122,418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129,243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147,560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7420" w:type="dxa"/>
            <w:vAlign w:val="bottom"/>
            <w:shd w:val="clear" w:color="auto" w:fill="C0FFFF"/>
          </w:tcPr>
          <w:p>
            <w:pPr>
              <w:spacing w:after="0"/>
              <w:rPr>
                <w:sz w:val="20"/>
                <w:szCs w:val="20"/>
                <w:color w:val="auto"/>
              </w:rPr>
            </w:pPr>
            <w:r>
              <w:rPr>
                <w:rFonts w:ascii="Arial" w:cs="Arial" w:eastAsia="Arial" w:hAnsi="Arial"/>
                <w:sz w:val="15"/>
                <w:szCs w:val="15"/>
                <w:color w:val="auto"/>
              </w:rPr>
              <w:t>Total Liabilities and Stockholders' Equity</w:t>
            </w:r>
          </w:p>
        </w:tc>
        <w:tc>
          <w:tcPr>
            <w:tcW w:w="16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205,947</w:t>
            </w:r>
          </w:p>
        </w:tc>
        <w:tc>
          <w:tcPr>
            <w:tcW w:w="20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241,571</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246,549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b w:val="1"/>
          <w:bCs w:val="1"/>
          <w:color w:val="auto"/>
        </w:rPr>
        <w:t>BUILD-A-BEAR WORKSHOP, INC.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(Dollars 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6"/>
          </w:tcPr>
          <w:p>
            <w:pPr>
              <w:jc w:val="right"/>
              <w:ind w:right="700"/>
              <w:spacing w:after="0"/>
              <w:rPr>
                <w:sz w:val="20"/>
                <w:szCs w:val="20"/>
                <w:color w:val="auto"/>
              </w:rPr>
            </w:pPr>
            <w:r>
              <w:rPr>
                <w:rFonts w:ascii="Arial" w:cs="Arial" w:eastAsia="Arial" w:hAnsi="Arial"/>
                <w:sz w:val="15"/>
                <w:szCs w:val="15"/>
                <w:b w:val="1"/>
                <w:bCs w:val="1"/>
                <w:color w:val="auto"/>
              </w:rPr>
              <w:t>Thirteen weeks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6"/>
          </w:tcPr>
          <w:p>
            <w:pPr>
              <w:jc w:val="right"/>
              <w:ind w:right="580"/>
              <w:spacing w:after="0"/>
              <w:rPr>
                <w:sz w:val="20"/>
                <w:szCs w:val="20"/>
                <w:color w:val="auto"/>
              </w:rPr>
            </w:pPr>
            <w:r>
              <w:rPr>
                <w:rFonts w:ascii="Arial" w:cs="Arial" w:eastAsia="Arial" w:hAnsi="Arial"/>
                <w:sz w:val="15"/>
                <w:szCs w:val="15"/>
                <w:b w:val="1"/>
                <w:bCs w:val="1"/>
                <w:color w:val="auto"/>
              </w:rPr>
              <w:t>Twenty-six weeks 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5"/>
                <w:szCs w:val="15"/>
                <w:b w:val="1"/>
                <w:bCs w:val="1"/>
                <w:color w:val="auto"/>
                <w:w w:val="92"/>
              </w:rPr>
              <w:t>June 30, 2012</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4"/>
              </w:rPr>
              <w:t>July 2, 2011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5"/>
                <w:szCs w:val="15"/>
                <w:b w:val="1"/>
                <w:bCs w:val="1"/>
                <w:color w:val="auto"/>
                <w:w w:val="90"/>
              </w:rPr>
              <w:t>June 30, 2012</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4"/>
              </w:rPr>
              <w:t>July 2, 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660" w:type="dxa"/>
            <w:vAlign w:val="bottom"/>
            <w:shd w:val="clear" w:color="auto" w:fill="C0FFFF"/>
          </w:tcPr>
          <w:p>
            <w:pPr>
              <w:spacing w:after="0"/>
              <w:rPr>
                <w:sz w:val="20"/>
                <w:szCs w:val="20"/>
                <w:color w:val="auto"/>
              </w:rPr>
            </w:pPr>
            <w:r>
              <w:rPr>
                <w:rFonts w:ascii="Arial" w:cs="Arial" w:eastAsia="Arial" w:hAnsi="Arial"/>
                <w:sz w:val="15"/>
                <w:szCs w:val="15"/>
                <w:color w:val="auto"/>
              </w:rPr>
              <w:t>Revenues:</w:t>
            </w:r>
          </w:p>
        </w:tc>
        <w:tc>
          <w:tcPr>
            <w:tcW w:w="14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6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ind w:left="100"/>
              <w:spacing w:after="0"/>
              <w:rPr>
                <w:sz w:val="20"/>
                <w:szCs w:val="20"/>
                <w:color w:val="auto"/>
              </w:rPr>
            </w:pPr>
            <w:r>
              <w:rPr>
                <w:rFonts w:ascii="Arial" w:cs="Arial" w:eastAsia="Arial" w:hAnsi="Arial"/>
                <w:sz w:val="15"/>
                <w:szCs w:val="15"/>
                <w:color w:val="auto"/>
              </w:rPr>
              <w:t>Net retail sales</w:t>
            </w:r>
          </w:p>
        </w:tc>
        <w:tc>
          <w:tcPr>
            <w:tcW w:w="15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78,989</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80,391</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174,189</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174,550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shd w:val="clear" w:color="auto" w:fill="C0FFFF"/>
          </w:tcPr>
          <w:p>
            <w:pPr>
              <w:ind w:left="100"/>
              <w:spacing w:after="0"/>
              <w:rPr>
                <w:sz w:val="20"/>
                <w:szCs w:val="20"/>
                <w:color w:val="auto"/>
              </w:rPr>
            </w:pPr>
            <w:r>
              <w:rPr>
                <w:rFonts w:ascii="Arial" w:cs="Arial" w:eastAsia="Arial" w:hAnsi="Arial"/>
                <w:sz w:val="15"/>
                <w:szCs w:val="15"/>
                <w:color w:val="auto"/>
              </w:rPr>
              <w:t>Commercial revenue</w:t>
            </w:r>
          </w:p>
        </w:tc>
        <w:tc>
          <w:tcPr>
            <w:tcW w:w="14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705</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736</w:t>
            </w: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1,081</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1,841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ind w:left="100"/>
              <w:spacing w:after="0"/>
              <w:rPr>
                <w:sz w:val="20"/>
                <w:szCs w:val="20"/>
                <w:color w:val="auto"/>
              </w:rPr>
            </w:pPr>
            <w:r>
              <w:rPr>
                <w:rFonts w:ascii="Arial" w:cs="Arial" w:eastAsia="Arial" w:hAnsi="Arial"/>
                <w:sz w:val="15"/>
                <w:szCs w:val="15"/>
                <w:color w:val="auto"/>
              </w:rPr>
              <w:t>Franchise fees</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716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714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1,513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1,440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660" w:type="dxa"/>
            <w:vAlign w:val="bottom"/>
            <w:shd w:val="clear" w:color="auto" w:fill="C0FFFF"/>
          </w:tcPr>
          <w:p>
            <w:pPr>
              <w:ind w:left="240"/>
              <w:spacing w:after="0"/>
              <w:rPr>
                <w:sz w:val="20"/>
                <w:szCs w:val="20"/>
                <w:color w:val="auto"/>
              </w:rPr>
            </w:pPr>
            <w:r>
              <w:rPr>
                <w:rFonts w:ascii="Arial" w:cs="Arial" w:eastAsia="Arial" w:hAnsi="Arial"/>
                <w:sz w:val="15"/>
                <w:szCs w:val="15"/>
                <w:color w:val="auto"/>
              </w:rPr>
              <w:t>Total revenues</w:t>
            </w:r>
          </w:p>
        </w:tc>
        <w:tc>
          <w:tcPr>
            <w:tcW w:w="14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80,410</w:t>
            </w:r>
          </w:p>
        </w:tc>
        <w:tc>
          <w:tcPr>
            <w:tcW w:w="14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81,841</w:t>
            </w: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176,783</w:t>
            </w:r>
          </w:p>
        </w:tc>
        <w:tc>
          <w:tcPr>
            <w:tcW w:w="1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177,831</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660" w:type="dxa"/>
            <w:vAlign w:val="bottom"/>
            <w:tcBorders>
              <w:top w:val="single" w:sz="8" w:color="C0FFFF"/>
            </w:tcBorders>
          </w:tcPr>
          <w:p>
            <w:pPr>
              <w:spacing w:after="0"/>
              <w:rPr>
                <w:sz w:val="15"/>
                <w:szCs w:val="15"/>
                <w:color w:val="auto"/>
              </w:rPr>
            </w:pPr>
          </w:p>
        </w:tc>
        <w:tc>
          <w:tcPr>
            <w:tcW w:w="1400" w:type="dxa"/>
            <w:vAlign w:val="bottom"/>
            <w:tcBorders>
              <w:top w:val="single" w:sz="8" w:color="C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Borders>
              <w:top w:val="single" w:sz="8" w:color="C0FFFF"/>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0FFFF"/>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0FFFF"/>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C0FF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660" w:type="dxa"/>
            <w:vAlign w:val="bottom"/>
            <w:shd w:val="clear" w:color="auto" w:fill="C0FFFF"/>
          </w:tcPr>
          <w:p>
            <w:pPr>
              <w:spacing w:after="0"/>
              <w:rPr>
                <w:sz w:val="20"/>
                <w:szCs w:val="20"/>
                <w:color w:val="auto"/>
              </w:rPr>
            </w:pPr>
            <w:r>
              <w:rPr>
                <w:rFonts w:ascii="Arial" w:cs="Arial" w:eastAsia="Arial" w:hAnsi="Arial"/>
                <w:sz w:val="15"/>
                <w:szCs w:val="15"/>
                <w:color w:val="auto"/>
              </w:rPr>
              <w:t>Costs and expenses:</w:t>
            </w:r>
          </w:p>
        </w:tc>
        <w:tc>
          <w:tcPr>
            <w:tcW w:w="14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6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ind w:left="100"/>
              <w:spacing w:after="0"/>
              <w:rPr>
                <w:sz w:val="20"/>
                <w:szCs w:val="20"/>
                <w:color w:val="auto"/>
              </w:rPr>
            </w:pPr>
            <w:r>
              <w:rPr>
                <w:rFonts w:ascii="Arial" w:cs="Arial" w:eastAsia="Arial" w:hAnsi="Arial"/>
                <w:sz w:val="15"/>
                <w:szCs w:val="15"/>
                <w:color w:val="auto"/>
              </w:rPr>
              <w:t>Cost of merchandise sold</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51,704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51,926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109,170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110,151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shd w:val="clear" w:color="auto" w:fill="C0FFFF"/>
          </w:tcPr>
          <w:p>
            <w:pPr>
              <w:ind w:left="100"/>
              <w:spacing w:after="0"/>
              <w:rPr>
                <w:sz w:val="20"/>
                <w:szCs w:val="20"/>
                <w:color w:val="auto"/>
              </w:rPr>
            </w:pPr>
            <w:r>
              <w:rPr>
                <w:rFonts w:ascii="Arial" w:cs="Arial" w:eastAsia="Arial" w:hAnsi="Arial"/>
                <w:sz w:val="15"/>
                <w:szCs w:val="15"/>
                <w:color w:val="auto"/>
              </w:rPr>
              <w:t>Selling, general and administrative</w:t>
            </w:r>
          </w:p>
        </w:tc>
        <w:tc>
          <w:tcPr>
            <w:tcW w:w="14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37,075</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40,685</w:t>
            </w: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77,201</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81,996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ind w:left="100"/>
              <w:spacing w:after="0"/>
              <w:rPr>
                <w:sz w:val="20"/>
                <w:szCs w:val="20"/>
                <w:color w:val="auto"/>
              </w:rPr>
            </w:pPr>
            <w:r>
              <w:rPr>
                <w:rFonts w:ascii="Arial" w:cs="Arial" w:eastAsia="Arial" w:hAnsi="Arial"/>
                <w:sz w:val="15"/>
                <w:szCs w:val="15"/>
                <w:color w:val="auto"/>
              </w:rPr>
              <w:t>Interest expense (income), net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(149)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4660" w:type="dxa"/>
            <w:vAlign w:val="bottom"/>
            <w:shd w:val="clear" w:color="auto" w:fill="C0FFFF"/>
          </w:tcPr>
          <w:p>
            <w:pPr>
              <w:ind w:left="240"/>
              <w:spacing w:after="0"/>
              <w:rPr>
                <w:sz w:val="20"/>
                <w:szCs w:val="20"/>
                <w:color w:val="auto"/>
              </w:rPr>
            </w:pPr>
            <w:r>
              <w:rPr>
                <w:rFonts w:ascii="Arial" w:cs="Arial" w:eastAsia="Arial" w:hAnsi="Arial"/>
                <w:sz w:val="15"/>
                <w:szCs w:val="15"/>
                <w:color w:val="auto"/>
              </w:rPr>
              <w:t>Total costs and expenses</w:t>
            </w:r>
          </w:p>
        </w:tc>
        <w:tc>
          <w:tcPr>
            <w:tcW w:w="14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88,716</w:t>
            </w:r>
          </w:p>
        </w:tc>
        <w:tc>
          <w:tcPr>
            <w:tcW w:w="14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92,506</w:t>
            </w:r>
          </w:p>
        </w:tc>
        <w:tc>
          <w:tcPr>
            <w:tcW w:w="100" w:type="dxa"/>
            <w:vAlign w:val="bottom"/>
            <w:shd w:val="clear" w:color="auto" w:fill="C0FFFF"/>
          </w:tcPr>
          <w:p>
            <w:pPr>
              <w:spacing w:after="0"/>
              <w:rPr>
                <w:sz w:val="16"/>
                <w:szCs w:val="16"/>
                <w:color w:val="auto"/>
              </w:rPr>
            </w:pPr>
          </w:p>
        </w:tc>
        <w:tc>
          <w:tcPr>
            <w:tcW w:w="100" w:type="dxa"/>
            <w:vAlign w:val="bottom"/>
            <w:shd w:val="clear" w:color="auto" w:fill="C0FFFF"/>
          </w:tcPr>
          <w:p>
            <w:pPr>
              <w:spacing w:after="0"/>
              <w:rPr>
                <w:sz w:val="16"/>
                <w:szCs w:val="16"/>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186,222</w:t>
            </w:r>
          </w:p>
        </w:tc>
        <w:tc>
          <w:tcPr>
            <w:tcW w:w="100" w:type="dxa"/>
            <w:vAlign w:val="bottom"/>
            <w:shd w:val="clear" w:color="auto" w:fill="C0FFFF"/>
          </w:tcPr>
          <w:p>
            <w:pPr>
              <w:spacing w:after="0"/>
              <w:rPr>
                <w:sz w:val="16"/>
                <w:szCs w:val="16"/>
                <w:color w:val="auto"/>
              </w:rPr>
            </w:pPr>
          </w:p>
        </w:tc>
        <w:tc>
          <w:tcPr>
            <w:tcW w:w="120" w:type="dxa"/>
            <w:vAlign w:val="bottom"/>
            <w:shd w:val="clear" w:color="auto" w:fill="C0FFFF"/>
          </w:tcPr>
          <w:p>
            <w:pPr>
              <w:spacing w:after="0"/>
              <w:rPr>
                <w:sz w:val="16"/>
                <w:szCs w:val="16"/>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192,146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Borders>
              <w:top w:val="single" w:sz="8" w:color="C0FFFF"/>
            </w:tcBorders>
          </w:tcPr>
          <w:p>
            <w:pPr>
              <w:spacing w:after="0"/>
              <w:rPr>
                <w:sz w:val="15"/>
                <w:szCs w:val="15"/>
                <w:color w:val="auto"/>
              </w:rPr>
            </w:pPr>
          </w:p>
        </w:tc>
        <w:tc>
          <w:tcPr>
            <w:tcW w:w="1400" w:type="dxa"/>
            <w:vAlign w:val="bottom"/>
            <w:tcBorders>
              <w:top w:val="single" w:sz="8" w:color="C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Borders>
              <w:top w:val="single" w:sz="8" w:color="C0FFFF"/>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40" w:type="dxa"/>
            <w:vAlign w:val="bottom"/>
            <w:tcBorders>
              <w:top w:val="single" w:sz="8" w:color="C0FFFF"/>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Borders>
              <w:top w:val="single" w:sz="8" w:color="C0FFFF"/>
            </w:tcBorders>
          </w:tcPr>
          <w:p>
            <w:pPr>
              <w:spacing w:after="0"/>
              <w:rPr>
                <w:sz w:val="15"/>
                <w:szCs w:val="15"/>
                <w:color w:val="auto"/>
              </w:rPr>
            </w:pPr>
          </w:p>
        </w:tc>
        <w:tc>
          <w:tcPr>
            <w:tcW w:w="100" w:type="dxa"/>
            <w:vAlign w:val="bottom"/>
            <w:tcBorders>
              <w:top w:val="single" w:sz="8" w:color="C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C0FF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shd w:val="clear" w:color="auto" w:fill="C0FFFF"/>
          </w:tcPr>
          <w:p>
            <w:pPr>
              <w:ind w:left="240"/>
              <w:spacing w:after="0"/>
              <w:rPr>
                <w:sz w:val="20"/>
                <w:szCs w:val="20"/>
                <w:color w:val="auto"/>
              </w:rPr>
            </w:pPr>
            <w:r>
              <w:rPr>
                <w:rFonts w:ascii="Arial" w:cs="Arial" w:eastAsia="Arial" w:hAnsi="Arial"/>
                <w:sz w:val="15"/>
                <w:szCs w:val="15"/>
                <w:color w:val="auto"/>
              </w:rPr>
              <w:t>Loss before income taxes</w:t>
            </w:r>
          </w:p>
        </w:tc>
        <w:tc>
          <w:tcPr>
            <w:tcW w:w="14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(8,306)</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(10,665)</w:t>
            </w: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(9,439)</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(14,315)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Arial" w:cs="Arial" w:eastAsia="Arial" w:hAnsi="Arial"/>
                <w:sz w:val="15"/>
                <w:szCs w:val="15"/>
                <w:color w:val="auto"/>
              </w:rPr>
              <w:t>Income tax benefit</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(755)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(3,990)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(871)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(5,388)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660" w:type="dxa"/>
            <w:vAlign w:val="bottom"/>
            <w:shd w:val="clear" w:color="auto" w:fill="C0FFFF"/>
          </w:tcPr>
          <w:p>
            <w:pPr>
              <w:ind w:left="240"/>
              <w:spacing w:after="0"/>
              <w:rPr>
                <w:sz w:val="20"/>
                <w:szCs w:val="20"/>
                <w:color w:val="auto"/>
              </w:rPr>
            </w:pPr>
            <w:r>
              <w:rPr>
                <w:rFonts w:ascii="Arial" w:cs="Arial" w:eastAsia="Arial" w:hAnsi="Arial"/>
                <w:sz w:val="15"/>
                <w:szCs w:val="15"/>
                <w:color w:val="auto"/>
              </w:rPr>
              <w:t>Net loss</w:t>
            </w:r>
          </w:p>
        </w:tc>
        <w:tc>
          <w:tcPr>
            <w:tcW w:w="1500" w:type="dxa"/>
            <w:vAlign w:val="bottom"/>
            <w:gridSpan w:val="2"/>
            <w:shd w:val="clear" w:color="auto" w:fill="C0FFFF"/>
          </w:tcPr>
          <w:p>
            <w:pPr>
              <w:jc w:val="right"/>
              <w:ind w:right="2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(7,551)</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(6,675)</w:t>
            </w:r>
          </w:p>
        </w:tc>
        <w:tc>
          <w:tcPr>
            <w:tcW w:w="20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(8,568)</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(8,927)</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660" w:type="dxa"/>
            <w:vAlign w:val="bottom"/>
            <w:tcBorders>
              <w:top w:val="single" w:sz="8" w:color="C0FFFF"/>
            </w:tcBorders>
          </w:tcPr>
          <w:p>
            <w:pPr>
              <w:spacing w:after="0"/>
              <w:rPr>
                <w:sz w:val="14"/>
                <w:szCs w:val="14"/>
                <w:color w:val="auto"/>
              </w:rPr>
            </w:pPr>
          </w:p>
        </w:tc>
        <w:tc>
          <w:tcPr>
            <w:tcW w:w="1400" w:type="dxa"/>
            <w:vAlign w:val="bottom"/>
            <w:tcBorders>
              <w:top w:val="single" w:sz="8" w:color="C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0FFFF"/>
            </w:tcBorders>
          </w:tcPr>
          <w:p>
            <w:pPr>
              <w:spacing w:after="0"/>
              <w:rPr>
                <w:sz w:val="14"/>
                <w:szCs w:val="14"/>
                <w:color w:val="auto"/>
              </w:rPr>
            </w:pPr>
          </w:p>
        </w:tc>
        <w:tc>
          <w:tcPr>
            <w:tcW w:w="100" w:type="dxa"/>
            <w:vAlign w:val="bottom"/>
            <w:tcBorders>
              <w:top w:val="single" w:sz="8" w:color="C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C0FFFF"/>
            </w:tcBorders>
          </w:tcPr>
          <w:p>
            <w:pPr>
              <w:spacing w:after="0"/>
              <w:rPr>
                <w:sz w:val="14"/>
                <w:szCs w:val="14"/>
                <w:color w:val="auto"/>
              </w:rPr>
            </w:pPr>
          </w:p>
        </w:tc>
        <w:tc>
          <w:tcPr>
            <w:tcW w:w="100" w:type="dxa"/>
            <w:vAlign w:val="bottom"/>
            <w:tcBorders>
              <w:top w:val="single" w:sz="8" w:color="C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Borders>
              <w:top w:val="single" w:sz="8" w:color="C0FFFF"/>
            </w:tcBorders>
          </w:tcPr>
          <w:p>
            <w:pPr>
              <w:spacing w:after="0"/>
              <w:rPr>
                <w:sz w:val="14"/>
                <w:szCs w:val="14"/>
                <w:color w:val="auto"/>
              </w:rPr>
            </w:pPr>
          </w:p>
        </w:tc>
        <w:tc>
          <w:tcPr>
            <w:tcW w:w="100" w:type="dxa"/>
            <w:vAlign w:val="bottom"/>
            <w:tcBorders>
              <w:top w:val="single" w:sz="8" w:color="C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C0FFFF"/>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660" w:type="dxa"/>
            <w:vAlign w:val="bottom"/>
            <w:shd w:val="clear" w:color="auto" w:fill="C0FFFF"/>
          </w:tcPr>
          <w:p>
            <w:pPr>
              <w:spacing w:after="0"/>
              <w:rPr>
                <w:sz w:val="20"/>
                <w:szCs w:val="20"/>
                <w:color w:val="auto"/>
              </w:rPr>
            </w:pPr>
            <w:r>
              <w:rPr>
                <w:rFonts w:ascii="Arial" w:cs="Arial" w:eastAsia="Arial" w:hAnsi="Arial"/>
                <w:sz w:val="15"/>
                <w:szCs w:val="15"/>
                <w:color w:val="auto"/>
              </w:rPr>
              <w:t>Loss per common share:</w:t>
            </w:r>
          </w:p>
        </w:tc>
        <w:tc>
          <w:tcPr>
            <w:tcW w:w="14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6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ind w:left="100"/>
              <w:spacing w:after="0"/>
              <w:rPr>
                <w:sz w:val="20"/>
                <w:szCs w:val="20"/>
                <w:color w:val="auto"/>
              </w:rPr>
            </w:pPr>
            <w:r>
              <w:rPr>
                <w:rFonts w:ascii="Arial" w:cs="Arial" w:eastAsia="Arial" w:hAnsi="Arial"/>
                <w:sz w:val="15"/>
                <w:szCs w:val="15"/>
                <w:color w:val="auto"/>
              </w:rPr>
              <w:t>Basic</w:t>
            </w:r>
          </w:p>
        </w:tc>
        <w:tc>
          <w:tcPr>
            <w:tcW w:w="15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5"/>
                <w:szCs w:val="15"/>
                <w:color w:val="auto"/>
              </w:rPr>
              <w:t>(0.46)</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(0.37)</w:t>
            </w:r>
          </w:p>
        </w:tc>
        <w:tc>
          <w:tcPr>
            <w:tcW w:w="20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(0.53)</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660" w:type="dxa"/>
            <w:vAlign w:val="bottom"/>
            <w:shd w:val="clear" w:color="auto" w:fill="C0FFFF"/>
          </w:tcPr>
          <w:p>
            <w:pPr>
              <w:ind w:left="100"/>
              <w:spacing w:after="0" w:line="167" w:lineRule="exact"/>
              <w:rPr>
                <w:sz w:val="20"/>
                <w:szCs w:val="20"/>
                <w:color w:val="auto"/>
              </w:rPr>
            </w:pPr>
            <w:r>
              <w:rPr>
                <w:rFonts w:ascii="Arial" w:cs="Arial" w:eastAsia="Arial" w:hAnsi="Arial"/>
                <w:sz w:val="15"/>
                <w:szCs w:val="15"/>
                <w:color w:val="auto"/>
              </w:rPr>
              <w:t>Diluted</w:t>
            </w:r>
          </w:p>
        </w:tc>
        <w:tc>
          <w:tcPr>
            <w:tcW w:w="1500" w:type="dxa"/>
            <w:vAlign w:val="bottom"/>
            <w:gridSpan w:val="2"/>
            <w:shd w:val="clear" w:color="auto" w:fill="C0FFFF"/>
          </w:tcPr>
          <w:p>
            <w:pPr>
              <w:jc w:val="right"/>
              <w:ind w:right="20"/>
              <w:spacing w:after="0" w:line="167" w:lineRule="exact"/>
              <w:rPr>
                <w:sz w:val="20"/>
                <w:szCs w:val="20"/>
                <w:color w:val="auto"/>
              </w:rPr>
            </w:pPr>
            <w:r>
              <w:rPr>
                <w:rFonts w:ascii="Arial" w:cs="Arial" w:eastAsia="Arial" w:hAnsi="Arial"/>
                <w:sz w:val="15"/>
                <w:szCs w:val="15"/>
                <w:color w:val="auto"/>
              </w:rPr>
              <w:t>$</w:t>
            </w:r>
          </w:p>
        </w:tc>
        <w:tc>
          <w:tcPr>
            <w:tcW w:w="1200" w:type="dxa"/>
            <w:vAlign w:val="bottom"/>
            <w:gridSpan w:val="2"/>
            <w:shd w:val="clear" w:color="auto" w:fill="C0FFFF"/>
          </w:tcPr>
          <w:p>
            <w:pPr>
              <w:jc w:val="right"/>
              <w:ind w:right="100"/>
              <w:spacing w:after="0" w:line="167" w:lineRule="exact"/>
              <w:rPr>
                <w:sz w:val="20"/>
                <w:szCs w:val="20"/>
                <w:color w:val="auto"/>
              </w:rPr>
            </w:pPr>
            <w:r>
              <w:rPr>
                <w:rFonts w:ascii="Arial" w:cs="Arial" w:eastAsia="Arial" w:hAnsi="Arial"/>
                <w:sz w:val="15"/>
                <w:szCs w:val="15"/>
                <w:color w:val="auto"/>
              </w:rPr>
              <w:t>(0.46)</w:t>
            </w:r>
          </w:p>
        </w:tc>
        <w:tc>
          <w:tcPr>
            <w:tcW w:w="220" w:type="dxa"/>
            <w:vAlign w:val="bottom"/>
            <w:gridSpan w:val="2"/>
            <w:shd w:val="clear" w:color="auto" w:fill="C0FFFF"/>
          </w:tcPr>
          <w:p>
            <w:pPr>
              <w:jc w:val="right"/>
              <w:ind w:right="60"/>
              <w:spacing w:after="0" w:line="167"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0FFFF"/>
          </w:tcPr>
          <w:p>
            <w:pPr>
              <w:jc w:val="right"/>
              <w:ind w:right="80"/>
              <w:spacing w:after="0" w:line="167" w:lineRule="exact"/>
              <w:rPr>
                <w:sz w:val="20"/>
                <w:szCs w:val="20"/>
                <w:color w:val="auto"/>
              </w:rPr>
            </w:pPr>
            <w:r>
              <w:rPr>
                <w:rFonts w:ascii="Arial" w:cs="Arial" w:eastAsia="Arial" w:hAnsi="Arial"/>
                <w:sz w:val="15"/>
                <w:szCs w:val="15"/>
                <w:color w:val="auto"/>
              </w:rPr>
              <w:t>(0.37)</w:t>
            </w:r>
          </w:p>
        </w:tc>
        <w:tc>
          <w:tcPr>
            <w:tcW w:w="200" w:type="dxa"/>
            <w:vAlign w:val="bottom"/>
            <w:gridSpan w:val="2"/>
            <w:shd w:val="clear" w:color="auto" w:fill="C0FFFF"/>
          </w:tcPr>
          <w:p>
            <w:pPr>
              <w:jc w:val="right"/>
              <w:ind w:right="40"/>
              <w:spacing w:after="0" w:line="167"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0FFFF"/>
          </w:tcPr>
          <w:p>
            <w:pPr>
              <w:jc w:val="right"/>
              <w:ind w:right="80"/>
              <w:spacing w:after="0" w:line="167" w:lineRule="exact"/>
              <w:rPr>
                <w:sz w:val="20"/>
                <w:szCs w:val="20"/>
                <w:color w:val="auto"/>
              </w:rPr>
            </w:pPr>
            <w:r>
              <w:rPr>
                <w:rFonts w:ascii="Arial" w:cs="Arial" w:eastAsia="Arial" w:hAnsi="Arial"/>
                <w:sz w:val="15"/>
                <w:szCs w:val="15"/>
                <w:color w:val="auto"/>
              </w:rPr>
              <w:t>(0.53)</w:t>
            </w:r>
          </w:p>
        </w:tc>
        <w:tc>
          <w:tcPr>
            <w:tcW w:w="220" w:type="dxa"/>
            <w:vAlign w:val="bottom"/>
            <w:gridSpan w:val="2"/>
            <w:shd w:val="clear" w:color="auto" w:fill="C0FFFF"/>
          </w:tcPr>
          <w:p>
            <w:pPr>
              <w:jc w:val="right"/>
              <w:ind w:right="60"/>
              <w:spacing w:after="0" w:line="167" w:lineRule="exact"/>
              <w:rPr>
                <w:sz w:val="20"/>
                <w:szCs w:val="20"/>
                <w:color w:val="auto"/>
              </w:rPr>
            </w:pPr>
            <w:r>
              <w:rPr>
                <w:rFonts w:ascii="Arial" w:cs="Arial" w:eastAsia="Arial" w:hAnsi="Arial"/>
                <w:sz w:val="15"/>
                <w:szCs w:val="15"/>
                <w:color w:val="auto"/>
              </w:rPr>
              <w:t>$</w:t>
            </w:r>
          </w:p>
        </w:tc>
        <w:tc>
          <w:tcPr>
            <w:tcW w:w="1120" w:type="dxa"/>
            <w:vAlign w:val="bottom"/>
            <w:gridSpan w:val="2"/>
            <w:shd w:val="clear" w:color="auto" w:fill="C0FFFF"/>
          </w:tcPr>
          <w:p>
            <w:pPr>
              <w:jc w:val="right"/>
              <w:ind w:right="60"/>
              <w:spacing w:after="0" w:line="167" w:lineRule="exact"/>
              <w:rPr>
                <w:sz w:val="20"/>
                <w:szCs w:val="20"/>
                <w:color w:val="auto"/>
              </w:rPr>
            </w:pPr>
            <w:r>
              <w:rPr>
                <w:rFonts w:ascii="Arial" w:cs="Arial" w:eastAsia="Arial" w:hAnsi="Arial"/>
                <w:sz w:val="15"/>
                <w:szCs w:val="15"/>
                <w:color w:val="auto"/>
              </w:rPr>
              <w:t>(0.50)</w:t>
            </w:r>
          </w:p>
        </w:tc>
        <w:tc>
          <w:tcPr>
            <w:tcW w:w="0" w:type="dxa"/>
            <w:vAlign w:val="bottom"/>
          </w:tcPr>
          <w:p>
            <w:pPr>
              <w:spacing w:after="0"/>
              <w:rPr>
                <w:sz w:val="1"/>
                <w:szCs w:val="1"/>
                <w:color w:val="auto"/>
              </w:rPr>
            </w:pPr>
          </w:p>
        </w:tc>
      </w:tr>
      <w:tr>
        <w:trPr>
          <w:trHeight w:val="167"/>
        </w:trPr>
        <w:tc>
          <w:tcPr>
            <w:tcW w:w="20" w:type="dxa"/>
            <w:vAlign w:val="bottom"/>
            <w:vMerge w:val="restart"/>
          </w:tcPr>
          <w:p>
            <w:pPr>
              <w:spacing w:after="0"/>
              <w:rPr>
                <w:sz w:val="14"/>
                <w:szCs w:val="14"/>
                <w:color w:val="auto"/>
              </w:rPr>
            </w:pPr>
          </w:p>
        </w:tc>
        <w:tc>
          <w:tcPr>
            <w:tcW w:w="4660" w:type="dxa"/>
            <w:vAlign w:val="bottom"/>
            <w:tcBorders>
              <w:top w:val="single" w:sz="8" w:color="C0FFFF"/>
            </w:tcBorders>
          </w:tcPr>
          <w:p>
            <w:pPr>
              <w:spacing w:after="0"/>
              <w:rPr>
                <w:sz w:val="14"/>
                <w:szCs w:val="14"/>
                <w:color w:val="auto"/>
              </w:rPr>
            </w:pPr>
          </w:p>
        </w:tc>
        <w:tc>
          <w:tcPr>
            <w:tcW w:w="1400" w:type="dxa"/>
            <w:vAlign w:val="bottom"/>
            <w:tcBorders>
              <w:top w:val="single" w:sz="8" w:color="C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C0FFFF"/>
            </w:tcBorders>
          </w:tcPr>
          <w:p>
            <w:pPr>
              <w:spacing w:after="0"/>
              <w:rPr>
                <w:sz w:val="14"/>
                <w:szCs w:val="14"/>
                <w:color w:val="auto"/>
              </w:rPr>
            </w:pPr>
          </w:p>
        </w:tc>
        <w:tc>
          <w:tcPr>
            <w:tcW w:w="100" w:type="dxa"/>
            <w:vAlign w:val="bottom"/>
            <w:tcBorders>
              <w:top w:val="single" w:sz="8" w:color="C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40" w:type="dxa"/>
            <w:vAlign w:val="bottom"/>
            <w:tcBorders>
              <w:top w:val="single" w:sz="8" w:color="C0FFFF"/>
            </w:tcBorders>
          </w:tcPr>
          <w:p>
            <w:pPr>
              <w:spacing w:after="0"/>
              <w:rPr>
                <w:sz w:val="14"/>
                <w:szCs w:val="14"/>
                <w:color w:val="auto"/>
              </w:rPr>
            </w:pPr>
          </w:p>
        </w:tc>
        <w:tc>
          <w:tcPr>
            <w:tcW w:w="100" w:type="dxa"/>
            <w:vAlign w:val="bottom"/>
            <w:tcBorders>
              <w:top w:val="single" w:sz="8" w:color="C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Borders>
              <w:top w:val="single" w:sz="8" w:color="C0FFFF"/>
            </w:tcBorders>
          </w:tcPr>
          <w:p>
            <w:pPr>
              <w:spacing w:after="0"/>
              <w:rPr>
                <w:sz w:val="14"/>
                <w:szCs w:val="14"/>
                <w:color w:val="auto"/>
              </w:rPr>
            </w:pPr>
          </w:p>
        </w:tc>
        <w:tc>
          <w:tcPr>
            <w:tcW w:w="100" w:type="dxa"/>
            <w:vAlign w:val="bottom"/>
            <w:tcBorders>
              <w:top w:val="single" w:sz="8" w:color="C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C0FFFF"/>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660" w:type="dxa"/>
            <w:vAlign w:val="bottom"/>
            <w:shd w:val="clear" w:color="auto" w:fill="C0FFFF"/>
          </w:tcPr>
          <w:p>
            <w:pPr>
              <w:spacing w:after="0"/>
              <w:rPr>
                <w:sz w:val="20"/>
                <w:szCs w:val="20"/>
                <w:color w:val="auto"/>
              </w:rPr>
            </w:pPr>
            <w:r>
              <w:rPr>
                <w:rFonts w:ascii="Arial" w:cs="Arial" w:eastAsia="Arial" w:hAnsi="Arial"/>
                <w:sz w:val="15"/>
                <w:szCs w:val="15"/>
                <w:color w:val="auto"/>
              </w:rPr>
              <w:t>Shares used in computing common per share amounts:</w:t>
            </w:r>
          </w:p>
        </w:tc>
        <w:tc>
          <w:tcPr>
            <w:tcW w:w="14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6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tcPr>
          <w:p>
            <w:pPr>
              <w:ind w:left="100"/>
              <w:spacing w:after="0"/>
              <w:rPr>
                <w:sz w:val="20"/>
                <w:szCs w:val="20"/>
                <w:color w:val="auto"/>
              </w:rPr>
            </w:pPr>
            <w:r>
              <w:rPr>
                <w:rFonts w:ascii="Arial" w:cs="Arial" w:eastAsia="Arial" w:hAnsi="Arial"/>
                <w:sz w:val="15"/>
                <w:szCs w:val="15"/>
                <w:color w:val="auto"/>
              </w:rPr>
              <w:t>Basic</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5"/>
                <w:szCs w:val="15"/>
                <w:color w:val="auto"/>
              </w:rPr>
              <w:t>16,458,889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5"/>
                <w:szCs w:val="15"/>
                <w:color w:val="auto"/>
              </w:rPr>
              <w:t>17,839,349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16,248,884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17,964,763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660" w:type="dxa"/>
            <w:vAlign w:val="bottom"/>
            <w:shd w:val="clear" w:color="auto" w:fill="C0FFFF"/>
          </w:tcPr>
          <w:p>
            <w:pPr>
              <w:ind w:left="100"/>
              <w:spacing w:after="0"/>
              <w:rPr>
                <w:sz w:val="20"/>
                <w:szCs w:val="20"/>
                <w:color w:val="auto"/>
              </w:rPr>
            </w:pPr>
            <w:r>
              <w:rPr>
                <w:rFonts w:ascii="Arial" w:cs="Arial" w:eastAsia="Arial" w:hAnsi="Arial"/>
                <w:sz w:val="15"/>
                <w:szCs w:val="15"/>
                <w:color w:val="auto"/>
              </w:rPr>
              <w:t>Diluted</w:t>
            </w:r>
          </w:p>
        </w:tc>
        <w:tc>
          <w:tcPr>
            <w:tcW w:w="14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16,458,889</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17,839,349</w:t>
            </w:r>
          </w:p>
        </w:tc>
        <w:tc>
          <w:tcPr>
            <w:tcW w:w="1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6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16,248,884</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17,964,763</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4660" w:type="dxa"/>
            <w:vAlign w:val="bottom"/>
            <w:shd w:val="clear" w:color="auto" w:fill="C0FFFF"/>
          </w:tcPr>
          <w:p>
            <w:pPr>
              <w:spacing w:after="0"/>
              <w:rPr>
                <w:sz w:val="20"/>
                <w:szCs w:val="20"/>
                <w:color w:val="auto"/>
              </w:rPr>
            </w:pPr>
            <w:r>
              <w:rPr>
                <w:rFonts w:ascii="Arial" w:cs="Arial" w:eastAsia="Arial" w:hAnsi="Arial"/>
                <w:sz w:val="15"/>
                <w:szCs w:val="15"/>
                <w:color w:val="auto"/>
              </w:rPr>
              <w:t>Comprehensive income</w:t>
            </w:r>
          </w:p>
        </w:tc>
        <w:tc>
          <w:tcPr>
            <w:tcW w:w="1500" w:type="dxa"/>
            <w:vAlign w:val="bottom"/>
            <w:gridSpan w:val="2"/>
            <w:shd w:val="clear" w:color="auto" w:fill="C0FFFF"/>
          </w:tcPr>
          <w:p>
            <w:pPr>
              <w:jc w:val="right"/>
              <w:ind w:right="20"/>
              <w:spacing w:after="0"/>
              <w:rPr>
                <w:sz w:val="20"/>
                <w:szCs w:val="20"/>
                <w:color w:val="auto"/>
              </w:rPr>
            </w:pPr>
            <w:r>
              <w:rPr>
                <w:rFonts w:ascii="Arial" w:cs="Arial" w:eastAsia="Arial" w:hAnsi="Arial"/>
                <w:sz w:val="15"/>
                <w:szCs w:val="15"/>
                <w:color w:val="auto"/>
              </w:rPr>
              <w:t>$</w:t>
            </w:r>
          </w:p>
        </w:tc>
        <w:tc>
          <w:tcPr>
            <w:tcW w:w="120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(8,944)</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(6,653)</w:t>
            </w:r>
          </w:p>
        </w:tc>
        <w:tc>
          <w:tcPr>
            <w:tcW w:w="20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(7,485)</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(6,547)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0FFFF"/>
            </w:tcBorders>
            <w:shd w:val="clear" w:color="auto" w:fill="C0FFFF"/>
          </w:tcPr>
          <w:p>
            <w:pPr>
              <w:spacing w:after="0" w:line="20" w:lineRule="exact"/>
              <w:rPr>
                <w:sz w:val="1"/>
                <w:szCs w:val="1"/>
                <w:color w:val="auto"/>
              </w:rPr>
            </w:pPr>
          </w:p>
        </w:tc>
        <w:tc>
          <w:tcPr>
            <w:tcW w:w="140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0FFFF"/>
            </w:tcBorders>
            <w:shd w:val="clear" w:color="auto" w:fill="C0FFFF"/>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658" w:right="21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5"/>
          <w:szCs w:val="15"/>
          <w:b w:val="1"/>
          <w:bCs w:val="1"/>
          <w:color w:val="auto"/>
        </w:rPr>
        <w:t>BUILD-A-BEAR WORKSHOP, INC. AND SUBSIDIARIES</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(Dollars 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20" w:type="dxa"/>
            <w:vAlign w:val="bottom"/>
            <w:gridSpan w:val="5"/>
          </w:tcPr>
          <w:p>
            <w:pPr>
              <w:jc w:val="right"/>
              <w:ind w:right="940"/>
              <w:spacing w:after="0"/>
              <w:rPr>
                <w:sz w:val="20"/>
                <w:szCs w:val="20"/>
                <w:color w:val="auto"/>
              </w:rPr>
            </w:pPr>
            <w:r>
              <w:rPr>
                <w:rFonts w:ascii="Arial" w:cs="Arial" w:eastAsia="Arial" w:hAnsi="Arial"/>
                <w:sz w:val="15"/>
                <w:szCs w:val="15"/>
                <w:b w:val="1"/>
                <w:bCs w:val="1"/>
                <w:color w:val="auto"/>
              </w:rPr>
              <w:t>Twenty-six weeks ended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5"/>
                <w:szCs w:val="15"/>
                <w:b w:val="1"/>
                <w:bCs w:val="1"/>
                <w:color w:val="auto"/>
                <w:w w:val="98"/>
              </w:rPr>
              <w:t>June 30, 2012</w:t>
            </w: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July 2, 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8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5"/>
                <w:szCs w:val="15"/>
                <w:color w:val="auto"/>
              </w:rPr>
              <w:t>Cash flows from operating activities:</w:t>
            </w:r>
          </w:p>
        </w:tc>
        <w:tc>
          <w:tcPr>
            <w:tcW w:w="200" w:type="dxa"/>
            <w:vAlign w:val="bottom"/>
            <w:shd w:val="clear" w:color="auto" w:fill="C0FFFF"/>
          </w:tcPr>
          <w:p>
            <w:pPr>
              <w:spacing w:after="0"/>
              <w:rPr>
                <w:sz w:val="15"/>
                <w:szCs w:val="15"/>
                <w:color w:val="auto"/>
              </w:rPr>
            </w:pPr>
          </w:p>
        </w:tc>
        <w:tc>
          <w:tcPr>
            <w:tcW w:w="13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26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100"/>
              <w:spacing w:after="0"/>
              <w:rPr>
                <w:sz w:val="20"/>
                <w:szCs w:val="20"/>
                <w:color w:val="auto"/>
              </w:rPr>
            </w:pPr>
            <w:r>
              <w:rPr>
                <w:rFonts w:ascii="Arial" w:cs="Arial" w:eastAsia="Arial" w:hAnsi="Arial"/>
                <w:sz w:val="15"/>
                <w:szCs w:val="15"/>
                <w:color w:val="auto"/>
              </w:rPr>
              <w:t>Net loss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80"/>
              <w:spacing w:after="0"/>
              <w:rPr>
                <w:sz w:val="20"/>
                <w:szCs w:val="20"/>
                <w:color w:val="auto"/>
              </w:rPr>
            </w:pPr>
            <w:r>
              <w:rPr>
                <w:rFonts w:ascii="Arial" w:cs="Arial" w:eastAsia="Arial" w:hAnsi="Arial"/>
                <w:sz w:val="15"/>
                <w:szCs w:val="15"/>
                <w:color w:val="auto"/>
              </w:rPr>
              <w:t>(8,568)</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(8,927)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ind w:left="10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200" w:type="dxa"/>
            <w:vAlign w:val="bottom"/>
            <w:shd w:val="clear" w:color="auto" w:fill="C0FFFF"/>
          </w:tcPr>
          <w:p>
            <w:pPr>
              <w:spacing w:after="0"/>
              <w:rPr>
                <w:sz w:val="15"/>
                <w:szCs w:val="15"/>
                <w:color w:val="auto"/>
              </w:rPr>
            </w:pPr>
          </w:p>
        </w:tc>
        <w:tc>
          <w:tcPr>
            <w:tcW w:w="13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26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380"/>
              <w:spacing w:after="0"/>
              <w:rPr>
                <w:sz w:val="20"/>
                <w:szCs w:val="20"/>
                <w:color w:val="auto"/>
              </w:rPr>
            </w:pPr>
            <w:r>
              <w:rPr>
                <w:rFonts w:ascii="Arial" w:cs="Arial" w:eastAsia="Arial" w:hAnsi="Arial"/>
                <w:sz w:val="15"/>
                <w:szCs w:val="15"/>
                <w:color w:val="auto"/>
              </w:rPr>
              <w:t>Depreciation and amortization</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10,636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12,730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ind w:left="380"/>
              <w:spacing w:after="0"/>
              <w:rPr>
                <w:sz w:val="20"/>
                <w:szCs w:val="20"/>
                <w:color w:val="auto"/>
              </w:rPr>
            </w:pPr>
            <w:r>
              <w:rPr>
                <w:rFonts w:ascii="Arial" w:cs="Arial" w:eastAsia="Arial" w:hAnsi="Arial"/>
                <w:sz w:val="15"/>
                <w:szCs w:val="15"/>
                <w:color w:val="auto"/>
              </w:rPr>
              <w:t>Stock-based compensation</w:t>
            </w:r>
          </w:p>
        </w:tc>
        <w:tc>
          <w:tcPr>
            <w:tcW w:w="200" w:type="dxa"/>
            <w:vAlign w:val="bottom"/>
            <w:shd w:val="clear" w:color="auto" w:fill="C0FFFF"/>
          </w:tcPr>
          <w:p>
            <w:pPr>
              <w:spacing w:after="0"/>
              <w:rPr>
                <w:sz w:val="15"/>
                <w:szCs w:val="15"/>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2,013</w:t>
            </w: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2,389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380"/>
              <w:spacing w:after="0"/>
              <w:rPr>
                <w:sz w:val="20"/>
                <w:szCs w:val="20"/>
                <w:color w:val="auto"/>
              </w:rPr>
            </w:pPr>
            <w:r>
              <w:rPr>
                <w:rFonts w:ascii="Arial" w:cs="Arial" w:eastAsia="Arial" w:hAnsi="Arial"/>
                <w:sz w:val="15"/>
                <w:szCs w:val="15"/>
                <w:color w:val="auto"/>
              </w:rPr>
              <w:t>Deferred taxes</w:t>
            </w:r>
          </w:p>
        </w:tc>
        <w:tc>
          <w:tcPr>
            <w:tcW w:w="20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5"/>
                <w:szCs w:val="15"/>
                <w:color w:val="auto"/>
              </w:rPr>
              <w:t>(740)</w:t>
            </w: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294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ind w:left="380"/>
              <w:spacing w:after="0"/>
              <w:rPr>
                <w:sz w:val="20"/>
                <w:szCs w:val="20"/>
                <w:color w:val="auto"/>
              </w:rPr>
            </w:pPr>
            <w:r>
              <w:rPr>
                <w:rFonts w:ascii="Arial" w:cs="Arial" w:eastAsia="Arial" w:hAnsi="Arial"/>
                <w:sz w:val="15"/>
                <w:szCs w:val="15"/>
                <w:color w:val="auto"/>
              </w:rPr>
              <w:t>Loss from investment in affiliate</w:t>
            </w:r>
          </w:p>
        </w:tc>
        <w:tc>
          <w:tcPr>
            <w:tcW w:w="200" w:type="dxa"/>
            <w:vAlign w:val="bottom"/>
            <w:shd w:val="clear" w:color="auto" w:fill="C0FFFF"/>
          </w:tcPr>
          <w:p>
            <w:pPr>
              <w:spacing w:after="0"/>
              <w:rPr>
                <w:sz w:val="15"/>
                <w:szCs w:val="15"/>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475</w:t>
            </w: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380"/>
              <w:spacing w:after="0"/>
              <w:rPr>
                <w:sz w:val="20"/>
                <w:szCs w:val="20"/>
                <w:color w:val="auto"/>
              </w:rPr>
            </w:pPr>
            <w:r>
              <w:rPr>
                <w:rFonts w:ascii="Arial" w:cs="Arial" w:eastAsia="Arial" w:hAnsi="Arial"/>
                <w:sz w:val="15"/>
                <w:szCs w:val="15"/>
                <w:color w:val="auto"/>
              </w:rPr>
              <w:t>Excess tax benefit from share-based payments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(297)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ind w:left="380"/>
              <w:spacing w:after="0"/>
              <w:rPr>
                <w:sz w:val="20"/>
                <w:szCs w:val="20"/>
                <w:color w:val="auto"/>
              </w:rPr>
            </w:pPr>
            <w:r>
              <w:rPr>
                <w:rFonts w:ascii="Arial" w:cs="Arial" w:eastAsia="Arial" w:hAnsi="Arial"/>
                <w:sz w:val="15"/>
                <w:szCs w:val="15"/>
                <w:color w:val="auto"/>
              </w:rPr>
              <w:t>Impairment of store assets</w:t>
            </w:r>
          </w:p>
        </w:tc>
        <w:tc>
          <w:tcPr>
            <w:tcW w:w="200" w:type="dxa"/>
            <w:vAlign w:val="bottom"/>
            <w:shd w:val="clear" w:color="auto" w:fill="C0FFFF"/>
          </w:tcPr>
          <w:p>
            <w:pPr>
              <w:spacing w:after="0"/>
              <w:rPr>
                <w:sz w:val="15"/>
                <w:szCs w:val="15"/>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191</w:t>
            </w: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380"/>
              <w:spacing w:after="0"/>
              <w:rPr>
                <w:sz w:val="20"/>
                <w:szCs w:val="20"/>
                <w:color w:val="auto"/>
              </w:rPr>
            </w:pPr>
            <w:r>
              <w:rPr>
                <w:rFonts w:ascii="Arial" w:cs="Arial" w:eastAsia="Arial" w:hAnsi="Arial"/>
                <w:sz w:val="15"/>
                <w:szCs w:val="15"/>
                <w:color w:val="auto"/>
              </w:rPr>
              <w:t>Trade credit utilization</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198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151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ind w:left="380"/>
              <w:spacing w:after="0"/>
              <w:rPr>
                <w:sz w:val="20"/>
                <w:szCs w:val="20"/>
                <w:color w:val="auto"/>
              </w:rPr>
            </w:pPr>
            <w:r>
              <w:rPr>
                <w:rFonts w:ascii="Arial" w:cs="Arial" w:eastAsia="Arial" w:hAnsi="Arial"/>
                <w:sz w:val="15"/>
                <w:szCs w:val="15"/>
                <w:color w:val="auto"/>
              </w:rPr>
              <w:t>Loss on disposal of property and equipment</w:t>
            </w:r>
          </w:p>
        </w:tc>
        <w:tc>
          <w:tcPr>
            <w:tcW w:w="200" w:type="dxa"/>
            <w:vAlign w:val="bottom"/>
            <w:shd w:val="clear" w:color="auto" w:fill="C0FFFF"/>
          </w:tcPr>
          <w:p>
            <w:pPr>
              <w:spacing w:after="0"/>
              <w:rPr>
                <w:sz w:val="15"/>
                <w:szCs w:val="15"/>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352</w:t>
            </w: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380"/>
              <w:spacing w:after="0"/>
              <w:rPr>
                <w:sz w:val="20"/>
                <w:szCs w:val="20"/>
                <w:color w:val="auto"/>
              </w:rPr>
            </w:pPr>
            <w:r>
              <w:rPr>
                <w:rFonts w:ascii="Arial" w:cs="Arial" w:eastAsia="Arial" w:hAnsi="Arial"/>
                <w:sz w:val="15"/>
                <w:szCs w:val="15"/>
                <w:color w:val="auto"/>
              </w:rPr>
              <w:t>Change in assets and liabilities:</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ind w:left="520"/>
              <w:spacing w:after="0"/>
              <w:rPr>
                <w:sz w:val="20"/>
                <w:szCs w:val="20"/>
                <w:color w:val="auto"/>
              </w:rPr>
            </w:pPr>
            <w:r>
              <w:rPr>
                <w:rFonts w:ascii="Arial" w:cs="Arial" w:eastAsia="Arial" w:hAnsi="Arial"/>
                <w:sz w:val="15"/>
                <w:szCs w:val="15"/>
                <w:color w:val="auto"/>
              </w:rPr>
              <w:t>Inventories</w:t>
            </w:r>
          </w:p>
        </w:tc>
        <w:tc>
          <w:tcPr>
            <w:tcW w:w="200" w:type="dxa"/>
            <w:vAlign w:val="bottom"/>
            <w:shd w:val="clear" w:color="auto" w:fill="C0FFFF"/>
          </w:tcPr>
          <w:p>
            <w:pPr>
              <w:spacing w:after="0"/>
              <w:rPr>
                <w:sz w:val="15"/>
                <w:szCs w:val="15"/>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4,889</w:t>
            </w: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540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520"/>
              <w:spacing w:after="0"/>
              <w:rPr>
                <w:sz w:val="20"/>
                <w:szCs w:val="20"/>
                <w:color w:val="auto"/>
              </w:rPr>
            </w:pPr>
            <w:r>
              <w:rPr>
                <w:rFonts w:ascii="Arial" w:cs="Arial" w:eastAsia="Arial" w:hAnsi="Arial"/>
                <w:sz w:val="15"/>
                <w:szCs w:val="15"/>
                <w:color w:val="auto"/>
              </w:rPr>
              <w:t>Receivables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2,959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3,350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ind w:left="520"/>
              <w:spacing w:after="0"/>
              <w:rPr>
                <w:sz w:val="20"/>
                <w:szCs w:val="20"/>
                <w:color w:val="auto"/>
              </w:rPr>
            </w:pPr>
            <w:r>
              <w:rPr>
                <w:rFonts w:ascii="Arial" w:cs="Arial" w:eastAsia="Arial" w:hAnsi="Arial"/>
                <w:sz w:val="15"/>
                <w:szCs w:val="15"/>
                <w:color w:val="auto"/>
              </w:rPr>
              <w:t>Prepaid expenses and other assets</w:t>
            </w:r>
          </w:p>
        </w:tc>
        <w:tc>
          <w:tcPr>
            <w:tcW w:w="200" w:type="dxa"/>
            <w:vAlign w:val="bottom"/>
            <w:shd w:val="clear" w:color="auto" w:fill="C0FFFF"/>
          </w:tcPr>
          <w:p>
            <w:pPr>
              <w:spacing w:after="0"/>
              <w:rPr>
                <w:sz w:val="15"/>
                <w:szCs w:val="15"/>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1,479</w:t>
            </w: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(4,078)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520"/>
              <w:spacing w:after="0"/>
              <w:rPr>
                <w:sz w:val="20"/>
                <w:szCs w:val="20"/>
                <w:color w:val="auto"/>
              </w:rPr>
            </w:pPr>
            <w:r>
              <w:rPr>
                <w:rFonts w:ascii="Arial" w:cs="Arial" w:eastAsia="Arial" w:hAnsi="Arial"/>
                <w:sz w:val="15"/>
                <w:szCs w:val="15"/>
                <w:color w:val="auto"/>
              </w:rPr>
              <w:t>Accounts payable and accrued expenses</w:t>
            </w:r>
          </w:p>
        </w:tc>
        <w:tc>
          <w:tcPr>
            <w:tcW w:w="20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5"/>
                <w:szCs w:val="15"/>
                <w:color w:val="auto"/>
              </w:rPr>
              <w:t>(21,677)</w:t>
            </w:r>
          </w:p>
        </w:tc>
        <w:tc>
          <w:tcPr>
            <w:tcW w:w="220" w:type="dxa"/>
            <w:vAlign w:val="bottom"/>
          </w:tcPr>
          <w:p>
            <w:pPr>
              <w:spacing w:after="0"/>
              <w:rPr>
                <w:sz w:val="15"/>
                <w:szCs w:val="15"/>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(11,824)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ind w:left="520"/>
              <w:spacing w:after="0"/>
              <w:rPr>
                <w:sz w:val="20"/>
                <w:szCs w:val="20"/>
                <w:color w:val="auto"/>
              </w:rPr>
            </w:pPr>
            <w:r>
              <w:rPr>
                <w:rFonts w:ascii="Arial" w:cs="Arial" w:eastAsia="Arial" w:hAnsi="Arial"/>
                <w:sz w:val="15"/>
                <w:szCs w:val="15"/>
                <w:color w:val="auto"/>
              </w:rPr>
              <w:t>Gift cards and customer deposits</w:t>
            </w:r>
          </w:p>
        </w:tc>
        <w:tc>
          <w:tcPr>
            <w:tcW w:w="200" w:type="dxa"/>
            <w:vAlign w:val="bottom"/>
            <w:shd w:val="clear" w:color="auto" w:fill="C0FFFF"/>
          </w:tcPr>
          <w:p>
            <w:pPr>
              <w:spacing w:after="0"/>
              <w:rPr>
                <w:sz w:val="15"/>
                <w:szCs w:val="15"/>
                <w:color w:val="auto"/>
              </w:rPr>
            </w:pPr>
          </w:p>
        </w:tc>
        <w:tc>
          <w:tcPr>
            <w:tcW w:w="152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(1,820)</w:t>
            </w: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(5,462)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520"/>
              <w:spacing w:after="0"/>
              <w:rPr>
                <w:sz w:val="20"/>
                <w:szCs w:val="20"/>
                <w:color w:val="auto"/>
              </w:rPr>
            </w:pPr>
            <w:r>
              <w:rPr>
                <w:rFonts w:ascii="Arial" w:cs="Arial" w:eastAsia="Arial" w:hAnsi="Arial"/>
                <w:sz w:val="15"/>
                <w:szCs w:val="15"/>
                <w:color w:val="auto"/>
              </w:rPr>
              <w:t>Deferred revenue</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149</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37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ind w:left="520"/>
              <w:spacing w:after="0"/>
              <w:rPr>
                <w:sz w:val="20"/>
                <w:szCs w:val="20"/>
                <w:color w:val="auto"/>
              </w:rPr>
            </w:pPr>
            <w:r>
              <w:rPr>
                <w:rFonts w:ascii="Arial" w:cs="Arial" w:eastAsia="Arial" w:hAnsi="Arial"/>
                <w:sz w:val="15"/>
                <w:szCs w:val="15"/>
                <w:color w:val="auto"/>
              </w:rPr>
              <w:t>Lease related liabilities</w:t>
            </w:r>
          </w:p>
        </w:tc>
        <w:tc>
          <w:tcPr>
            <w:tcW w:w="200" w:type="dxa"/>
            <w:vAlign w:val="bottom"/>
            <w:shd w:val="clear" w:color="auto" w:fill="C0FFFF"/>
          </w:tcPr>
          <w:p>
            <w:pPr>
              <w:spacing w:after="0"/>
              <w:rPr>
                <w:sz w:val="15"/>
                <w:szCs w:val="15"/>
                <w:color w:val="auto"/>
              </w:rPr>
            </w:pPr>
          </w:p>
        </w:tc>
        <w:tc>
          <w:tcPr>
            <w:tcW w:w="152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(5,506)</w:t>
            </w: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(2,100)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10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100" w:type="dxa"/>
            <w:vAlign w:val="bottom"/>
          </w:tcPr>
          <w:p>
            <w:pPr>
              <w:ind w:left="660"/>
              <w:spacing w:after="0"/>
              <w:rPr>
                <w:sz w:val="20"/>
                <w:szCs w:val="20"/>
                <w:color w:val="auto"/>
              </w:rPr>
            </w:pPr>
            <w:r>
              <w:rPr>
                <w:rFonts w:ascii="Arial" w:cs="Arial" w:eastAsia="Arial" w:hAnsi="Arial"/>
                <w:sz w:val="15"/>
                <w:szCs w:val="15"/>
                <w:color w:val="auto"/>
              </w:rPr>
              <w:t>Net cash used in operating activities</w:t>
            </w:r>
          </w:p>
        </w:tc>
        <w:tc>
          <w:tcPr>
            <w:tcW w:w="20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5"/>
                <w:szCs w:val="15"/>
                <w:color w:val="auto"/>
              </w:rPr>
              <w:t>(14,970)</w:t>
            </w:r>
          </w:p>
        </w:tc>
        <w:tc>
          <w:tcPr>
            <w:tcW w:w="220" w:type="dxa"/>
            <w:vAlign w:val="bottom"/>
          </w:tcPr>
          <w:p>
            <w:pPr>
              <w:spacing w:after="0"/>
              <w:rPr>
                <w:sz w:val="16"/>
                <w:szCs w:val="16"/>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(12,887)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5"/>
                <w:szCs w:val="15"/>
                <w:color w:val="auto"/>
              </w:rPr>
              <w:t>Cash flows from investing activities:</w:t>
            </w:r>
          </w:p>
        </w:tc>
        <w:tc>
          <w:tcPr>
            <w:tcW w:w="200" w:type="dxa"/>
            <w:vAlign w:val="bottom"/>
            <w:tcBorders>
              <w:top w:val="single" w:sz="8" w:color="auto"/>
            </w:tcBorders>
            <w:shd w:val="clear" w:color="auto" w:fill="C0FFFF"/>
          </w:tcPr>
          <w:p>
            <w:pPr>
              <w:spacing w:after="0"/>
              <w:rPr>
                <w:sz w:val="15"/>
                <w:szCs w:val="15"/>
                <w:color w:val="auto"/>
              </w:rPr>
            </w:pPr>
          </w:p>
        </w:tc>
        <w:tc>
          <w:tcPr>
            <w:tcW w:w="1300" w:type="dxa"/>
            <w:vAlign w:val="bottom"/>
            <w:tcBorders>
              <w:top w:val="single" w:sz="8" w:color="auto"/>
            </w:tcBorders>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220" w:type="dxa"/>
            <w:vAlign w:val="bottom"/>
            <w:tcBorders>
              <w:top w:val="single" w:sz="8" w:color="auto"/>
            </w:tcBorders>
            <w:shd w:val="clear" w:color="auto" w:fill="C0FFFF"/>
          </w:tcPr>
          <w:p>
            <w:pPr>
              <w:spacing w:after="0"/>
              <w:rPr>
                <w:sz w:val="15"/>
                <w:szCs w:val="15"/>
                <w:color w:val="auto"/>
              </w:rPr>
            </w:pPr>
          </w:p>
        </w:tc>
        <w:tc>
          <w:tcPr>
            <w:tcW w:w="1260" w:type="dxa"/>
            <w:vAlign w:val="bottom"/>
            <w:tcBorders>
              <w:top w:val="single" w:sz="8" w:color="auto"/>
            </w:tcBorders>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100"/>
              <w:spacing w:after="0"/>
              <w:rPr>
                <w:sz w:val="20"/>
                <w:szCs w:val="20"/>
                <w:color w:val="auto"/>
              </w:rPr>
            </w:pPr>
            <w:r>
              <w:rPr>
                <w:rFonts w:ascii="Arial" w:cs="Arial" w:eastAsia="Arial" w:hAnsi="Arial"/>
                <w:sz w:val="15"/>
                <w:szCs w:val="15"/>
                <w:color w:val="auto"/>
              </w:rPr>
              <w:t>Purchases of property and equipment</w:t>
            </w:r>
          </w:p>
        </w:tc>
        <w:tc>
          <w:tcPr>
            <w:tcW w:w="20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5"/>
                <w:szCs w:val="15"/>
                <w:color w:val="auto"/>
              </w:rPr>
              <w:t>(8,011)</w:t>
            </w:r>
          </w:p>
        </w:tc>
        <w:tc>
          <w:tcPr>
            <w:tcW w:w="220" w:type="dxa"/>
            <w:vAlign w:val="bottom"/>
          </w:tcPr>
          <w:p>
            <w:pPr>
              <w:spacing w:after="0"/>
              <w:rPr>
                <w:sz w:val="15"/>
                <w:szCs w:val="15"/>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(5,998)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ind w:left="100"/>
              <w:spacing w:after="0"/>
              <w:rPr>
                <w:sz w:val="20"/>
                <w:szCs w:val="20"/>
                <w:color w:val="auto"/>
              </w:rPr>
            </w:pPr>
            <w:r>
              <w:rPr>
                <w:rFonts w:ascii="Arial" w:cs="Arial" w:eastAsia="Arial" w:hAnsi="Arial"/>
                <w:sz w:val="15"/>
                <w:szCs w:val="15"/>
                <w:color w:val="auto"/>
              </w:rPr>
              <w:t>Purchases of other assets and other intangible assets</w:t>
            </w:r>
          </w:p>
        </w:tc>
        <w:tc>
          <w:tcPr>
            <w:tcW w:w="200" w:type="dxa"/>
            <w:vAlign w:val="bottom"/>
            <w:shd w:val="clear" w:color="auto" w:fill="C0FFFF"/>
          </w:tcPr>
          <w:p>
            <w:pPr>
              <w:spacing w:after="0"/>
              <w:rPr>
                <w:sz w:val="15"/>
                <w:szCs w:val="15"/>
                <w:color w:val="auto"/>
              </w:rPr>
            </w:pPr>
          </w:p>
        </w:tc>
        <w:tc>
          <w:tcPr>
            <w:tcW w:w="152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(293)</w:t>
            </w: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(139)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100"/>
              <w:spacing w:after="0"/>
              <w:rPr>
                <w:sz w:val="20"/>
                <w:szCs w:val="20"/>
                <w:color w:val="auto"/>
              </w:rPr>
            </w:pPr>
            <w:r>
              <w:rPr>
                <w:rFonts w:ascii="Arial" w:cs="Arial" w:eastAsia="Arial" w:hAnsi="Arial"/>
                <w:sz w:val="15"/>
                <w:szCs w:val="15"/>
                <w:color w:val="auto"/>
              </w:rPr>
              <w:t>Purchases of short term investments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(3,115)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ind w:left="100"/>
              <w:spacing w:after="0"/>
              <w:rPr>
                <w:sz w:val="20"/>
                <w:szCs w:val="20"/>
                <w:color w:val="auto"/>
              </w:rPr>
            </w:pPr>
            <w:r>
              <w:rPr>
                <w:rFonts w:ascii="Arial" w:cs="Arial" w:eastAsia="Arial" w:hAnsi="Arial"/>
                <w:sz w:val="15"/>
                <w:szCs w:val="15"/>
                <w:color w:val="auto"/>
              </w:rPr>
              <w:t>Proceeds from sale or maturitiy of short term investments</w:t>
            </w:r>
          </w:p>
        </w:tc>
        <w:tc>
          <w:tcPr>
            <w:tcW w:w="200" w:type="dxa"/>
            <w:vAlign w:val="bottom"/>
            <w:shd w:val="clear" w:color="auto" w:fill="C0FFFF"/>
          </w:tcPr>
          <w:p>
            <w:pPr>
              <w:spacing w:after="0"/>
              <w:rPr>
                <w:sz w:val="15"/>
                <w:szCs w:val="15"/>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2,647</w:t>
            </w: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2,076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100"/>
              <w:spacing w:after="0"/>
              <w:rPr>
                <w:sz w:val="20"/>
                <w:szCs w:val="20"/>
                <w:color w:val="auto"/>
              </w:rPr>
            </w:pPr>
            <w:r>
              <w:rPr>
                <w:rFonts w:ascii="Arial" w:cs="Arial" w:eastAsia="Arial" w:hAnsi="Arial"/>
                <w:sz w:val="15"/>
                <w:szCs w:val="15"/>
                <w:color w:val="auto"/>
              </w:rPr>
              <w:t>Investment in unconsolidated affiliate</w:t>
            </w:r>
          </w:p>
        </w:tc>
        <w:tc>
          <w:tcPr>
            <w:tcW w:w="20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5"/>
                <w:szCs w:val="15"/>
                <w:color w:val="auto"/>
              </w:rPr>
              <w:t>(475)</w:t>
            </w: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8100" w:type="dxa"/>
            <w:vAlign w:val="bottom"/>
            <w:shd w:val="clear" w:color="auto" w:fill="C0FFFF"/>
          </w:tcPr>
          <w:p>
            <w:pPr>
              <w:ind w:left="660"/>
              <w:spacing w:after="0"/>
              <w:rPr>
                <w:sz w:val="20"/>
                <w:szCs w:val="20"/>
                <w:color w:val="auto"/>
              </w:rPr>
            </w:pPr>
            <w:r>
              <w:rPr>
                <w:rFonts w:ascii="Arial" w:cs="Arial" w:eastAsia="Arial" w:hAnsi="Arial"/>
                <w:sz w:val="15"/>
                <w:szCs w:val="15"/>
                <w:color w:val="auto"/>
              </w:rPr>
              <w:t>Cash used in investing activities</w:t>
            </w:r>
          </w:p>
        </w:tc>
        <w:tc>
          <w:tcPr>
            <w:tcW w:w="200" w:type="dxa"/>
            <w:vAlign w:val="bottom"/>
            <w:shd w:val="clear" w:color="auto" w:fill="C0FFFF"/>
          </w:tcPr>
          <w:p>
            <w:pPr>
              <w:spacing w:after="0"/>
              <w:rPr>
                <w:sz w:val="16"/>
                <w:szCs w:val="16"/>
                <w:color w:val="auto"/>
              </w:rPr>
            </w:pPr>
          </w:p>
        </w:tc>
        <w:tc>
          <w:tcPr>
            <w:tcW w:w="152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(6,132)</w:t>
            </w:r>
          </w:p>
        </w:tc>
        <w:tc>
          <w:tcPr>
            <w:tcW w:w="220" w:type="dxa"/>
            <w:vAlign w:val="bottom"/>
            <w:shd w:val="clear" w:color="auto" w:fill="C0FFFF"/>
          </w:tcPr>
          <w:p>
            <w:pPr>
              <w:spacing w:after="0"/>
              <w:rPr>
                <w:sz w:val="16"/>
                <w:szCs w:val="16"/>
                <w:color w:val="auto"/>
              </w:rPr>
            </w:pPr>
          </w:p>
        </w:tc>
        <w:tc>
          <w:tcPr>
            <w:tcW w:w="138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(7,176)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Borders>
              <w:top w:val="single" w:sz="8" w:color="C0FFFF"/>
            </w:tcBorders>
          </w:tcPr>
          <w:p>
            <w:pPr>
              <w:spacing w:after="0"/>
              <w:rPr>
                <w:sz w:val="20"/>
                <w:szCs w:val="20"/>
                <w:color w:val="auto"/>
              </w:rPr>
            </w:pPr>
            <w:r>
              <w:rPr>
                <w:rFonts w:ascii="Arial" w:cs="Arial" w:eastAsia="Arial" w:hAnsi="Arial"/>
                <w:sz w:val="15"/>
                <w:szCs w:val="15"/>
                <w:color w:val="auto"/>
              </w:rPr>
              <w:t>Cash flows from financing activities:</w:t>
            </w:r>
          </w:p>
        </w:tc>
        <w:tc>
          <w:tcPr>
            <w:tcW w:w="2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220" w:type="dxa"/>
            <w:vAlign w:val="bottom"/>
            <w:tcBorders>
              <w:top w:val="single" w:sz="8" w:color="C0FF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Borders>
              <w:top w:val="single" w:sz="8" w:color="C0FFFF"/>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ind w:left="100"/>
              <w:spacing w:after="0"/>
              <w:rPr>
                <w:sz w:val="20"/>
                <w:szCs w:val="20"/>
                <w:color w:val="auto"/>
              </w:rPr>
            </w:pPr>
            <w:r>
              <w:rPr>
                <w:rFonts w:ascii="Arial" w:cs="Arial" w:eastAsia="Arial" w:hAnsi="Arial"/>
                <w:sz w:val="15"/>
                <w:szCs w:val="15"/>
                <w:color w:val="auto"/>
              </w:rPr>
              <w:t>Exercise of employee stock options and employee stock purchases</w:t>
            </w:r>
          </w:p>
        </w:tc>
        <w:tc>
          <w:tcPr>
            <w:tcW w:w="200" w:type="dxa"/>
            <w:vAlign w:val="bottom"/>
            <w:shd w:val="clear" w:color="auto" w:fill="C0FFFF"/>
          </w:tcPr>
          <w:p>
            <w:pPr>
              <w:spacing w:after="0"/>
              <w:rPr>
                <w:sz w:val="15"/>
                <w:szCs w:val="15"/>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56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100"/>
              <w:spacing w:after="0"/>
              <w:rPr>
                <w:sz w:val="20"/>
                <w:szCs w:val="20"/>
                <w:color w:val="auto"/>
              </w:rPr>
            </w:pPr>
            <w:r>
              <w:rPr>
                <w:rFonts w:ascii="Arial" w:cs="Arial" w:eastAsia="Arial" w:hAnsi="Arial"/>
                <w:sz w:val="15"/>
                <w:szCs w:val="15"/>
                <w:color w:val="auto"/>
              </w:rPr>
              <w:t>Excess tax benefit from share-based payments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297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ind w:left="100"/>
              <w:spacing w:after="0"/>
              <w:rPr>
                <w:sz w:val="20"/>
                <w:szCs w:val="20"/>
                <w:color w:val="auto"/>
              </w:rPr>
            </w:pPr>
            <w:r>
              <w:rPr>
                <w:rFonts w:ascii="Arial" w:cs="Arial" w:eastAsia="Arial" w:hAnsi="Arial"/>
                <w:sz w:val="15"/>
                <w:szCs w:val="15"/>
                <w:color w:val="auto"/>
              </w:rPr>
              <w:t>Purchases of Company's common stock</w:t>
            </w:r>
          </w:p>
        </w:tc>
        <w:tc>
          <w:tcPr>
            <w:tcW w:w="200" w:type="dxa"/>
            <w:vAlign w:val="bottom"/>
            <w:shd w:val="clear" w:color="auto" w:fill="C0FFFF"/>
          </w:tcPr>
          <w:p>
            <w:pPr>
              <w:spacing w:after="0"/>
              <w:rPr>
                <w:sz w:val="15"/>
                <w:szCs w:val="15"/>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(5,073)</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810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tcPr>
          <w:p>
            <w:pPr>
              <w:ind w:left="660"/>
              <w:spacing w:after="0"/>
              <w:rPr>
                <w:sz w:val="20"/>
                <w:szCs w:val="20"/>
                <w:color w:val="auto"/>
              </w:rPr>
            </w:pPr>
            <w:r>
              <w:rPr>
                <w:rFonts w:ascii="Arial" w:cs="Arial" w:eastAsia="Arial" w:hAnsi="Arial"/>
                <w:sz w:val="15"/>
                <w:szCs w:val="15"/>
                <w:color w:val="auto"/>
              </w:rPr>
              <w:t>Cash used in financing activities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(4,720)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5"/>
                <w:szCs w:val="15"/>
                <w:color w:val="auto"/>
              </w:rPr>
              <w:t>Effect of exchange rates on cash</w:t>
            </w:r>
          </w:p>
        </w:tc>
        <w:tc>
          <w:tcPr>
            <w:tcW w:w="200" w:type="dxa"/>
            <w:vAlign w:val="bottom"/>
            <w:shd w:val="clear" w:color="auto" w:fill="C0FFFF"/>
          </w:tcPr>
          <w:p>
            <w:pPr>
              <w:spacing w:after="0"/>
              <w:rPr>
                <w:sz w:val="15"/>
                <w:szCs w:val="15"/>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1,185</w:t>
            </w: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770</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10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8100" w:type="dxa"/>
            <w:vAlign w:val="bottom"/>
          </w:tcPr>
          <w:p>
            <w:pPr>
              <w:spacing w:after="0"/>
              <w:rPr>
                <w:sz w:val="20"/>
                <w:szCs w:val="20"/>
                <w:color w:val="auto"/>
              </w:rPr>
            </w:pPr>
            <w:r>
              <w:rPr>
                <w:rFonts w:ascii="Arial" w:cs="Arial" w:eastAsia="Arial" w:hAnsi="Arial"/>
                <w:sz w:val="15"/>
                <w:szCs w:val="15"/>
                <w:color w:val="auto"/>
              </w:rPr>
              <w:t>Net decrease in cash and cash equivalents</w:t>
            </w:r>
          </w:p>
        </w:tc>
        <w:tc>
          <w:tcPr>
            <w:tcW w:w="20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5"/>
                <w:szCs w:val="15"/>
                <w:color w:val="auto"/>
              </w:rPr>
              <w:t>(19,917)</w:t>
            </w:r>
          </w:p>
        </w:tc>
        <w:tc>
          <w:tcPr>
            <w:tcW w:w="220" w:type="dxa"/>
            <w:vAlign w:val="bottom"/>
          </w:tcPr>
          <w:p>
            <w:pPr>
              <w:spacing w:after="0"/>
              <w:rPr>
                <w:sz w:val="15"/>
                <w:szCs w:val="15"/>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5"/>
                <w:szCs w:val="15"/>
                <w:color w:val="auto"/>
              </w:rPr>
              <w:t>(24,013)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100" w:type="dxa"/>
            <w:vAlign w:val="bottom"/>
            <w:shd w:val="clear" w:color="auto" w:fill="C0FFFF"/>
          </w:tcPr>
          <w:p>
            <w:pPr>
              <w:spacing w:after="0"/>
              <w:rPr>
                <w:sz w:val="20"/>
                <w:szCs w:val="20"/>
                <w:color w:val="auto"/>
              </w:rPr>
            </w:pPr>
            <w:r>
              <w:rPr>
                <w:rFonts w:ascii="Arial" w:cs="Arial" w:eastAsia="Arial" w:hAnsi="Arial"/>
                <w:sz w:val="15"/>
                <w:szCs w:val="15"/>
                <w:color w:val="auto"/>
              </w:rPr>
              <w:t>Cash and cash equivalents, beginning of period</w:t>
            </w:r>
          </w:p>
        </w:tc>
        <w:tc>
          <w:tcPr>
            <w:tcW w:w="200" w:type="dxa"/>
            <w:vAlign w:val="bottom"/>
            <w:shd w:val="clear" w:color="auto" w:fill="C0FFFF"/>
          </w:tcPr>
          <w:p>
            <w:pPr>
              <w:spacing w:after="0"/>
              <w:rPr>
                <w:sz w:val="15"/>
                <w:szCs w:val="15"/>
                <w:color w:val="auto"/>
              </w:rPr>
            </w:pPr>
          </w:p>
        </w:tc>
        <w:tc>
          <w:tcPr>
            <w:tcW w:w="13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46,367</w:t>
            </w:r>
          </w:p>
        </w:tc>
        <w:tc>
          <w:tcPr>
            <w:tcW w:w="2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3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58,755</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8100" w:type="dxa"/>
            <w:vAlign w:val="bottom"/>
            <w:shd w:val="clear" w:color="auto" w:fill="C0FF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vMerge w:val="continue"/>
          </w:tcPr>
          <w:p>
            <w:pPr>
              <w:spacing w:after="0"/>
              <w:rPr>
                <w:sz w:val="15"/>
                <w:szCs w:val="15"/>
                <w:color w:val="auto"/>
              </w:rPr>
            </w:pPr>
          </w:p>
        </w:tc>
        <w:tc>
          <w:tcPr>
            <w:tcW w:w="8100" w:type="dxa"/>
            <w:vAlign w:val="bottom"/>
          </w:tcPr>
          <w:p>
            <w:pPr>
              <w:spacing w:after="0"/>
              <w:rPr>
                <w:sz w:val="20"/>
                <w:szCs w:val="20"/>
                <w:color w:val="auto"/>
              </w:rPr>
            </w:pPr>
            <w:r>
              <w:rPr>
                <w:rFonts w:ascii="Arial" w:cs="Arial" w:eastAsia="Arial" w:hAnsi="Arial"/>
                <w:sz w:val="15"/>
                <w:szCs w:val="15"/>
                <w:color w:val="auto"/>
              </w:rPr>
              <w:t>Cash and cash equivalents, end of period</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26,450</w:t>
            </w:r>
          </w:p>
        </w:tc>
        <w:tc>
          <w:tcPr>
            <w:tcW w:w="220" w:type="dxa"/>
            <w:vAlign w:val="bottom"/>
          </w:tcPr>
          <w:p>
            <w:pPr>
              <w:spacing w:after="0"/>
              <w:rPr>
                <w:sz w:val="15"/>
                <w:szCs w:val="15"/>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120"/>
              <w:spacing w:after="0"/>
              <w:rPr>
                <w:sz w:val="20"/>
                <w:szCs w:val="20"/>
                <w:color w:val="auto"/>
              </w:rPr>
            </w:pPr>
            <w:r>
              <w:rPr>
                <w:rFonts w:ascii="Arial" w:cs="Arial" w:eastAsia="Arial" w:hAnsi="Arial"/>
                <w:sz w:val="15"/>
                <w:szCs w:val="15"/>
                <w:color w:val="auto"/>
              </w:rPr>
              <w:t>34,742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431" w:right="21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 Basis of Presentation</w:t>
      </w:r>
    </w:p>
    <w:p>
      <w:pPr>
        <w:spacing w:after="0" w:line="240" w:lineRule="exact"/>
        <w:rPr>
          <w:sz w:val="20"/>
          <w:szCs w:val="20"/>
          <w:color w:val="auto"/>
        </w:rPr>
      </w:pPr>
    </w:p>
    <w:p>
      <w:pPr>
        <w:ind w:firstLine="408"/>
        <w:spacing w:after="0" w:line="275" w:lineRule="auto"/>
        <w:rPr>
          <w:sz w:val="20"/>
          <w:szCs w:val="20"/>
          <w:color w:val="auto"/>
        </w:rPr>
      </w:pPr>
      <w:r>
        <w:rPr>
          <w:rFonts w:ascii="Arial" w:cs="Arial" w:eastAsia="Arial" w:hAnsi="Arial"/>
          <w:sz w:val="14"/>
          <w:szCs w:val="14"/>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December 31, 2011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As a toy retailer, the Company’s sales are highest in the fourth quarter, followed by the first quarter. The timing of holidays and school vacations can impact quarterly results.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December 31, 2011 included in the Company’s annual report on Form 10-K filed with the SEC on March 15, 2012.</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Certain reclassifications of prior year amounts have been made to conform to the current year presentation.</w:t>
      </w:r>
    </w:p>
    <w:p>
      <w:pPr>
        <w:spacing w:after="0" w:line="236" w:lineRule="exact"/>
        <w:rPr>
          <w:sz w:val="20"/>
          <w:szCs w:val="20"/>
          <w:color w:val="auto"/>
        </w:rPr>
      </w:pPr>
    </w:p>
    <w:p>
      <w:pPr>
        <w:ind w:right="580" w:firstLine="408"/>
        <w:spacing w:after="0" w:line="277" w:lineRule="auto"/>
        <w:rPr>
          <w:sz w:val="20"/>
          <w:szCs w:val="20"/>
          <w:color w:val="auto"/>
        </w:rPr>
      </w:pPr>
      <w:r>
        <w:rPr>
          <w:rFonts w:ascii="Arial" w:cs="Arial" w:eastAsia="Arial" w:hAnsi="Arial"/>
          <w:sz w:val="15"/>
          <w:szCs w:val="15"/>
          <w:color w:val="auto"/>
        </w:rPr>
        <w:t>On January 1, 2012, the Company adopted new accounting guidance with regard to the presentation and disclosure of comprehensive income in accordance with Accounting Standards Update 2011-5 and 2011-12. The adoption of this guidance impacted only the presentation and disclosure of comprehensive income.</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20" w:type="dxa"/>
            <w:vAlign w:val="bottom"/>
            <w:gridSpan w:val="2"/>
          </w:tcPr>
          <w:p>
            <w:pPr>
              <w:spacing w:after="0"/>
              <w:rPr>
                <w:sz w:val="20"/>
                <w:szCs w:val="20"/>
                <w:color w:val="auto"/>
              </w:rPr>
            </w:pPr>
            <w:r>
              <w:rPr>
                <w:rFonts w:ascii="Arial" w:cs="Arial" w:eastAsia="Arial" w:hAnsi="Arial"/>
                <w:sz w:val="15"/>
                <w:szCs w:val="15"/>
                <w:b w:val="1"/>
                <w:bCs w:val="1"/>
                <w:color w:val="auto"/>
              </w:rPr>
              <w:t>2. Prepaid Expenses and Other Assets</w:t>
            </w:r>
          </w:p>
        </w:tc>
        <w:tc>
          <w:tcPr>
            <w:tcW w:w="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08"/>
        </w:trPr>
        <w:tc>
          <w:tcPr>
            <w:tcW w:w="5820" w:type="dxa"/>
            <w:vAlign w:val="bottom"/>
            <w:gridSpan w:val="2"/>
          </w:tcPr>
          <w:p>
            <w:pPr>
              <w:ind w:left="400"/>
              <w:spacing w:after="0"/>
              <w:rPr>
                <w:sz w:val="20"/>
                <w:szCs w:val="20"/>
                <w:color w:val="auto"/>
              </w:rPr>
            </w:pPr>
            <w:r>
              <w:rPr>
                <w:rFonts w:ascii="Arial" w:cs="Arial" w:eastAsia="Arial" w:hAnsi="Arial"/>
                <w:sz w:val="15"/>
                <w:szCs w:val="15"/>
                <w:color w:val="auto"/>
                <w:w w:val="99"/>
              </w:rPr>
              <w:t>Prepaid expenses and other current assets consist of the following (in thousands):</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5"/>
        </w:trPr>
        <w:tc>
          <w:tcPr>
            <w:tcW w:w="56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324"/>
              <w:spacing w:after="0"/>
              <w:rPr>
                <w:sz w:val="20"/>
                <w:szCs w:val="20"/>
                <w:color w:val="auto"/>
              </w:rPr>
            </w:pPr>
            <w:r>
              <w:rPr>
                <w:rFonts w:ascii="Arial" w:cs="Arial" w:eastAsia="Arial" w:hAnsi="Arial"/>
                <w:sz w:val="15"/>
                <w:szCs w:val="15"/>
                <w:b w:val="1"/>
                <w:bCs w:val="1"/>
                <w:color w:val="auto"/>
              </w:rPr>
              <w:t>June 30,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144"/>
              <w:spacing w:after="0"/>
              <w:rPr>
                <w:sz w:val="20"/>
                <w:szCs w:val="20"/>
                <w:color w:val="auto"/>
              </w:rPr>
            </w:pPr>
            <w:r>
              <w:rPr>
                <w:rFonts w:ascii="Arial" w:cs="Arial" w:eastAsia="Arial" w:hAnsi="Arial"/>
                <w:sz w:val="15"/>
                <w:szCs w:val="15"/>
                <w:b w:val="1"/>
                <w:bCs w:val="1"/>
                <w:color w:val="auto"/>
                <w:w w:val="96"/>
              </w:rPr>
              <w:t>December 31,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ind w:left="180"/>
              <w:spacing w:after="0"/>
              <w:rPr>
                <w:sz w:val="20"/>
                <w:szCs w:val="20"/>
                <w:color w:val="auto"/>
              </w:rPr>
            </w:pPr>
            <w:r>
              <w:rPr>
                <w:rFonts w:ascii="Arial" w:cs="Arial" w:eastAsia="Arial" w:hAnsi="Arial"/>
                <w:sz w:val="15"/>
                <w:szCs w:val="15"/>
                <w:b w:val="1"/>
                <w:bCs w:val="1"/>
                <w:color w:val="auto"/>
              </w:rPr>
              <w:t>July 2,</w:t>
            </w:r>
          </w:p>
        </w:tc>
      </w:tr>
      <w:tr>
        <w:trPr>
          <w:trHeight w:val="199"/>
        </w:trPr>
        <w:tc>
          <w:tcPr>
            <w:tcW w:w="56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2011</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2011</w:t>
            </w:r>
          </w:p>
        </w:tc>
        <w:tc>
          <w:tcPr>
            <w:tcW w:w="120" w:type="dxa"/>
            <w:vAlign w:val="bottom"/>
          </w:tcPr>
          <w:p>
            <w:pPr>
              <w:spacing w:after="0"/>
              <w:rPr>
                <w:sz w:val="17"/>
                <w:szCs w:val="17"/>
                <w:color w:val="auto"/>
              </w:rPr>
            </w:pPr>
          </w:p>
        </w:tc>
      </w:tr>
      <w:tr>
        <w:trPr>
          <w:trHeight w:val="181"/>
        </w:trPr>
        <w:tc>
          <w:tcPr>
            <w:tcW w:w="560" w:type="dxa"/>
            <w:vAlign w:val="bottom"/>
          </w:tcPr>
          <w:p>
            <w:pPr>
              <w:spacing w:after="0"/>
              <w:rPr>
                <w:sz w:val="15"/>
                <w:szCs w:val="15"/>
                <w:color w:val="auto"/>
              </w:rPr>
            </w:pPr>
          </w:p>
        </w:tc>
        <w:tc>
          <w:tcPr>
            <w:tcW w:w="5260" w:type="dxa"/>
            <w:vAlign w:val="bottom"/>
            <w:shd w:val="clear" w:color="auto" w:fill="C0FFFF"/>
          </w:tcPr>
          <w:p>
            <w:pPr>
              <w:spacing w:after="0"/>
              <w:rPr>
                <w:sz w:val="20"/>
                <w:szCs w:val="20"/>
                <w:color w:val="auto"/>
              </w:rPr>
            </w:pPr>
            <w:r>
              <w:rPr>
                <w:rFonts w:ascii="Arial" w:cs="Arial" w:eastAsia="Arial" w:hAnsi="Arial"/>
                <w:sz w:val="15"/>
                <w:szCs w:val="15"/>
                <w:color w:val="auto"/>
              </w:rPr>
              <w:t>Prepaid rent</w:t>
            </w:r>
          </w:p>
        </w:tc>
        <w:tc>
          <w:tcPr>
            <w:tcW w:w="760" w:type="dxa"/>
            <w:vAlign w:val="bottom"/>
            <w:gridSpan w:val="2"/>
            <w:shd w:val="clear" w:color="auto" w:fill="C0FFFF"/>
          </w:tcPr>
          <w:p>
            <w:pPr>
              <w:jc w:val="right"/>
              <w:ind w:right="8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8,038</w:t>
            </w:r>
          </w:p>
        </w:tc>
        <w:tc>
          <w:tcPr>
            <w:tcW w:w="360" w:type="dxa"/>
            <w:vAlign w:val="bottom"/>
            <w:gridSpan w:val="2"/>
            <w:shd w:val="clear" w:color="auto" w:fill="C0FFFF"/>
          </w:tcPr>
          <w:p>
            <w:pPr>
              <w:jc w:val="right"/>
              <w:ind w:right="4"/>
              <w:spacing w:after="0"/>
              <w:rPr>
                <w:sz w:val="20"/>
                <w:szCs w:val="20"/>
                <w:color w:val="auto"/>
              </w:rPr>
            </w:pPr>
            <w:r>
              <w:rPr>
                <w:rFonts w:ascii="Arial" w:cs="Arial" w:eastAsia="Arial" w:hAnsi="Arial"/>
                <w:sz w:val="15"/>
                <w:szCs w:val="15"/>
                <w:color w:val="auto"/>
              </w:rPr>
              <w:t>$</w:t>
            </w:r>
          </w:p>
        </w:tc>
        <w:tc>
          <w:tcPr>
            <w:tcW w:w="11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7,745</w:t>
            </w:r>
          </w:p>
        </w:tc>
        <w:tc>
          <w:tcPr>
            <w:tcW w:w="4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8,016</w:t>
            </w:r>
          </w:p>
        </w:tc>
        <w:tc>
          <w:tcPr>
            <w:tcW w:w="120" w:type="dxa"/>
            <w:vAlign w:val="bottom"/>
            <w:shd w:val="clear" w:color="auto" w:fill="C0FFFF"/>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Prepaid income taxes</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692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1,970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6,732</w:t>
            </w:r>
          </w:p>
        </w:tc>
        <w:tc>
          <w:tcPr>
            <w:tcW w:w="120" w:type="dxa"/>
            <w:vAlign w:val="bottom"/>
          </w:tcPr>
          <w:p>
            <w:pPr>
              <w:spacing w:after="0"/>
              <w:rPr>
                <w:sz w:val="15"/>
                <w:szCs w:val="15"/>
                <w:color w:val="auto"/>
              </w:rPr>
            </w:pPr>
          </w:p>
        </w:tc>
      </w:tr>
      <w:tr>
        <w:trPr>
          <w:trHeight w:val="181"/>
        </w:trPr>
        <w:tc>
          <w:tcPr>
            <w:tcW w:w="560" w:type="dxa"/>
            <w:vAlign w:val="bottom"/>
          </w:tcPr>
          <w:p>
            <w:pPr>
              <w:spacing w:after="0"/>
              <w:rPr>
                <w:sz w:val="15"/>
                <w:szCs w:val="15"/>
                <w:color w:val="auto"/>
              </w:rPr>
            </w:pPr>
          </w:p>
        </w:tc>
        <w:tc>
          <w:tcPr>
            <w:tcW w:w="5260" w:type="dxa"/>
            <w:vAlign w:val="bottom"/>
            <w:shd w:val="clear" w:color="auto" w:fill="C0FFFF"/>
          </w:tcPr>
          <w:p>
            <w:pPr>
              <w:spacing w:after="0"/>
              <w:rPr>
                <w:sz w:val="20"/>
                <w:szCs w:val="20"/>
                <w:color w:val="auto"/>
              </w:rPr>
            </w:pPr>
            <w:r>
              <w:rPr>
                <w:rFonts w:ascii="Arial" w:cs="Arial" w:eastAsia="Arial" w:hAnsi="Arial"/>
                <w:sz w:val="15"/>
                <w:szCs w:val="15"/>
                <w:color w:val="auto"/>
              </w:rPr>
              <w:t>Short-term investments</w:t>
            </w:r>
          </w:p>
        </w:tc>
        <w:tc>
          <w:tcPr>
            <w:tcW w:w="5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11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11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2,619</w:t>
            </w:r>
          </w:p>
        </w:tc>
        <w:tc>
          <w:tcPr>
            <w:tcW w:w="22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c>
          <w:tcPr>
            <w:tcW w:w="10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2,901</w:t>
            </w:r>
          </w:p>
        </w:tc>
        <w:tc>
          <w:tcPr>
            <w:tcW w:w="120" w:type="dxa"/>
            <w:vAlign w:val="bottom"/>
            <w:shd w:val="clear" w:color="auto" w:fill="C0FFFF"/>
          </w:tcPr>
          <w:p>
            <w:pPr>
              <w:spacing w:after="0"/>
              <w:rPr>
                <w:sz w:val="15"/>
                <w:szCs w:val="15"/>
                <w:color w:val="auto"/>
              </w:rPr>
            </w:pPr>
          </w:p>
        </w:tc>
      </w:tr>
      <w:tr>
        <w:trPr>
          <w:trHeight w:val="184"/>
        </w:trPr>
        <w:tc>
          <w:tcPr>
            <w:tcW w:w="560" w:type="dxa"/>
            <w:vAlign w:val="bottom"/>
          </w:tcPr>
          <w:p>
            <w:pPr>
              <w:spacing w:after="0"/>
              <w:rPr>
                <w:sz w:val="16"/>
                <w:szCs w:val="16"/>
                <w:color w:val="auto"/>
              </w:rPr>
            </w:pPr>
          </w:p>
        </w:tc>
        <w:tc>
          <w:tcPr>
            <w:tcW w:w="5260" w:type="dxa"/>
            <w:vAlign w:val="bottom"/>
          </w:tcPr>
          <w:p>
            <w:pPr>
              <w:spacing w:after="0"/>
              <w:rPr>
                <w:sz w:val="20"/>
                <w:szCs w:val="20"/>
                <w:color w:val="auto"/>
              </w:rPr>
            </w:pPr>
            <w:r>
              <w:rPr>
                <w:rFonts w:ascii="Arial" w:cs="Arial" w:eastAsia="Arial" w:hAnsi="Arial"/>
                <w:sz w:val="15"/>
                <w:szCs w:val="15"/>
                <w:color w:val="auto"/>
              </w:rPr>
              <w:t>Other</w:t>
            </w:r>
          </w:p>
        </w:tc>
        <w:tc>
          <w:tcPr>
            <w:tcW w:w="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4,874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5,520</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4,931</w:t>
            </w:r>
          </w:p>
        </w:tc>
        <w:tc>
          <w:tcPr>
            <w:tcW w:w="120" w:type="dxa"/>
            <w:vAlign w:val="bottom"/>
          </w:tcPr>
          <w:p>
            <w:pPr>
              <w:spacing w:after="0"/>
              <w:rPr>
                <w:sz w:val="16"/>
                <w:szCs w:val="16"/>
                <w:color w:val="auto"/>
              </w:rPr>
            </w:pPr>
          </w:p>
        </w:tc>
      </w:tr>
      <w:tr>
        <w:trPr>
          <w:trHeight w:val="201"/>
        </w:trPr>
        <w:tc>
          <w:tcPr>
            <w:tcW w:w="560" w:type="dxa"/>
            <w:vAlign w:val="bottom"/>
          </w:tcPr>
          <w:p>
            <w:pPr>
              <w:spacing w:after="0"/>
              <w:rPr>
                <w:sz w:val="17"/>
                <w:szCs w:val="17"/>
                <w:color w:val="auto"/>
              </w:rPr>
            </w:pPr>
          </w:p>
        </w:tc>
        <w:tc>
          <w:tcPr>
            <w:tcW w:w="5260" w:type="dxa"/>
            <w:vAlign w:val="bottom"/>
            <w:shd w:val="clear" w:color="auto" w:fill="C0FFFF"/>
          </w:tcPr>
          <w:p>
            <w:pPr>
              <w:spacing w:after="0"/>
              <w:rPr>
                <w:sz w:val="17"/>
                <w:szCs w:val="17"/>
                <w:color w:val="auto"/>
              </w:rPr>
            </w:pPr>
          </w:p>
        </w:tc>
        <w:tc>
          <w:tcPr>
            <w:tcW w:w="520" w:type="dxa"/>
            <w:vAlign w:val="bottom"/>
            <w:shd w:val="clear" w:color="auto" w:fill="C0FFFF"/>
          </w:tcPr>
          <w:p>
            <w:pPr>
              <w:spacing w:after="0"/>
              <w:rPr>
                <w:sz w:val="17"/>
                <w:szCs w:val="17"/>
                <w:color w:val="auto"/>
              </w:rPr>
            </w:pPr>
          </w:p>
        </w:tc>
        <w:tc>
          <w:tcPr>
            <w:tcW w:w="240" w:type="dxa"/>
            <w:vAlign w:val="bottom"/>
            <w:shd w:val="clear" w:color="auto" w:fill="C0FFFF"/>
          </w:tcPr>
          <w:p>
            <w:pPr>
              <w:jc w:val="right"/>
              <w:ind w:right="8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13,604</w:t>
            </w:r>
          </w:p>
        </w:tc>
        <w:tc>
          <w:tcPr>
            <w:tcW w:w="200" w:type="dxa"/>
            <w:vAlign w:val="bottom"/>
            <w:shd w:val="clear" w:color="auto" w:fill="C0FFFF"/>
          </w:tcPr>
          <w:p>
            <w:pPr>
              <w:spacing w:after="0"/>
              <w:rPr>
                <w:sz w:val="17"/>
                <w:szCs w:val="17"/>
                <w:color w:val="auto"/>
              </w:rPr>
            </w:pPr>
          </w:p>
        </w:tc>
        <w:tc>
          <w:tcPr>
            <w:tcW w:w="160" w:type="dxa"/>
            <w:vAlign w:val="bottom"/>
            <w:shd w:val="clear" w:color="auto" w:fill="C0FFFF"/>
          </w:tcPr>
          <w:p>
            <w:pPr>
              <w:jc w:val="right"/>
              <w:ind w:right="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17,854</w:t>
            </w:r>
          </w:p>
        </w:tc>
        <w:tc>
          <w:tcPr>
            <w:tcW w:w="4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22,580</w:t>
            </w:r>
          </w:p>
        </w:tc>
        <w:tc>
          <w:tcPr>
            <w:tcW w:w="120" w:type="dxa"/>
            <w:vAlign w:val="bottom"/>
            <w:shd w:val="clear" w:color="auto" w:fill="C0FFFF"/>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5260" w:type="dxa"/>
            <w:vAlign w:val="bottom"/>
            <w:tcBorders>
              <w:top w:val="single" w:sz="8" w:color="C0FFFF"/>
            </w:tcBorders>
            <w:shd w:val="clear" w:color="auto" w:fill="C0FFFF"/>
          </w:tcPr>
          <w:p>
            <w:pPr>
              <w:spacing w:after="0" w:line="20" w:lineRule="exact"/>
              <w:rPr>
                <w:sz w:val="1"/>
                <w:szCs w:val="1"/>
                <w:color w:val="auto"/>
              </w:rPr>
            </w:pPr>
          </w:p>
        </w:tc>
        <w:tc>
          <w:tcPr>
            <w:tcW w:w="520" w:type="dxa"/>
            <w:vAlign w:val="bottom"/>
            <w:tcBorders>
              <w:top w:val="single" w:sz="8" w:color="C0FFFF"/>
            </w:tcBorders>
            <w:shd w:val="clear" w:color="auto" w:fill="C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Goodwill</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Goodwill is accounted for in accordance with Financial Accounting Standards Board Accounting Standards Codification (ASC) Section 350-20 and is reported as a component of the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Company’s retail segment. The following table summarizes the changes in goodwill for the twenty-six weeks ended June 30, 2012 (in thousands):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7880" w:type="dxa"/>
            <w:vAlign w:val="bottom"/>
            <w:shd w:val="clear" w:color="auto" w:fill="C0FFFF"/>
          </w:tcPr>
          <w:p>
            <w:pPr>
              <w:spacing w:after="0"/>
              <w:rPr>
                <w:sz w:val="20"/>
                <w:szCs w:val="20"/>
                <w:color w:val="auto"/>
              </w:rPr>
            </w:pPr>
            <w:r>
              <w:rPr>
                <w:rFonts w:ascii="Arial" w:cs="Arial" w:eastAsia="Arial" w:hAnsi="Arial"/>
                <w:sz w:val="15"/>
                <w:szCs w:val="15"/>
                <w:color w:val="auto"/>
              </w:rPr>
              <w:t>Balance as of December 31, 2011</w:t>
            </w:r>
          </w:p>
        </w:tc>
        <w:tc>
          <w:tcPr>
            <w:tcW w:w="420" w:type="dxa"/>
            <w:vAlign w:val="bottom"/>
            <w:shd w:val="clear" w:color="auto" w:fill="C0FFFF"/>
          </w:tcPr>
          <w:p>
            <w:pPr>
              <w:jc w:val="right"/>
              <w:ind w:right="26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32,306</w:t>
            </w:r>
          </w:p>
        </w:tc>
      </w:tr>
      <w:tr>
        <w:trPr>
          <w:trHeight w:val="181"/>
        </w:trPr>
        <w:tc>
          <w:tcPr>
            <w:tcW w:w="7880" w:type="dxa"/>
            <w:vAlign w:val="bottom"/>
          </w:tcPr>
          <w:p>
            <w:pPr>
              <w:ind w:left="140"/>
              <w:spacing w:after="0"/>
              <w:rPr>
                <w:sz w:val="20"/>
                <w:szCs w:val="20"/>
                <w:color w:val="auto"/>
              </w:rPr>
            </w:pPr>
            <w:r>
              <w:rPr>
                <w:rFonts w:ascii="Arial" w:cs="Arial" w:eastAsia="Arial" w:hAnsi="Arial"/>
                <w:sz w:val="15"/>
                <w:szCs w:val="15"/>
                <w:color w:val="auto"/>
              </w:rPr>
              <w:t>Effect of foreign currency translation</w:t>
            </w:r>
          </w:p>
        </w:tc>
        <w:tc>
          <w:tcPr>
            <w:tcW w:w="420" w:type="dxa"/>
            <w:vAlign w:val="bottom"/>
          </w:tcPr>
          <w:p>
            <w:pPr>
              <w:spacing w:after="0"/>
              <w:rPr>
                <w:sz w:val="15"/>
                <w:szCs w:val="15"/>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5"/>
                <w:szCs w:val="15"/>
                <w:color w:val="auto"/>
              </w:rPr>
              <w:t>337</w:t>
            </w:r>
          </w:p>
        </w:tc>
      </w:tr>
      <w:tr>
        <w:trPr>
          <w:trHeight w:val="23"/>
        </w:trPr>
        <w:tc>
          <w:tcPr>
            <w:tcW w:w="78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1"/>
        </w:trPr>
        <w:tc>
          <w:tcPr>
            <w:tcW w:w="7880" w:type="dxa"/>
            <w:vAlign w:val="bottom"/>
            <w:shd w:val="clear" w:color="auto" w:fill="C0FFFF"/>
          </w:tcPr>
          <w:p>
            <w:pPr>
              <w:spacing w:after="0"/>
              <w:rPr>
                <w:sz w:val="20"/>
                <w:szCs w:val="20"/>
                <w:color w:val="auto"/>
              </w:rPr>
            </w:pPr>
            <w:r>
              <w:rPr>
                <w:rFonts w:ascii="Arial" w:cs="Arial" w:eastAsia="Arial" w:hAnsi="Arial"/>
                <w:sz w:val="15"/>
                <w:szCs w:val="15"/>
                <w:color w:val="auto"/>
              </w:rPr>
              <w:t>Balance as of June 30, 2012</w:t>
            </w:r>
          </w:p>
        </w:tc>
        <w:tc>
          <w:tcPr>
            <w:tcW w:w="420" w:type="dxa"/>
            <w:vAlign w:val="bottom"/>
            <w:shd w:val="clear" w:color="auto" w:fill="C0FFFF"/>
          </w:tcPr>
          <w:p>
            <w:pPr>
              <w:jc w:val="right"/>
              <w:ind w:right="26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32,643</w:t>
            </w:r>
          </w:p>
        </w:tc>
      </w:tr>
      <w:tr>
        <w:trPr>
          <w:trHeight w:val="20"/>
        </w:trPr>
        <w:tc>
          <w:tcPr>
            <w:tcW w:w="7880" w:type="dxa"/>
            <w:vAlign w:val="bottom"/>
            <w:tcBorders>
              <w:top w:val="single" w:sz="8" w:color="C0FFFF"/>
            </w:tcBorders>
            <w:shd w:val="clear" w:color="auto" w:fill="C0FF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FFFF"/>
            </w:tcBorders>
            <w:shd w:val="clear" w:color="auto" w:fill="C0FFFF"/>
          </w:tcPr>
          <w:p>
            <w:pPr>
              <w:spacing w:after="0" w:line="20" w:lineRule="exact"/>
              <w:rPr>
                <w:sz w:val="1"/>
                <w:szCs w:val="1"/>
                <w:color w:val="auto"/>
              </w:rPr>
            </w:pPr>
          </w:p>
        </w:tc>
      </w:tr>
    </w:tbl>
    <w:p>
      <w:pPr>
        <w:spacing w:after="0" w:line="216" w:lineRule="exact"/>
        <w:rPr>
          <w:sz w:val="20"/>
          <w:szCs w:val="20"/>
          <w:color w:val="auto"/>
        </w:rPr>
      </w:pPr>
    </w:p>
    <w:p>
      <w:pPr>
        <w:jc w:val="both"/>
        <w:ind w:right="60" w:firstLine="408"/>
        <w:spacing w:after="0" w:line="264" w:lineRule="auto"/>
        <w:rPr>
          <w:sz w:val="20"/>
          <w:szCs w:val="20"/>
          <w:color w:val="auto"/>
        </w:rPr>
      </w:pPr>
      <w:r>
        <w:rPr>
          <w:rFonts w:ascii="Arial" w:cs="Arial" w:eastAsia="Arial" w:hAnsi="Arial"/>
          <w:sz w:val="15"/>
          <w:szCs w:val="15"/>
          <w:color w:val="auto"/>
        </w:rPr>
        <w:t>Goodwill is not subject to amortization and is tested for impairment annually or more frequently if events or changes in circumstances indicate that the asset might be impaired. This testing requires comparison of carrying values to fair values, and when appropriate, the carrying value of impaired assets is reduced to fair value. Goodwill will be tested for impairment no later than December 29, 2012.</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454" w:right="21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4. Stock-based Compensation</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is a summary of the balances and activity for restricted stock and stock options for the twenty-six weeks ended June 30, 2012:</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6480" w:type="dxa"/>
            <w:vAlign w:val="bottom"/>
          </w:tcPr>
          <w:p>
            <w:pPr>
              <w:spacing w:after="0"/>
              <w:rPr>
                <w:sz w:val="15"/>
                <w:szCs w:val="15"/>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Restricted</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9"/>
        </w:trPr>
        <w:tc>
          <w:tcPr>
            <w:tcW w:w="6480" w:type="dxa"/>
            <w:vAlign w:val="bottom"/>
          </w:tcPr>
          <w:p>
            <w:pPr>
              <w:spacing w:after="0"/>
              <w:rPr>
                <w:sz w:val="17"/>
                <w:szCs w:val="17"/>
                <w:color w:val="auto"/>
              </w:rPr>
            </w:pPr>
          </w:p>
        </w:tc>
        <w:tc>
          <w:tcPr>
            <w:tcW w:w="118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Stock</w:t>
            </w:r>
          </w:p>
        </w:tc>
        <w:tc>
          <w:tcPr>
            <w:tcW w:w="220" w:type="dxa"/>
            <w:vAlign w:val="bottom"/>
          </w:tcPr>
          <w:p>
            <w:pPr>
              <w:spacing w:after="0"/>
              <w:rPr>
                <w:sz w:val="17"/>
                <w:szCs w:val="17"/>
                <w:color w:val="auto"/>
              </w:rPr>
            </w:pPr>
          </w:p>
        </w:tc>
        <w:tc>
          <w:tcPr>
            <w:tcW w:w="118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b w:val="1"/>
                <w:bCs w:val="1"/>
                <w:color w:val="auto"/>
              </w:rPr>
              <w:t>Options</w:t>
            </w:r>
          </w:p>
        </w:tc>
        <w:tc>
          <w:tcPr>
            <w:tcW w:w="100" w:type="dxa"/>
            <w:vAlign w:val="bottom"/>
          </w:tcPr>
          <w:p>
            <w:pPr>
              <w:spacing w:after="0"/>
              <w:rPr>
                <w:sz w:val="17"/>
                <w:szCs w:val="17"/>
                <w:color w:val="auto"/>
              </w:rPr>
            </w:pPr>
          </w:p>
        </w:tc>
      </w:tr>
      <w:tr>
        <w:trPr>
          <w:trHeight w:val="181"/>
        </w:trPr>
        <w:tc>
          <w:tcPr>
            <w:tcW w:w="6480" w:type="dxa"/>
            <w:vAlign w:val="bottom"/>
            <w:shd w:val="clear" w:color="auto" w:fill="C0FFFF"/>
          </w:tcPr>
          <w:p>
            <w:pPr>
              <w:spacing w:after="0"/>
              <w:rPr>
                <w:sz w:val="20"/>
                <w:szCs w:val="20"/>
                <w:color w:val="auto"/>
              </w:rPr>
            </w:pPr>
            <w:r>
              <w:rPr>
                <w:rFonts w:ascii="Arial" w:cs="Arial" w:eastAsia="Arial" w:hAnsi="Arial"/>
                <w:sz w:val="15"/>
                <w:szCs w:val="15"/>
                <w:color w:val="auto"/>
              </w:rPr>
              <w:t>Outstanding, December 31, 2011</w:t>
            </w:r>
          </w:p>
        </w:tc>
        <w:tc>
          <w:tcPr>
            <w:tcW w:w="11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1,438,131</w:t>
            </w:r>
          </w:p>
        </w:tc>
        <w:tc>
          <w:tcPr>
            <w:tcW w:w="220" w:type="dxa"/>
            <w:vAlign w:val="bottom"/>
            <w:shd w:val="clear" w:color="auto" w:fill="C0FFFF"/>
          </w:tcPr>
          <w:p>
            <w:pPr>
              <w:spacing w:after="0"/>
              <w:rPr>
                <w:sz w:val="15"/>
                <w:szCs w:val="15"/>
                <w:color w:val="auto"/>
              </w:rPr>
            </w:pPr>
          </w:p>
        </w:tc>
        <w:tc>
          <w:tcPr>
            <w:tcW w:w="12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1,210,816</w:t>
            </w:r>
          </w:p>
        </w:tc>
      </w:tr>
      <w:tr>
        <w:trPr>
          <w:trHeight w:val="181"/>
        </w:trPr>
        <w:tc>
          <w:tcPr>
            <w:tcW w:w="6480" w:type="dxa"/>
            <w:vAlign w:val="bottom"/>
          </w:tcPr>
          <w:p>
            <w:pPr>
              <w:spacing w:after="0"/>
              <w:rPr>
                <w:sz w:val="20"/>
                <w:szCs w:val="20"/>
                <w:color w:val="auto"/>
              </w:rPr>
            </w:pPr>
            <w:r>
              <w:rPr>
                <w:rFonts w:ascii="Arial" w:cs="Arial" w:eastAsia="Arial" w:hAnsi="Arial"/>
                <w:sz w:val="15"/>
                <w:szCs w:val="15"/>
                <w:color w:val="auto"/>
              </w:rPr>
              <w:t>Granted</w:t>
            </w:r>
          </w:p>
        </w:tc>
        <w:tc>
          <w:tcPr>
            <w:tcW w:w="1180" w:type="dxa"/>
            <w:vAlign w:val="bottom"/>
          </w:tcPr>
          <w:p>
            <w:pPr>
              <w:jc w:val="right"/>
              <w:spacing w:after="0"/>
              <w:rPr>
                <w:sz w:val="20"/>
                <w:szCs w:val="20"/>
                <w:color w:val="auto"/>
              </w:rPr>
            </w:pPr>
            <w:r>
              <w:rPr>
                <w:rFonts w:ascii="Arial" w:cs="Arial" w:eastAsia="Arial" w:hAnsi="Arial"/>
                <w:sz w:val="15"/>
                <w:szCs w:val="15"/>
                <w:color w:val="auto"/>
              </w:rPr>
              <w:t>274,088</w:t>
            </w:r>
          </w:p>
        </w:tc>
        <w:tc>
          <w:tcPr>
            <w:tcW w:w="22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228</w:t>
            </w:r>
          </w:p>
        </w:tc>
      </w:tr>
      <w:tr>
        <w:trPr>
          <w:trHeight w:val="181"/>
        </w:trPr>
        <w:tc>
          <w:tcPr>
            <w:tcW w:w="6480" w:type="dxa"/>
            <w:vAlign w:val="bottom"/>
            <w:shd w:val="clear" w:color="auto" w:fill="C0FFFF"/>
          </w:tcPr>
          <w:p>
            <w:pPr>
              <w:spacing w:after="0"/>
              <w:rPr>
                <w:sz w:val="20"/>
                <w:szCs w:val="20"/>
                <w:color w:val="auto"/>
              </w:rPr>
            </w:pPr>
            <w:r>
              <w:rPr>
                <w:rFonts w:ascii="Arial" w:cs="Arial" w:eastAsia="Arial" w:hAnsi="Arial"/>
                <w:sz w:val="15"/>
                <w:szCs w:val="15"/>
                <w:color w:val="auto"/>
              </w:rPr>
              <w:t>Vested</w:t>
            </w:r>
          </w:p>
        </w:tc>
        <w:tc>
          <w:tcPr>
            <w:tcW w:w="140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(744,672)</w:t>
            </w:r>
          </w:p>
        </w:tc>
        <w:tc>
          <w:tcPr>
            <w:tcW w:w="12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w:t>
            </w:r>
          </w:p>
        </w:tc>
      </w:tr>
      <w:tr>
        <w:trPr>
          <w:trHeight w:val="181"/>
        </w:trPr>
        <w:tc>
          <w:tcPr>
            <w:tcW w:w="6480" w:type="dxa"/>
            <w:vAlign w:val="bottom"/>
          </w:tcPr>
          <w:p>
            <w:pPr>
              <w:spacing w:after="0"/>
              <w:rPr>
                <w:sz w:val="20"/>
                <w:szCs w:val="20"/>
                <w:color w:val="auto"/>
              </w:rPr>
            </w:pPr>
            <w:r>
              <w:rPr>
                <w:rFonts w:ascii="Arial" w:cs="Arial" w:eastAsia="Arial" w:hAnsi="Arial"/>
                <w:sz w:val="15"/>
                <w:szCs w:val="15"/>
                <w:color w:val="auto"/>
              </w:rPr>
              <w:t>Exercised</w:t>
            </w:r>
          </w:p>
        </w:tc>
        <w:tc>
          <w:tcPr>
            <w:tcW w:w="1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181"/>
        </w:trPr>
        <w:tc>
          <w:tcPr>
            <w:tcW w:w="6480" w:type="dxa"/>
            <w:vAlign w:val="bottom"/>
            <w:shd w:val="clear" w:color="auto" w:fill="C0FFFF"/>
          </w:tcPr>
          <w:p>
            <w:pPr>
              <w:spacing w:after="0"/>
              <w:rPr>
                <w:sz w:val="20"/>
                <w:szCs w:val="20"/>
                <w:color w:val="auto"/>
              </w:rPr>
            </w:pPr>
            <w:r>
              <w:rPr>
                <w:rFonts w:ascii="Arial" w:cs="Arial" w:eastAsia="Arial" w:hAnsi="Arial"/>
                <w:sz w:val="15"/>
                <w:szCs w:val="15"/>
                <w:color w:val="auto"/>
              </w:rPr>
              <w:t>Forfeited</w:t>
            </w:r>
          </w:p>
        </w:tc>
        <w:tc>
          <w:tcPr>
            <w:tcW w:w="140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(44,164)</w:t>
            </w:r>
          </w:p>
        </w:tc>
        <w:tc>
          <w:tcPr>
            <w:tcW w:w="128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(26,855)</w:t>
            </w:r>
          </w:p>
        </w:tc>
      </w:tr>
      <w:tr>
        <w:trPr>
          <w:trHeight w:val="184"/>
        </w:trPr>
        <w:tc>
          <w:tcPr>
            <w:tcW w:w="6480" w:type="dxa"/>
            <w:vAlign w:val="bottom"/>
          </w:tcPr>
          <w:p>
            <w:pPr>
              <w:spacing w:after="0"/>
              <w:rPr>
                <w:sz w:val="20"/>
                <w:szCs w:val="20"/>
                <w:color w:val="auto"/>
              </w:rPr>
            </w:pPr>
            <w:r>
              <w:rPr>
                <w:rFonts w:ascii="Arial" w:cs="Arial" w:eastAsia="Arial" w:hAnsi="Arial"/>
                <w:sz w:val="15"/>
                <w:szCs w:val="15"/>
                <w:color w:val="auto"/>
              </w:rPr>
              <w:t>Canceled or expired</w:t>
            </w:r>
          </w:p>
        </w:tc>
        <w:tc>
          <w:tcPr>
            <w:tcW w:w="140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r>
      <w:tr>
        <w:trPr>
          <w:trHeight w:val="221"/>
        </w:trPr>
        <w:tc>
          <w:tcPr>
            <w:tcW w:w="6480" w:type="dxa"/>
            <w:vAlign w:val="bottom"/>
            <w:tcBorders>
              <w:bottom w:val="single" w:sz="8" w:color="C0FFFF"/>
            </w:tcBorders>
            <w:shd w:val="clear" w:color="auto" w:fill="C0FFFF"/>
          </w:tcPr>
          <w:p>
            <w:pPr>
              <w:spacing w:after="0"/>
              <w:rPr>
                <w:sz w:val="20"/>
                <w:szCs w:val="20"/>
                <w:color w:val="auto"/>
              </w:rPr>
            </w:pPr>
            <w:r>
              <w:rPr>
                <w:rFonts w:ascii="Arial" w:cs="Arial" w:eastAsia="Arial" w:hAnsi="Arial"/>
                <w:sz w:val="15"/>
                <w:szCs w:val="15"/>
                <w:color w:val="auto"/>
              </w:rPr>
              <w:t>Outstanding, June 30, 2012</w:t>
            </w:r>
          </w:p>
        </w:tc>
        <w:tc>
          <w:tcPr>
            <w:tcW w:w="118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5"/>
                <w:szCs w:val="15"/>
                <w:color w:val="auto"/>
              </w:rPr>
              <w:t>923,383</w:t>
            </w:r>
          </w:p>
        </w:tc>
        <w:tc>
          <w:tcPr>
            <w:tcW w:w="220" w:type="dxa"/>
            <w:vAlign w:val="bottom"/>
            <w:tcBorders>
              <w:bottom w:val="single" w:sz="8" w:color="C0FFFF"/>
            </w:tcBorders>
            <w:shd w:val="clear" w:color="auto" w:fill="C0FFFF"/>
          </w:tcPr>
          <w:p>
            <w:pPr>
              <w:spacing w:after="0"/>
              <w:rPr>
                <w:sz w:val="19"/>
                <w:szCs w:val="19"/>
                <w:color w:val="auto"/>
              </w:rPr>
            </w:pPr>
          </w:p>
        </w:tc>
        <w:tc>
          <w:tcPr>
            <w:tcW w:w="1180" w:type="dxa"/>
            <w:vAlign w:val="bottom"/>
            <w:tcBorders>
              <w:top w:val="single" w:sz="8" w:color="auto"/>
              <w:bottom w:val="single" w:sz="8" w:color="auto"/>
            </w:tcBorders>
            <w:shd w:val="clear" w:color="auto" w:fill="C0FFFF"/>
          </w:tcPr>
          <w:p>
            <w:pPr>
              <w:jc w:val="right"/>
              <w:spacing w:after="0"/>
              <w:rPr>
                <w:sz w:val="20"/>
                <w:szCs w:val="20"/>
                <w:color w:val="auto"/>
              </w:rPr>
            </w:pPr>
            <w:r>
              <w:rPr>
                <w:rFonts w:ascii="Arial" w:cs="Arial" w:eastAsia="Arial" w:hAnsi="Arial"/>
                <w:sz w:val="15"/>
                <w:szCs w:val="15"/>
                <w:color w:val="auto"/>
              </w:rPr>
              <w:t>1,184,189</w:t>
            </w:r>
          </w:p>
        </w:tc>
        <w:tc>
          <w:tcPr>
            <w:tcW w:w="100" w:type="dxa"/>
            <w:vAlign w:val="bottom"/>
            <w:tcBorders>
              <w:bottom w:val="single" w:sz="8" w:color="C0FFFF"/>
            </w:tcBorders>
            <w:shd w:val="clear" w:color="auto" w:fill="C0FFFF"/>
          </w:tcPr>
          <w:p>
            <w:pPr>
              <w:spacing w:after="0"/>
              <w:rPr>
                <w:sz w:val="19"/>
                <w:szCs w:val="19"/>
                <w:color w:val="auto"/>
              </w:rPr>
            </w:pPr>
          </w:p>
        </w:tc>
      </w:tr>
    </w:tbl>
    <w:p>
      <w:pPr>
        <w:spacing w:after="0" w:line="216" w:lineRule="exact"/>
        <w:rPr>
          <w:sz w:val="20"/>
          <w:szCs w:val="20"/>
          <w:color w:val="auto"/>
        </w:rPr>
      </w:pPr>
    </w:p>
    <w:p>
      <w:pPr>
        <w:ind w:right="160" w:firstLine="408"/>
        <w:spacing w:after="0" w:line="260" w:lineRule="auto"/>
        <w:rPr>
          <w:sz w:val="20"/>
          <w:szCs w:val="20"/>
          <w:color w:val="auto"/>
        </w:rPr>
      </w:pPr>
      <w:r>
        <w:rPr>
          <w:rFonts w:ascii="Arial" w:cs="Arial" w:eastAsia="Arial" w:hAnsi="Arial"/>
          <w:sz w:val="15"/>
          <w:szCs w:val="15"/>
          <w:color w:val="auto"/>
        </w:rPr>
        <w:t>For the thirteen and twenty-six weeks ended June 30, 2012, selling, general and administrative expense includes $ 1.0 million and $2.1 million, respectively, of stock-based compensation expense. For the thirteen and twenty-six weeks ended July 2, 2011, selling, general and administrative expense includes $1.1 million and $2.4 million, respectively, of stock-based compensation expense. As of June 30, 2012, there was $6.2 million of total unrecognized compensation expense related to nonvested restricted stock and option awards which is expected to be recognized over a weighted-average period of 1.6 years.</w:t>
      </w:r>
    </w:p>
    <w:p>
      <w:pPr>
        <w:spacing w:after="0" w:line="20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total fair value of shares vested during the twenty-six weeks ended June 30, 2012 and July 2, 2011 was $4.0 million and $2.0 million,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Earnings per Share</w:t>
      </w:r>
    </w:p>
    <w:p>
      <w:pPr>
        <w:spacing w:after="0" w:line="240" w:lineRule="exact"/>
        <w:rPr>
          <w:sz w:val="20"/>
          <w:szCs w:val="20"/>
          <w:color w:val="auto"/>
        </w:rPr>
      </w:pPr>
    </w:p>
    <w:p>
      <w:pPr>
        <w:jc w:val="both"/>
        <w:ind w:right="120" w:firstLine="408"/>
        <w:spacing w:after="0" w:line="264" w:lineRule="auto"/>
        <w:rPr>
          <w:sz w:val="20"/>
          <w:szCs w:val="20"/>
          <w:color w:val="auto"/>
        </w:rPr>
      </w:pPr>
      <w:r>
        <w:rPr>
          <w:rFonts w:ascii="Arial" w:cs="Arial" w:eastAsia="Arial" w:hAnsi="Arial"/>
          <w:sz w:val="15"/>
          <w:szCs w:val="15"/>
          <w:color w:val="auto"/>
        </w:rPr>
        <w:t>The Company uses the two-class method to compute basic and diluted earnings per common share. In periods of net loss, no effect is given to the Company’s participating securities as they do not contractually participate in losses of the Company. The following table sets forth the computation of basic and diluted loss per share (in thousands, except share and per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ind w:left="640"/>
              <w:spacing w:after="0"/>
              <w:rPr>
                <w:sz w:val="20"/>
                <w:szCs w:val="20"/>
                <w:color w:val="auto"/>
              </w:rPr>
            </w:pPr>
            <w:r>
              <w:rPr>
                <w:rFonts w:ascii="Arial" w:cs="Arial" w:eastAsia="Arial" w:hAnsi="Arial"/>
                <w:sz w:val="15"/>
                <w:szCs w:val="15"/>
                <w:b w:val="1"/>
                <w:bCs w:val="1"/>
                <w:color w:val="auto"/>
                <w:w w:val="93"/>
              </w:rPr>
              <w:t>Thirteen weeks ended</w:t>
            </w: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ind w:left="580"/>
              <w:spacing w:after="0"/>
              <w:rPr>
                <w:sz w:val="20"/>
                <w:szCs w:val="20"/>
                <w:color w:val="auto"/>
              </w:rPr>
            </w:pPr>
            <w:r>
              <w:rPr>
                <w:rFonts w:ascii="Arial" w:cs="Arial" w:eastAsia="Arial" w:hAnsi="Arial"/>
                <w:sz w:val="15"/>
                <w:szCs w:val="15"/>
                <w:b w:val="1"/>
                <w:bCs w:val="1"/>
                <w:color w:val="auto"/>
                <w:w w:val="89"/>
              </w:rPr>
              <w:t>Twenty-six weeks ended</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780" w:type="dxa"/>
            <w:vAlign w:val="bottom"/>
            <w:gridSpan w:val="3"/>
          </w:tcPr>
          <w:p>
            <w:pPr>
              <w:jc w:val="right"/>
              <w:ind w:right="540"/>
              <w:spacing w:after="0"/>
              <w:rPr>
                <w:sz w:val="20"/>
                <w:szCs w:val="20"/>
                <w:color w:val="auto"/>
              </w:rPr>
            </w:pPr>
            <w:r>
              <w:rPr>
                <w:rFonts w:ascii="Arial" w:cs="Arial" w:eastAsia="Arial" w:hAnsi="Arial"/>
                <w:sz w:val="15"/>
                <w:szCs w:val="15"/>
                <w:b w:val="1"/>
                <w:bCs w:val="1"/>
                <w:color w:val="auto"/>
              </w:rPr>
              <w:t>June 30, 2012</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5"/>
                <w:szCs w:val="15"/>
                <w:b w:val="1"/>
                <w:bCs w:val="1"/>
                <w:color w:val="auto"/>
              </w:rPr>
              <w:t>July 2, 2011</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80" w:type="dxa"/>
            <w:vAlign w:val="bottom"/>
            <w:gridSpan w:val="3"/>
          </w:tcPr>
          <w:p>
            <w:pPr>
              <w:jc w:val="right"/>
              <w:ind w:right="560"/>
              <w:spacing w:after="0"/>
              <w:rPr>
                <w:sz w:val="20"/>
                <w:szCs w:val="20"/>
                <w:color w:val="auto"/>
              </w:rPr>
            </w:pPr>
            <w:r>
              <w:rPr>
                <w:rFonts w:ascii="Arial" w:cs="Arial" w:eastAsia="Arial" w:hAnsi="Arial"/>
                <w:sz w:val="15"/>
                <w:szCs w:val="15"/>
                <w:b w:val="1"/>
                <w:bCs w:val="1"/>
                <w:color w:val="auto"/>
              </w:rPr>
              <w:t>June 30, 2012</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5"/>
                <w:szCs w:val="15"/>
                <w:b w:val="1"/>
                <w:bCs w:val="1"/>
                <w:color w:val="auto"/>
              </w:rPr>
              <w:t>July 2, 2011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980" w:type="dxa"/>
            <w:vAlign w:val="bottom"/>
            <w:shd w:val="clear" w:color="auto" w:fill="C0FFFF"/>
          </w:tcPr>
          <w:p>
            <w:pPr>
              <w:ind w:left="380"/>
              <w:spacing w:after="0"/>
              <w:rPr>
                <w:sz w:val="20"/>
                <w:szCs w:val="20"/>
                <w:color w:val="auto"/>
              </w:rPr>
            </w:pPr>
            <w:r>
              <w:rPr>
                <w:rFonts w:ascii="Arial" w:cs="Arial" w:eastAsia="Arial" w:hAnsi="Arial"/>
                <w:sz w:val="15"/>
                <w:szCs w:val="15"/>
                <w:color w:val="auto"/>
              </w:rPr>
              <w:t>NUMERATOR:</w:t>
            </w:r>
          </w:p>
        </w:tc>
        <w:tc>
          <w:tcPr>
            <w:tcW w:w="70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6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60" w:type="dxa"/>
            <w:vAlign w:val="bottom"/>
            <w:shd w:val="clear" w:color="auto" w:fill="C0FFFF"/>
          </w:tcPr>
          <w:p>
            <w:pPr>
              <w:spacing w:after="0"/>
              <w:rPr>
                <w:sz w:val="15"/>
                <w:szCs w:val="15"/>
                <w:color w:val="auto"/>
              </w:rPr>
            </w:pPr>
          </w:p>
        </w:tc>
        <w:tc>
          <w:tcPr>
            <w:tcW w:w="34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1980" w:type="dxa"/>
            <w:vAlign w:val="bottom"/>
          </w:tcPr>
          <w:p>
            <w:pPr>
              <w:ind w:left="100"/>
              <w:spacing w:after="0" w:line="171" w:lineRule="exact"/>
              <w:rPr>
                <w:sz w:val="20"/>
                <w:szCs w:val="20"/>
                <w:color w:val="auto"/>
              </w:rPr>
            </w:pPr>
            <w:r>
              <w:rPr>
                <w:rFonts w:ascii="Arial" w:cs="Arial" w:eastAsia="Arial" w:hAnsi="Arial"/>
                <w:sz w:val="15"/>
                <w:szCs w:val="15"/>
                <w:color w:val="auto"/>
              </w:rPr>
              <w:t>Net loss before</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81"/>
        </w:trPr>
        <w:tc>
          <w:tcPr>
            <w:tcW w:w="2000" w:type="dxa"/>
            <w:vAlign w:val="bottom"/>
            <w:gridSpan w:val="2"/>
          </w:tcPr>
          <w:p>
            <w:pPr>
              <w:spacing w:after="0"/>
              <w:rPr>
                <w:sz w:val="20"/>
                <w:szCs w:val="20"/>
                <w:color w:val="auto"/>
              </w:rPr>
            </w:pPr>
            <w:r>
              <w:rPr>
                <w:rFonts w:ascii="Arial" w:cs="Arial" w:eastAsia="Arial" w:hAnsi="Arial"/>
                <w:sz w:val="15"/>
                <w:szCs w:val="15"/>
                <w:color w:val="auto"/>
              </w:rPr>
              <w:t>allocation of earnings to</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1"/>
        </w:trPr>
        <w:tc>
          <w:tcPr>
            <w:tcW w:w="2000" w:type="dxa"/>
            <w:vAlign w:val="bottom"/>
            <w:gridSpan w:val="2"/>
          </w:tcPr>
          <w:p>
            <w:pPr>
              <w:spacing w:after="0"/>
              <w:rPr>
                <w:sz w:val="20"/>
                <w:szCs w:val="20"/>
                <w:color w:val="auto"/>
              </w:rPr>
            </w:pPr>
            <w:r>
              <w:rPr>
                <w:rFonts w:ascii="Arial" w:cs="Arial" w:eastAsia="Arial" w:hAnsi="Arial"/>
                <w:sz w:val="15"/>
                <w:szCs w:val="15"/>
                <w:color w:val="auto"/>
              </w:rPr>
              <w:t>participating securities</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(7,551</w:t>
            </w:r>
          </w:p>
        </w:tc>
        <w:tc>
          <w:tcPr>
            <w:tcW w:w="72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380" w:type="dxa"/>
            <w:vAlign w:val="bottom"/>
          </w:tcPr>
          <w:p>
            <w:pPr>
              <w:ind w:left="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(6,675</w:t>
            </w:r>
          </w:p>
        </w:tc>
        <w:tc>
          <w:tcPr>
            <w:tcW w:w="72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(8,568</w:t>
            </w:r>
          </w:p>
        </w:tc>
        <w:tc>
          <w:tcPr>
            <w:tcW w:w="70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340" w:type="dxa"/>
            <w:vAlign w:val="bottom"/>
          </w:tcPr>
          <w:p>
            <w:pPr>
              <w:ind w:left="6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(8,927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1"/>
        </w:trPr>
        <w:tc>
          <w:tcPr>
            <w:tcW w:w="20" w:type="dxa"/>
            <w:vAlign w:val="bottom"/>
          </w:tcPr>
          <w:p>
            <w:pPr>
              <w:spacing w:after="0"/>
              <w:rPr>
                <w:sz w:val="14"/>
                <w:szCs w:val="14"/>
                <w:color w:val="auto"/>
              </w:rPr>
            </w:pPr>
          </w:p>
        </w:tc>
        <w:tc>
          <w:tcPr>
            <w:tcW w:w="1980" w:type="dxa"/>
            <w:vAlign w:val="bottom"/>
            <w:shd w:val="clear" w:color="auto" w:fill="C0FFFF"/>
          </w:tcPr>
          <w:p>
            <w:pPr>
              <w:ind w:left="380"/>
              <w:spacing w:after="0" w:line="172" w:lineRule="exact"/>
              <w:rPr>
                <w:sz w:val="20"/>
                <w:szCs w:val="20"/>
                <w:color w:val="auto"/>
              </w:rPr>
            </w:pPr>
            <w:r>
              <w:rPr>
                <w:rFonts w:ascii="Arial" w:cs="Arial" w:eastAsia="Arial" w:hAnsi="Arial"/>
                <w:sz w:val="15"/>
                <w:szCs w:val="15"/>
                <w:color w:val="auto"/>
              </w:rPr>
              <w:t>Less: Earnings</w:t>
            </w:r>
          </w:p>
        </w:tc>
        <w:tc>
          <w:tcPr>
            <w:tcW w:w="700" w:type="dxa"/>
            <w:vAlign w:val="bottom"/>
            <w:shd w:val="clear" w:color="auto" w:fill="C0FFFF"/>
          </w:tcPr>
          <w:p>
            <w:pPr>
              <w:spacing w:after="0"/>
              <w:rPr>
                <w:sz w:val="14"/>
                <w:szCs w:val="14"/>
                <w:color w:val="auto"/>
              </w:rPr>
            </w:pPr>
          </w:p>
        </w:tc>
        <w:tc>
          <w:tcPr>
            <w:tcW w:w="88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320" w:type="dxa"/>
            <w:vAlign w:val="bottom"/>
            <w:shd w:val="clear" w:color="auto" w:fill="C0FFFF"/>
          </w:tcPr>
          <w:p>
            <w:pPr>
              <w:spacing w:after="0"/>
              <w:rPr>
                <w:sz w:val="14"/>
                <w:szCs w:val="14"/>
                <w:color w:val="auto"/>
              </w:rPr>
            </w:pPr>
          </w:p>
        </w:tc>
        <w:tc>
          <w:tcPr>
            <w:tcW w:w="380" w:type="dxa"/>
            <w:vAlign w:val="bottom"/>
            <w:shd w:val="clear" w:color="auto" w:fill="C0FFFF"/>
          </w:tcPr>
          <w:p>
            <w:pPr>
              <w:spacing w:after="0"/>
              <w:rPr>
                <w:sz w:val="14"/>
                <w:szCs w:val="14"/>
                <w:color w:val="auto"/>
              </w:rPr>
            </w:pPr>
          </w:p>
        </w:tc>
        <w:tc>
          <w:tcPr>
            <w:tcW w:w="88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680" w:type="dxa"/>
            <w:vAlign w:val="bottom"/>
            <w:shd w:val="clear" w:color="auto" w:fill="C0FFFF"/>
          </w:tcPr>
          <w:p>
            <w:pPr>
              <w:spacing w:after="0"/>
              <w:rPr>
                <w:sz w:val="14"/>
                <w:szCs w:val="14"/>
                <w:color w:val="auto"/>
              </w:rPr>
            </w:pPr>
          </w:p>
        </w:tc>
        <w:tc>
          <w:tcPr>
            <w:tcW w:w="88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360" w:type="dxa"/>
            <w:vAlign w:val="bottom"/>
            <w:shd w:val="clear" w:color="auto" w:fill="C0FFFF"/>
          </w:tcPr>
          <w:p>
            <w:pPr>
              <w:spacing w:after="0"/>
              <w:rPr>
                <w:sz w:val="14"/>
                <w:szCs w:val="14"/>
                <w:color w:val="auto"/>
              </w:rPr>
            </w:pPr>
          </w:p>
        </w:tc>
        <w:tc>
          <w:tcPr>
            <w:tcW w:w="340" w:type="dxa"/>
            <w:vAlign w:val="bottom"/>
            <w:shd w:val="clear" w:color="auto" w:fill="C0FFFF"/>
          </w:tcPr>
          <w:p>
            <w:pPr>
              <w:spacing w:after="0"/>
              <w:rPr>
                <w:sz w:val="14"/>
                <w:szCs w:val="14"/>
                <w:color w:val="auto"/>
              </w:rPr>
            </w:pPr>
          </w:p>
        </w:tc>
        <w:tc>
          <w:tcPr>
            <w:tcW w:w="88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980" w:type="dxa"/>
            <w:vAlign w:val="bottom"/>
            <w:shd w:val="clear" w:color="auto" w:fill="C0FFFF"/>
          </w:tcPr>
          <w:p>
            <w:pPr>
              <w:spacing w:after="0"/>
              <w:rPr>
                <w:sz w:val="20"/>
                <w:szCs w:val="20"/>
                <w:color w:val="auto"/>
              </w:rPr>
            </w:pPr>
            <w:r>
              <w:rPr>
                <w:rFonts w:ascii="Arial" w:cs="Arial" w:eastAsia="Arial" w:hAnsi="Arial"/>
                <w:sz w:val="15"/>
                <w:szCs w:val="15"/>
                <w:color w:val="auto"/>
              </w:rPr>
              <w:t>allocated to participating</w:t>
            </w:r>
          </w:p>
        </w:tc>
        <w:tc>
          <w:tcPr>
            <w:tcW w:w="70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6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60" w:type="dxa"/>
            <w:vAlign w:val="bottom"/>
            <w:shd w:val="clear" w:color="auto" w:fill="C0FFFF"/>
          </w:tcPr>
          <w:p>
            <w:pPr>
              <w:spacing w:after="0"/>
              <w:rPr>
                <w:sz w:val="15"/>
                <w:szCs w:val="15"/>
                <w:color w:val="auto"/>
              </w:rPr>
            </w:pPr>
          </w:p>
        </w:tc>
        <w:tc>
          <w:tcPr>
            <w:tcW w:w="34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95"/>
        </w:trPr>
        <w:tc>
          <w:tcPr>
            <w:tcW w:w="20" w:type="dxa"/>
            <w:vAlign w:val="bottom"/>
          </w:tcPr>
          <w:p>
            <w:pPr>
              <w:spacing w:after="0"/>
              <w:rPr>
                <w:sz w:val="16"/>
                <w:szCs w:val="16"/>
                <w:color w:val="auto"/>
              </w:rPr>
            </w:pPr>
          </w:p>
        </w:tc>
        <w:tc>
          <w:tcPr>
            <w:tcW w:w="1980" w:type="dxa"/>
            <w:vAlign w:val="bottom"/>
            <w:shd w:val="clear" w:color="auto" w:fill="C0FFFF"/>
          </w:tcPr>
          <w:p>
            <w:pPr>
              <w:spacing w:after="0"/>
              <w:rPr>
                <w:sz w:val="20"/>
                <w:szCs w:val="20"/>
                <w:color w:val="auto"/>
              </w:rPr>
            </w:pPr>
            <w:r>
              <w:rPr>
                <w:rFonts w:ascii="Arial" w:cs="Arial" w:eastAsia="Arial" w:hAnsi="Arial"/>
                <w:sz w:val="15"/>
                <w:szCs w:val="15"/>
                <w:color w:val="auto"/>
              </w:rPr>
              <w:t>securities</w:t>
            </w:r>
          </w:p>
        </w:tc>
        <w:tc>
          <w:tcPr>
            <w:tcW w:w="700" w:type="dxa"/>
            <w:vAlign w:val="bottom"/>
            <w:shd w:val="clear" w:color="auto" w:fill="C0FFFF"/>
          </w:tcPr>
          <w:p>
            <w:pPr>
              <w:spacing w:after="0"/>
              <w:rPr>
                <w:sz w:val="16"/>
                <w:szCs w:val="16"/>
                <w:color w:val="auto"/>
              </w:rPr>
            </w:pP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88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0FFFF"/>
          </w:tcPr>
          <w:p>
            <w:pPr>
              <w:spacing w:after="0"/>
              <w:rPr>
                <w:sz w:val="16"/>
                <w:szCs w:val="16"/>
                <w:color w:val="auto"/>
              </w:rPr>
            </w:pPr>
          </w:p>
        </w:tc>
        <w:tc>
          <w:tcPr>
            <w:tcW w:w="720" w:type="dxa"/>
            <w:vAlign w:val="bottom"/>
            <w:shd w:val="clear" w:color="auto" w:fill="C0FFFF"/>
          </w:tcPr>
          <w:p>
            <w:pPr>
              <w:spacing w:after="0"/>
              <w:rPr>
                <w:sz w:val="16"/>
                <w:szCs w:val="16"/>
                <w:color w:val="auto"/>
              </w:rPr>
            </w:pPr>
          </w:p>
        </w:tc>
        <w:tc>
          <w:tcPr>
            <w:tcW w:w="680" w:type="dxa"/>
            <w:vAlign w:val="bottom"/>
            <w:shd w:val="clear" w:color="auto" w:fill="C0FFFF"/>
          </w:tcPr>
          <w:p>
            <w:pPr>
              <w:spacing w:after="0"/>
              <w:rPr>
                <w:sz w:val="16"/>
                <w:szCs w:val="16"/>
                <w:color w:val="auto"/>
              </w:rPr>
            </w:pPr>
          </w:p>
        </w:tc>
        <w:tc>
          <w:tcPr>
            <w:tcW w:w="11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shd w:val="clear" w:color="auto" w:fill="C0FFFF"/>
          </w:tcPr>
          <w:p>
            <w:pPr>
              <w:spacing w:after="0"/>
              <w:rPr>
                <w:sz w:val="16"/>
                <w:szCs w:val="16"/>
                <w:color w:val="auto"/>
              </w:rPr>
            </w:pPr>
          </w:p>
        </w:tc>
        <w:tc>
          <w:tcPr>
            <w:tcW w:w="3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0FFFF"/>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1980" w:type="dxa"/>
            <w:vAlign w:val="bottom"/>
            <w:tcBorders>
              <w:top w:val="single" w:sz="8" w:color="C0FFFF"/>
            </w:tcBorders>
          </w:tcPr>
          <w:p>
            <w:pPr>
              <w:ind w:left="240"/>
              <w:spacing w:after="0" w:line="171" w:lineRule="exact"/>
              <w:rPr>
                <w:sz w:val="20"/>
                <w:szCs w:val="20"/>
                <w:color w:val="auto"/>
              </w:rPr>
            </w:pPr>
            <w:r>
              <w:rPr>
                <w:rFonts w:ascii="Arial" w:cs="Arial" w:eastAsia="Arial" w:hAnsi="Arial"/>
                <w:sz w:val="15"/>
                <w:szCs w:val="15"/>
                <w:color w:val="auto"/>
              </w:rPr>
              <w:t>Net loss after</w:t>
            </w:r>
          </w:p>
        </w:tc>
        <w:tc>
          <w:tcPr>
            <w:tcW w:w="7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C0FFFF"/>
            </w:tcBorders>
          </w:tcPr>
          <w:p>
            <w:pPr>
              <w:spacing w:after="0"/>
              <w:rPr>
                <w:sz w:val="14"/>
                <w:szCs w:val="14"/>
                <w:color w:val="auto"/>
              </w:rPr>
            </w:pPr>
          </w:p>
        </w:tc>
        <w:tc>
          <w:tcPr>
            <w:tcW w:w="720" w:type="dxa"/>
            <w:vAlign w:val="bottom"/>
            <w:tcBorders>
              <w:top w:val="single" w:sz="8" w:color="C0FFFF"/>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C0FFFF"/>
            </w:tcBorders>
          </w:tcPr>
          <w:p>
            <w:pPr>
              <w:spacing w:after="0"/>
              <w:rPr>
                <w:sz w:val="14"/>
                <w:szCs w:val="14"/>
                <w:color w:val="auto"/>
              </w:rPr>
            </w:pPr>
          </w:p>
        </w:tc>
        <w:tc>
          <w:tcPr>
            <w:tcW w:w="720" w:type="dxa"/>
            <w:vAlign w:val="bottom"/>
            <w:tcBorders>
              <w:top w:val="single" w:sz="8" w:color="C0FFFF"/>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20" w:type="dxa"/>
            <w:vAlign w:val="bottom"/>
            <w:tcBorders>
              <w:top w:val="single" w:sz="8" w:color="C0FFFF"/>
            </w:tcBorders>
          </w:tcPr>
          <w:p>
            <w:pPr>
              <w:spacing w:after="0"/>
              <w:rPr>
                <w:sz w:val="14"/>
                <w:szCs w:val="14"/>
                <w:color w:val="auto"/>
              </w:rPr>
            </w:pPr>
          </w:p>
        </w:tc>
        <w:tc>
          <w:tcPr>
            <w:tcW w:w="700" w:type="dxa"/>
            <w:vAlign w:val="bottom"/>
            <w:tcBorders>
              <w:top w:val="single" w:sz="8" w:color="C0FFFF"/>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0" w:type="dxa"/>
            <w:vAlign w:val="bottom"/>
            <w:tcBorders>
              <w:top w:val="single" w:sz="8" w:color="C0FFFF"/>
            </w:tcBorders>
          </w:tcPr>
          <w:p>
            <w:pPr>
              <w:spacing w:after="0"/>
              <w:rPr>
                <w:sz w:val="14"/>
                <w:szCs w:val="14"/>
                <w:color w:val="auto"/>
              </w:rPr>
            </w:pPr>
          </w:p>
        </w:tc>
        <w:tc>
          <w:tcPr>
            <w:tcW w:w="260" w:type="dxa"/>
            <w:vAlign w:val="bottom"/>
            <w:tcBorders>
              <w:top w:val="single" w:sz="8" w:color="C0FFFF"/>
            </w:tcBorders>
          </w:tcPr>
          <w:p>
            <w:pPr>
              <w:spacing w:after="0"/>
              <w:rPr>
                <w:sz w:val="14"/>
                <w:szCs w:val="14"/>
                <w:color w:val="auto"/>
              </w:rPr>
            </w:pPr>
          </w:p>
        </w:tc>
      </w:tr>
      <w:tr>
        <w:trPr>
          <w:trHeight w:val="181"/>
        </w:trPr>
        <w:tc>
          <w:tcPr>
            <w:tcW w:w="2000" w:type="dxa"/>
            <w:vAlign w:val="bottom"/>
            <w:gridSpan w:val="2"/>
          </w:tcPr>
          <w:p>
            <w:pPr>
              <w:spacing w:after="0"/>
              <w:rPr>
                <w:sz w:val="20"/>
                <w:szCs w:val="20"/>
                <w:color w:val="auto"/>
              </w:rPr>
            </w:pPr>
            <w:r>
              <w:rPr>
                <w:rFonts w:ascii="Arial" w:cs="Arial" w:eastAsia="Arial" w:hAnsi="Arial"/>
                <w:sz w:val="15"/>
                <w:szCs w:val="15"/>
                <w:color w:val="auto"/>
              </w:rPr>
              <w:t>allocation of earnings to</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1"/>
        </w:trPr>
        <w:tc>
          <w:tcPr>
            <w:tcW w:w="2000" w:type="dxa"/>
            <w:vAlign w:val="bottom"/>
            <w:gridSpan w:val="2"/>
          </w:tcPr>
          <w:p>
            <w:pPr>
              <w:spacing w:after="0"/>
              <w:rPr>
                <w:sz w:val="20"/>
                <w:szCs w:val="20"/>
                <w:color w:val="auto"/>
              </w:rPr>
            </w:pPr>
            <w:r>
              <w:rPr>
                <w:rFonts w:ascii="Arial" w:cs="Arial" w:eastAsia="Arial" w:hAnsi="Arial"/>
                <w:sz w:val="15"/>
                <w:szCs w:val="15"/>
                <w:color w:val="auto"/>
              </w:rPr>
              <w:t>participating securities</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(7,551</w:t>
            </w:r>
          </w:p>
        </w:tc>
        <w:tc>
          <w:tcPr>
            <w:tcW w:w="72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380" w:type="dxa"/>
            <w:vAlign w:val="bottom"/>
          </w:tcPr>
          <w:p>
            <w:pPr>
              <w:ind w:left="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(6,675</w:t>
            </w:r>
          </w:p>
        </w:tc>
        <w:tc>
          <w:tcPr>
            <w:tcW w:w="72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(8,568</w:t>
            </w:r>
          </w:p>
        </w:tc>
        <w:tc>
          <w:tcPr>
            <w:tcW w:w="70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340" w:type="dxa"/>
            <w:vAlign w:val="bottom"/>
          </w:tcPr>
          <w:p>
            <w:pPr>
              <w:ind w:left="6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(8,927</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198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88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320" w:type="dxa"/>
            <w:vAlign w:val="bottom"/>
            <w:shd w:val="clear" w:color="auto" w:fill="C0FFFF"/>
          </w:tcPr>
          <w:p>
            <w:pPr>
              <w:spacing w:after="0"/>
              <w:rPr>
                <w:sz w:val="14"/>
                <w:szCs w:val="14"/>
                <w:color w:val="auto"/>
              </w:rPr>
            </w:pPr>
          </w:p>
        </w:tc>
        <w:tc>
          <w:tcPr>
            <w:tcW w:w="380" w:type="dxa"/>
            <w:vAlign w:val="bottom"/>
            <w:shd w:val="clear" w:color="auto" w:fill="C0FFFF"/>
          </w:tcPr>
          <w:p>
            <w:pPr>
              <w:spacing w:after="0"/>
              <w:rPr>
                <w:sz w:val="14"/>
                <w:szCs w:val="14"/>
                <w:color w:val="auto"/>
              </w:rPr>
            </w:pPr>
          </w:p>
        </w:tc>
        <w:tc>
          <w:tcPr>
            <w:tcW w:w="88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680" w:type="dxa"/>
            <w:vAlign w:val="bottom"/>
            <w:shd w:val="clear" w:color="auto" w:fill="C0FFFF"/>
          </w:tcPr>
          <w:p>
            <w:pPr>
              <w:spacing w:after="0"/>
              <w:rPr>
                <w:sz w:val="14"/>
                <w:szCs w:val="14"/>
                <w:color w:val="auto"/>
              </w:rPr>
            </w:pPr>
          </w:p>
        </w:tc>
        <w:tc>
          <w:tcPr>
            <w:tcW w:w="88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360" w:type="dxa"/>
            <w:vAlign w:val="bottom"/>
            <w:shd w:val="clear" w:color="auto" w:fill="C0FFFF"/>
          </w:tcPr>
          <w:p>
            <w:pPr>
              <w:spacing w:after="0"/>
              <w:rPr>
                <w:sz w:val="14"/>
                <w:szCs w:val="14"/>
                <w:color w:val="auto"/>
              </w:rPr>
            </w:pPr>
          </w:p>
        </w:tc>
        <w:tc>
          <w:tcPr>
            <w:tcW w:w="340" w:type="dxa"/>
            <w:vAlign w:val="bottom"/>
            <w:shd w:val="clear" w:color="auto" w:fill="C0FFFF"/>
          </w:tcPr>
          <w:p>
            <w:pPr>
              <w:spacing w:after="0"/>
              <w:rPr>
                <w:sz w:val="14"/>
                <w:szCs w:val="14"/>
                <w:color w:val="auto"/>
              </w:rPr>
            </w:pPr>
          </w:p>
        </w:tc>
        <w:tc>
          <w:tcPr>
            <w:tcW w:w="88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980" w:type="dxa"/>
            <w:vAlign w:val="bottom"/>
          </w:tcPr>
          <w:p>
            <w:pPr>
              <w:ind w:left="380"/>
              <w:spacing w:after="0"/>
              <w:rPr>
                <w:sz w:val="20"/>
                <w:szCs w:val="20"/>
                <w:color w:val="auto"/>
              </w:rPr>
            </w:pPr>
            <w:r>
              <w:rPr>
                <w:rFonts w:ascii="Arial" w:cs="Arial" w:eastAsia="Arial" w:hAnsi="Arial"/>
                <w:sz w:val="15"/>
                <w:szCs w:val="15"/>
                <w:color w:val="auto"/>
              </w:rPr>
              <w:t>DENOMINATOR:</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71"/>
        </w:trPr>
        <w:tc>
          <w:tcPr>
            <w:tcW w:w="20" w:type="dxa"/>
            <w:vAlign w:val="bottom"/>
          </w:tcPr>
          <w:p>
            <w:pPr>
              <w:spacing w:after="0"/>
              <w:rPr>
                <w:sz w:val="14"/>
                <w:szCs w:val="14"/>
                <w:color w:val="auto"/>
              </w:rPr>
            </w:pPr>
          </w:p>
        </w:tc>
        <w:tc>
          <w:tcPr>
            <w:tcW w:w="1980" w:type="dxa"/>
            <w:vAlign w:val="bottom"/>
            <w:shd w:val="clear" w:color="auto" w:fill="C0FFFF"/>
          </w:tcPr>
          <w:p>
            <w:pPr>
              <w:ind w:left="100"/>
              <w:spacing w:after="0" w:line="171" w:lineRule="exact"/>
              <w:rPr>
                <w:sz w:val="20"/>
                <w:szCs w:val="20"/>
                <w:color w:val="auto"/>
              </w:rPr>
            </w:pPr>
            <w:r>
              <w:rPr>
                <w:rFonts w:ascii="Arial" w:cs="Arial" w:eastAsia="Arial" w:hAnsi="Arial"/>
                <w:sz w:val="15"/>
                <w:szCs w:val="15"/>
                <w:color w:val="auto"/>
              </w:rPr>
              <w:t>Weighted average</w:t>
            </w:r>
          </w:p>
        </w:tc>
        <w:tc>
          <w:tcPr>
            <w:tcW w:w="700" w:type="dxa"/>
            <w:vAlign w:val="bottom"/>
            <w:shd w:val="clear" w:color="auto" w:fill="C0FFFF"/>
          </w:tcPr>
          <w:p>
            <w:pPr>
              <w:spacing w:after="0"/>
              <w:rPr>
                <w:sz w:val="14"/>
                <w:szCs w:val="14"/>
                <w:color w:val="auto"/>
              </w:rPr>
            </w:pPr>
          </w:p>
        </w:tc>
        <w:tc>
          <w:tcPr>
            <w:tcW w:w="88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320" w:type="dxa"/>
            <w:vAlign w:val="bottom"/>
            <w:shd w:val="clear" w:color="auto" w:fill="C0FFFF"/>
          </w:tcPr>
          <w:p>
            <w:pPr>
              <w:spacing w:after="0"/>
              <w:rPr>
                <w:sz w:val="14"/>
                <w:szCs w:val="14"/>
                <w:color w:val="auto"/>
              </w:rPr>
            </w:pPr>
          </w:p>
        </w:tc>
        <w:tc>
          <w:tcPr>
            <w:tcW w:w="380" w:type="dxa"/>
            <w:vAlign w:val="bottom"/>
            <w:shd w:val="clear" w:color="auto" w:fill="C0FFFF"/>
          </w:tcPr>
          <w:p>
            <w:pPr>
              <w:spacing w:after="0"/>
              <w:rPr>
                <w:sz w:val="14"/>
                <w:szCs w:val="14"/>
                <w:color w:val="auto"/>
              </w:rPr>
            </w:pPr>
          </w:p>
        </w:tc>
        <w:tc>
          <w:tcPr>
            <w:tcW w:w="88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680" w:type="dxa"/>
            <w:vAlign w:val="bottom"/>
            <w:shd w:val="clear" w:color="auto" w:fill="C0FFFF"/>
          </w:tcPr>
          <w:p>
            <w:pPr>
              <w:spacing w:after="0"/>
              <w:rPr>
                <w:sz w:val="14"/>
                <w:szCs w:val="14"/>
                <w:color w:val="auto"/>
              </w:rPr>
            </w:pPr>
          </w:p>
        </w:tc>
        <w:tc>
          <w:tcPr>
            <w:tcW w:w="880" w:type="dxa"/>
            <w:vAlign w:val="bottom"/>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360" w:type="dxa"/>
            <w:vAlign w:val="bottom"/>
            <w:shd w:val="clear" w:color="auto" w:fill="C0FFFF"/>
          </w:tcPr>
          <w:p>
            <w:pPr>
              <w:spacing w:after="0"/>
              <w:rPr>
                <w:sz w:val="14"/>
                <w:szCs w:val="14"/>
                <w:color w:val="auto"/>
              </w:rPr>
            </w:pPr>
          </w:p>
        </w:tc>
        <w:tc>
          <w:tcPr>
            <w:tcW w:w="340" w:type="dxa"/>
            <w:vAlign w:val="bottom"/>
            <w:shd w:val="clear" w:color="auto" w:fill="C0FFFF"/>
          </w:tcPr>
          <w:p>
            <w:pPr>
              <w:spacing w:after="0"/>
              <w:rPr>
                <w:sz w:val="14"/>
                <w:szCs w:val="14"/>
                <w:color w:val="auto"/>
              </w:rPr>
            </w:pPr>
          </w:p>
        </w:tc>
        <w:tc>
          <w:tcPr>
            <w:tcW w:w="880" w:type="dxa"/>
            <w:vAlign w:val="bottom"/>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980" w:type="dxa"/>
            <w:vAlign w:val="bottom"/>
            <w:shd w:val="clear" w:color="auto" w:fill="C0FFFF"/>
          </w:tcPr>
          <w:p>
            <w:pPr>
              <w:spacing w:after="0"/>
              <w:rPr>
                <w:sz w:val="20"/>
                <w:szCs w:val="20"/>
                <w:color w:val="auto"/>
              </w:rPr>
            </w:pPr>
            <w:r>
              <w:rPr>
                <w:rFonts w:ascii="Arial" w:cs="Arial" w:eastAsia="Arial" w:hAnsi="Arial"/>
                <w:sz w:val="15"/>
                <w:szCs w:val="15"/>
                <w:color w:val="auto"/>
              </w:rPr>
              <w:t>number of common</w:t>
            </w:r>
          </w:p>
        </w:tc>
        <w:tc>
          <w:tcPr>
            <w:tcW w:w="70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6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60" w:type="dxa"/>
            <w:vAlign w:val="bottom"/>
            <w:shd w:val="clear" w:color="auto" w:fill="C0FFFF"/>
          </w:tcPr>
          <w:p>
            <w:pPr>
              <w:spacing w:after="0"/>
              <w:rPr>
                <w:sz w:val="15"/>
                <w:szCs w:val="15"/>
                <w:color w:val="auto"/>
              </w:rPr>
            </w:pPr>
          </w:p>
        </w:tc>
        <w:tc>
          <w:tcPr>
            <w:tcW w:w="34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92"/>
        </w:trPr>
        <w:tc>
          <w:tcPr>
            <w:tcW w:w="20" w:type="dxa"/>
            <w:vAlign w:val="bottom"/>
          </w:tcPr>
          <w:p>
            <w:pPr>
              <w:spacing w:after="0"/>
              <w:rPr>
                <w:sz w:val="16"/>
                <w:szCs w:val="16"/>
                <w:color w:val="auto"/>
              </w:rPr>
            </w:pPr>
          </w:p>
        </w:tc>
        <w:tc>
          <w:tcPr>
            <w:tcW w:w="1980" w:type="dxa"/>
            <w:vAlign w:val="bottom"/>
            <w:shd w:val="clear" w:color="auto" w:fill="C0FFFF"/>
          </w:tcPr>
          <w:p>
            <w:pPr>
              <w:spacing w:after="0"/>
              <w:rPr>
                <w:sz w:val="20"/>
                <w:szCs w:val="20"/>
                <w:color w:val="auto"/>
              </w:rPr>
            </w:pPr>
            <w:r>
              <w:rPr>
                <w:rFonts w:ascii="Arial" w:cs="Arial" w:eastAsia="Arial" w:hAnsi="Arial"/>
                <w:sz w:val="15"/>
                <w:szCs w:val="15"/>
                <w:color w:val="auto"/>
              </w:rPr>
              <w:t>shares outstanding - basic</w:t>
            </w:r>
          </w:p>
        </w:tc>
        <w:tc>
          <w:tcPr>
            <w:tcW w:w="700" w:type="dxa"/>
            <w:vAlign w:val="bottom"/>
            <w:shd w:val="clear" w:color="auto" w:fill="C0FFFF"/>
          </w:tcPr>
          <w:p>
            <w:pPr>
              <w:spacing w:after="0"/>
              <w:rPr>
                <w:sz w:val="16"/>
                <w:szCs w:val="16"/>
                <w:color w:val="auto"/>
              </w:rPr>
            </w:pP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16,458,889</w:t>
            </w:r>
          </w:p>
        </w:tc>
        <w:tc>
          <w:tcPr>
            <w:tcW w:w="720" w:type="dxa"/>
            <w:vAlign w:val="bottom"/>
            <w:shd w:val="clear" w:color="auto" w:fill="C0FFFF"/>
          </w:tcPr>
          <w:p>
            <w:pPr>
              <w:spacing w:after="0"/>
              <w:rPr>
                <w:sz w:val="16"/>
                <w:szCs w:val="16"/>
                <w:color w:val="auto"/>
              </w:rPr>
            </w:pPr>
          </w:p>
        </w:tc>
        <w:tc>
          <w:tcPr>
            <w:tcW w:w="320" w:type="dxa"/>
            <w:vAlign w:val="bottom"/>
            <w:shd w:val="clear" w:color="auto" w:fill="C0FFFF"/>
          </w:tcPr>
          <w:p>
            <w:pPr>
              <w:spacing w:after="0"/>
              <w:rPr>
                <w:sz w:val="16"/>
                <w:szCs w:val="16"/>
                <w:color w:val="auto"/>
              </w:rPr>
            </w:pPr>
          </w:p>
        </w:tc>
        <w:tc>
          <w:tcPr>
            <w:tcW w:w="380" w:type="dxa"/>
            <w:vAlign w:val="bottom"/>
            <w:shd w:val="clear" w:color="auto" w:fill="C0FFFF"/>
          </w:tcPr>
          <w:p>
            <w:pPr>
              <w:spacing w:after="0"/>
              <w:rPr>
                <w:sz w:val="16"/>
                <w:szCs w:val="16"/>
                <w:color w:val="auto"/>
              </w:rPr>
            </w:pP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17,839,349</w:t>
            </w:r>
          </w:p>
        </w:tc>
        <w:tc>
          <w:tcPr>
            <w:tcW w:w="720" w:type="dxa"/>
            <w:vAlign w:val="bottom"/>
            <w:shd w:val="clear" w:color="auto" w:fill="C0FFFF"/>
          </w:tcPr>
          <w:p>
            <w:pPr>
              <w:spacing w:after="0"/>
              <w:rPr>
                <w:sz w:val="16"/>
                <w:szCs w:val="16"/>
                <w:color w:val="auto"/>
              </w:rPr>
            </w:pPr>
          </w:p>
        </w:tc>
        <w:tc>
          <w:tcPr>
            <w:tcW w:w="680" w:type="dxa"/>
            <w:vAlign w:val="bottom"/>
            <w:shd w:val="clear" w:color="auto" w:fill="C0FFFF"/>
          </w:tcPr>
          <w:p>
            <w:pPr>
              <w:spacing w:after="0"/>
              <w:rPr>
                <w:sz w:val="16"/>
                <w:szCs w:val="16"/>
                <w:color w:val="auto"/>
              </w:rPr>
            </w:pPr>
          </w:p>
        </w:tc>
        <w:tc>
          <w:tcPr>
            <w:tcW w:w="11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16,248,884</w:t>
            </w:r>
          </w:p>
        </w:tc>
        <w:tc>
          <w:tcPr>
            <w:tcW w:w="700" w:type="dxa"/>
            <w:vAlign w:val="bottom"/>
            <w:shd w:val="clear" w:color="auto" w:fill="C0FFFF"/>
          </w:tcPr>
          <w:p>
            <w:pPr>
              <w:spacing w:after="0"/>
              <w:rPr>
                <w:sz w:val="16"/>
                <w:szCs w:val="16"/>
                <w:color w:val="auto"/>
              </w:rPr>
            </w:pPr>
          </w:p>
        </w:tc>
        <w:tc>
          <w:tcPr>
            <w:tcW w:w="360" w:type="dxa"/>
            <w:vAlign w:val="bottom"/>
            <w:shd w:val="clear" w:color="auto" w:fill="C0FFFF"/>
          </w:tcPr>
          <w:p>
            <w:pPr>
              <w:spacing w:after="0"/>
              <w:rPr>
                <w:sz w:val="16"/>
                <w:szCs w:val="16"/>
                <w:color w:val="auto"/>
              </w:rPr>
            </w:pPr>
          </w:p>
        </w:tc>
        <w:tc>
          <w:tcPr>
            <w:tcW w:w="340" w:type="dxa"/>
            <w:vAlign w:val="bottom"/>
            <w:shd w:val="clear" w:color="auto" w:fill="C0FFFF"/>
          </w:tcPr>
          <w:p>
            <w:pPr>
              <w:spacing w:after="0"/>
              <w:rPr>
                <w:sz w:val="16"/>
                <w:szCs w:val="16"/>
                <w:color w:val="auto"/>
              </w:rPr>
            </w:pP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17,964,763</w:t>
            </w:r>
          </w:p>
        </w:tc>
        <w:tc>
          <w:tcPr>
            <w:tcW w:w="260" w:type="dxa"/>
            <w:vAlign w:val="bottom"/>
            <w:shd w:val="clear" w:color="auto" w:fill="C0FFFF"/>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1980" w:type="dxa"/>
            <w:vAlign w:val="bottom"/>
          </w:tcPr>
          <w:p>
            <w:pPr>
              <w:ind w:left="380"/>
              <w:spacing w:after="0" w:line="171" w:lineRule="exact"/>
              <w:rPr>
                <w:sz w:val="20"/>
                <w:szCs w:val="20"/>
                <w:color w:val="auto"/>
              </w:rPr>
            </w:pPr>
            <w:r>
              <w:rPr>
                <w:rFonts w:ascii="Arial" w:cs="Arial" w:eastAsia="Arial" w:hAnsi="Arial"/>
                <w:sz w:val="15"/>
                <w:szCs w:val="15"/>
                <w:color w:val="auto"/>
              </w:rPr>
              <w:t>Dilutive effect of</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95"/>
        </w:trPr>
        <w:tc>
          <w:tcPr>
            <w:tcW w:w="2000" w:type="dxa"/>
            <w:vAlign w:val="bottom"/>
            <w:gridSpan w:val="2"/>
          </w:tcPr>
          <w:p>
            <w:pPr>
              <w:spacing w:after="0"/>
              <w:rPr>
                <w:sz w:val="20"/>
                <w:szCs w:val="20"/>
                <w:color w:val="auto"/>
              </w:rPr>
            </w:pPr>
            <w:r>
              <w:rPr>
                <w:rFonts w:ascii="Arial" w:cs="Arial" w:eastAsia="Arial" w:hAnsi="Arial"/>
                <w:sz w:val="15"/>
                <w:szCs w:val="15"/>
                <w:color w:val="auto"/>
              </w:rPr>
              <w:t>share-based awards:</w:t>
            </w:r>
          </w:p>
        </w:tc>
        <w:tc>
          <w:tcPr>
            <w:tcW w:w="70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r>
      <w:tr>
        <w:trPr>
          <w:trHeight w:val="171"/>
        </w:trPr>
        <w:tc>
          <w:tcPr>
            <w:tcW w:w="20" w:type="dxa"/>
            <w:vAlign w:val="bottom"/>
          </w:tcPr>
          <w:p>
            <w:pPr>
              <w:spacing w:after="0"/>
              <w:rPr>
                <w:sz w:val="14"/>
                <w:szCs w:val="14"/>
                <w:color w:val="auto"/>
              </w:rPr>
            </w:pPr>
          </w:p>
        </w:tc>
        <w:tc>
          <w:tcPr>
            <w:tcW w:w="1980" w:type="dxa"/>
            <w:vAlign w:val="bottom"/>
            <w:shd w:val="clear" w:color="auto" w:fill="C0FFFF"/>
          </w:tcPr>
          <w:p>
            <w:pPr>
              <w:ind w:left="240"/>
              <w:spacing w:after="0" w:line="171" w:lineRule="exact"/>
              <w:rPr>
                <w:sz w:val="20"/>
                <w:szCs w:val="20"/>
                <w:color w:val="auto"/>
              </w:rPr>
            </w:pPr>
            <w:r>
              <w:rPr>
                <w:rFonts w:ascii="Arial" w:cs="Arial" w:eastAsia="Arial" w:hAnsi="Arial"/>
                <w:sz w:val="15"/>
                <w:szCs w:val="15"/>
                <w:color w:val="auto"/>
              </w:rPr>
              <w:t>Weighted average</w:t>
            </w:r>
          </w:p>
        </w:tc>
        <w:tc>
          <w:tcPr>
            <w:tcW w:w="700" w:type="dxa"/>
            <w:vAlign w:val="bottom"/>
            <w:tcBorders>
              <w:top w:val="single" w:sz="8" w:color="auto"/>
            </w:tcBorders>
            <w:shd w:val="clear" w:color="auto" w:fill="C0FFFF"/>
          </w:tcPr>
          <w:p>
            <w:pPr>
              <w:spacing w:after="0"/>
              <w:rPr>
                <w:sz w:val="14"/>
                <w:szCs w:val="14"/>
                <w:color w:val="auto"/>
              </w:rPr>
            </w:pPr>
          </w:p>
        </w:tc>
        <w:tc>
          <w:tcPr>
            <w:tcW w:w="880" w:type="dxa"/>
            <w:vAlign w:val="bottom"/>
            <w:tcBorders>
              <w:top w:val="single" w:sz="8" w:color="auto"/>
            </w:tcBorders>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320" w:type="dxa"/>
            <w:vAlign w:val="bottom"/>
            <w:tcBorders>
              <w:top w:val="single" w:sz="8" w:color="auto"/>
            </w:tcBorders>
            <w:shd w:val="clear" w:color="auto" w:fill="C0FFFF"/>
          </w:tcPr>
          <w:p>
            <w:pPr>
              <w:spacing w:after="0"/>
              <w:rPr>
                <w:sz w:val="14"/>
                <w:szCs w:val="14"/>
                <w:color w:val="auto"/>
              </w:rPr>
            </w:pPr>
          </w:p>
        </w:tc>
        <w:tc>
          <w:tcPr>
            <w:tcW w:w="380" w:type="dxa"/>
            <w:vAlign w:val="bottom"/>
            <w:tcBorders>
              <w:top w:val="single" w:sz="8" w:color="auto"/>
            </w:tcBorders>
            <w:shd w:val="clear" w:color="auto" w:fill="C0FFFF"/>
          </w:tcPr>
          <w:p>
            <w:pPr>
              <w:spacing w:after="0"/>
              <w:rPr>
                <w:sz w:val="14"/>
                <w:szCs w:val="14"/>
                <w:color w:val="auto"/>
              </w:rPr>
            </w:pPr>
          </w:p>
        </w:tc>
        <w:tc>
          <w:tcPr>
            <w:tcW w:w="880" w:type="dxa"/>
            <w:vAlign w:val="bottom"/>
            <w:tcBorders>
              <w:top w:val="single" w:sz="8" w:color="auto"/>
            </w:tcBorders>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720" w:type="dxa"/>
            <w:vAlign w:val="bottom"/>
            <w:shd w:val="clear" w:color="auto" w:fill="C0FFFF"/>
          </w:tcPr>
          <w:p>
            <w:pPr>
              <w:spacing w:after="0"/>
              <w:rPr>
                <w:sz w:val="14"/>
                <w:szCs w:val="14"/>
                <w:color w:val="auto"/>
              </w:rPr>
            </w:pPr>
          </w:p>
        </w:tc>
        <w:tc>
          <w:tcPr>
            <w:tcW w:w="680" w:type="dxa"/>
            <w:vAlign w:val="bottom"/>
            <w:tcBorders>
              <w:top w:val="single" w:sz="8" w:color="auto"/>
            </w:tcBorders>
            <w:shd w:val="clear" w:color="auto" w:fill="C0FFFF"/>
          </w:tcPr>
          <w:p>
            <w:pPr>
              <w:spacing w:after="0"/>
              <w:rPr>
                <w:sz w:val="14"/>
                <w:szCs w:val="14"/>
                <w:color w:val="auto"/>
              </w:rPr>
            </w:pPr>
          </w:p>
        </w:tc>
        <w:tc>
          <w:tcPr>
            <w:tcW w:w="880" w:type="dxa"/>
            <w:vAlign w:val="bottom"/>
            <w:tcBorders>
              <w:top w:val="single" w:sz="8" w:color="auto"/>
            </w:tcBorders>
            <w:shd w:val="clear" w:color="auto" w:fill="C0FFFF"/>
          </w:tcPr>
          <w:p>
            <w:pPr>
              <w:spacing w:after="0"/>
              <w:rPr>
                <w:sz w:val="14"/>
                <w:szCs w:val="14"/>
                <w:color w:val="auto"/>
              </w:rPr>
            </w:pPr>
          </w:p>
        </w:tc>
        <w:tc>
          <w:tcPr>
            <w:tcW w:w="220" w:type="dxa"/>
            <w:vAlign w:val="bottom"/>
            <w:shd w:val="clear" w:color="auto" w:fill="C0FFFF"/>
          </w:tcPr>
          <w:p>
            <w:pPr>
              <w:spacing w:after="0"/>
              <w:rPr>
                <w:sz w:val="14"/>
                <w:szCs w:val="14"/>
                <w:color w:val="auto"/>
              </w:rPr>
            </w:pPr>
          </w:p>
        </w:tc>
        <w:tc>
          <w:tcPr>
            <w:tcW w:w="700" w:type="dxa"/>
            <w:vAlign w:val="bottom"/>
            <w:shd w:val="clear" w:color="auto" w:fill="C0FFFF"/>
          </w:tcPr>
          <w:p>
            <w:pPr>
              <w:spacing w:after="0"/>
              <w:rPr>
                <w:sz w:val="14"/>
                <w:szCs w:val="14"/>
                <w:color w:val="auto"/>
              </w:rPr>
            </w:pPr>
          </w:p>
        </w:tc>
        <w:tc>
          <w:tcPr>
            <w:tcW w:w="360" w:type="dxa"/>
            <w:vAlign w:val="bottom"/>
            <w:tcBorders>
              <w:top w:val="single" w:sz="8" w:color="auto"/>
            </w:tcBorders>
            <w:shd w:val="clear" w:color="auto" w:fill="C0FFFF"/>
          </w:tcPr>
          <w:p>
            <w:pPr>
              <w:spacing w:after="0"/>
              <w:rPr>
                <w:sz w:val="14"/>
                <w:szCs w:val="14"/>
                <w:color w:val="auto"/>
              </w:rPr>
            </w:pPr>
          </w:p>
        </w:tc>
        <w:tc>
          <w:tcPr>
            <w:tcW w:w="340" w:type="dxa"/>
            <w:vAlign w:val="bottom"/>
            <w:tcBorders>
              <w:top w:val="single" w:sz="8" w:color="auto"/>
            </w:tcBorders>
            <w:shd w:val="clear" w:color="auto" w:fill="C0FFFF"/>
          </w:tcPr>
          <w:p>
            <w:pPr>
              <w:spacing w:after="0"/>
              <w:rPr>
                <w:sz w:val="14"/>
                <w:szCs w:val="14"/>
                <w:color w:val="auto"/>
              </w:rPr>
            </w:pPr>
          </w:p>
        </w:tc>
        <w:tc>
          <w:tcPr>
            <w:tcW w:w="880" w:type="dxa"/>
            <w:vAlign w:val="bottom"/>
            <w:tcBorders>
              <w:top w:val="single" w:sz="8" w:color="auto"/>
            </w:tcBorders>
            <w:shd w:val="clear" w:color="auto" w:fill="C0FFFF"/>
          </w:tcPr>
          <w:p>
            <w:pPr>
              <w:spacing w:after="0"/>
              <w:rPr>
                <w:sz w:val="14"/>
                <w:szCs w:val="14"/>
                <w:color w:val="auto"/>
              </w:rPr>
            </w:pPr>
          </w:p>
        </w:tc>
        <w:tc>
          <w:tcPr>
            <w:tcW w:w="200" w:type="dxa"/>
            <w:vAlign w:val="bottom"/>
            <w:shd w:val="clear" w:color="auto" w:fill="C0FFFF"/>
          </w:tcPr>
          <w:p>
            <w:pPr>
              <w:spacing w:after="0"/>
              <w:rPr>
                <w:sz w:val="14"/>
                <w:szCs w:val="14"/>
                <w:color w:val="auto"/>
              </w:rPr>
            </w:pPr>
          </w:p>
        </w:tc>
        <w:tc>
          <w:tcPr>
            <w:tcW w:w="260" w:type="dxa"/>
            <w:vAlign w:val="bottom"/>
            <w:shd w:val="clear" w:color="auto" w:fill="C0FFFF"/>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1980" w:type="dxa"/>
            <w:vAlign w:val="bottom"/>
            <w:shd w:val="clear" w:color="auto" w:fill="C0FFFF"/>
          </w:tcPr>
          <w:p>
            <w:pPr>
              <w:spacing w:after="0"/>
              <w:rPr>
                <w:sz w:val="20"/>
                <w:szCs w:val="20"/>
                <w:color w:val="auto"/>
              </w:rPr>
            </w:pPr>
            <w:r>
              <w:rPr>
                <w:rFonts w:ascii="Arial" w:cs="Arial" w:eastAsia="Arial" w:hAnsi="Arial"/>
                <w:sz w:val="15"/>
                <w:szCs w:val="15"/>
                <w:color w:val="auto"/>
              </w:rPr>
              <w:t>number of common</w:t>
            </w:r>
          </w:p>
        </w:tc>
        <w:tc>
          <w:tcPr>
            <w:tcW w:w="70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6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60" w:type="dxa"/>
            <w:vAlign w:val="bottom"/>
            <w:shd w:val="clear" w:color="auto" w:fill="C0FFFF"/>
          </w:tcPr>
          <w:p>
            <w:pPr>
              <w:spacing w:after="0"/>
              <w:rPr>
                <w:sz w:val="15"/>
                <w:szCs w:val="15"/>
                <w:color w:val="auto"/>
              </w:rPr>
            </w:pPr>
          </w:p>
        </w:tc>
        <w:tc>
          <w:tcPr>
            <w:tcW w:w="34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980" w:type="dxa"/>
            <w:vAlign w:val="bottom"/>
            <w:shd w:val="clear" w:color="auto" w:fill="C0FFFF"/>
          </w:tcPr>
          <w:p>
            <w:pPr>
              <w:spacing w:after="0"/>
              <w:rPr>
                <w:sz w:val="20"/>
                <w:szCs w:val="20"/>
                <w:color w:val="auto"/>
              </w:rPr>
            </w:pPr>
            <w:r>
              <w:rPr>
                <w:rFonts w:ascii="Arial" w:cs="Arial" w:eastAsia="Arial" w:hAnsi="Arial"/>
                <w:sz w:val="15"/>
                <w:szCs w:val="15"/>
                <w:color w:val="auto"/>
              </w:rPr>
              <w:t>shares outstanding -</w:t>
            </w:r>
          </w:p>
        </w:tc>
        <w:tc>
          <w:tcPr>
            <w:tcW w:w="70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6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60" w:type="dxa"/>
            <w:vAlign w:val="bottom"/>
            <w:shd w:val="clear" w:color="auto" w:fill="C0FFFF"/>
          </w:tcPr>
          <w:p>
            <w:pPr>
              <w:spacing w:after="0"/>
              <w:rPr>
                <w:sz w:val="15"/>
                <w:szCs w:val="15"/>
                <w:color w:val="auto"/>
              </w:rPr>
            </w:pPr>
          </w:p>
        </w:tc>
        <w:tc>
          <w:tcPr>
            <w:tcW w:w="34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231"/>
        </w:trPr>
        <w:tc>
          <w:tcPr>
            <w:tcW w:w="20" w:type="dxa"/>
            <w:vAlign w:val="bottom"/>
          </w:tcPr>
          <w:p>
            <w:pPr>
              <w:spacing w:after="0"/>
              <w:rPr>
                <w:sz w:val="20"/>
                <w:szCs w:val="20"/>
                <w:color w:val="auto"/>
              </w:rPr>
            </w:pPr>
          </w:p>
        </w:tc>
        <w:tc>
          <w:tcPr>
            <w:tcW w:w="1980" w:type="dxa"/>
            <w:vAlign w:val="bottom"/>
            <w:shd w:val="clear" w:color="auto" w:fill="C0FFFF"/>
          </w:tcPr>
          <w:p>
            <w:pPr>
              <w:spacing w:after="0"/>
              <w:rPr>
                <w:sz w:val="20"/>
                <w:szCs w:val="20"/>
                <w:color w:val="auto"/>
              </w:rPr>
            </w:pPr>
            <w:r>
              <w:rPr>
                <w:rFonts w:ascii="Arial" w:cs="Arial" w:eastAsia="Arial" w:hAnsi="Arial"/>
                <w:sz w:val="15"/>
                <w:szCs w:val="15"/>
                <w:color w:val="auto"/>
              </w:rPr>
              <w:t>dilutive</w:t>
            </w:r>
          </w:p>
        </w:tc>
        <w:tc>
          <w:tcPr>
            <w:tcW w:w="700" w:type="dxa"/>
            <w:vAlign w:val="bottom"/>
            <w:shd w:val="clear" w:color="auto" w:fill="C0FFFF"/>
          </w:tcPr>
          <w:p>
            <w:pPr>
              <w:spacing w:after="0"/>
              <w:rPr>
                <w:sz w:val="20"/>
                <w:szCs w:val="20"/>
                <w:color w:val="auto"/>
              </w:rPr>
            </w:pP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16,458,889</w:t>
            </w:r>
          </w:p>
        </w:tc>
        <w:tc>
          <w:tcPr>
            <w:tcW w:w="720" w:type="dxa"/>
            <w:vAlign w:val="bottom"/>
            <w:shd w:val="clear" w:color="auto" w:fill="C0FFFF"/>
          </w:tcPr>
          <w:p>
            <w:pPr>
              <w:spacing w:after="0"/>
              <w:rPr>
                <w:sz w:val="20"/>
                <w:szCs w:val="20"/>
                <w:color w:val="auto"/>
              </w:rPr>
            </w:pPr>
          </w:p>
        </w:tc>
        <w:tc>
          <w:tcPr>
            <w:tcW w:w="320" w:type="dxa"/>
            <w:vAlign w:val="bottom"/>
            <w:shd w:val="clear" w:color="auto" w:fill="C0FFFF"/>
          </w:tcPr>
          <w:p>
            <w:pPr>
              <w:spacing w:after="0"/>
              <w:rPr>
                <w:sz w:val="20"/>
                <w:szCs w:val="20"/>
                <w:color w:val="auto"/>
              </w:rPr>
            </w:pPr>
          </w:p>
        </w:tc>
        <w:tc>
          <w:tcPr>
            <w:tcW w:w="380" w:type="dxa"/>
            <w:vAlign w:val="bottom"/>
            <w:shd w:val="clear" w:color="auto" w:fill="C0FFFF"/>
          </w:tcPr>
          <w:p>
            <w:pPr>
              <w:spacing w:after="0"/>
              <w:rPr>
                <w:sz w:val="20"/>
                <w:szCs w:val="20"/>
                <w:color w:val="auto"/>
              </w:rPr>
            </w:pP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17,839,349</w:t>
            </w:r>
          </w:p>
        </w:tc>
        <w:tc>
          <w:tcPr>
            <w:tcW w:w="720" w:type="dxa"/>
            <w:vAlign w:val="bottom"/>
            <w:shd w:val="clear" w:color="auto" w:fill="C0FFFF"/>
          </w:tcPr>
          <w:p>
            <w:pPr>
              <w:spacing w:after="0"/>
              <w:rPr>
                <w:sz w:val="20"/>
                <w:szCs w:val="20"/>
                <w:color w:val="auto"/>
              </w:rPr>
            </w:pPr>
          </w:p>
        </w:tc>
        <w:tc>
          <w:tcPr>
            <w:tcW w:w="680" w:type="dxa"/>
            <w:vAlign w:val="bottom"/>
            <w:shd w:val="clear" w:color="auto" w:fill="C0FFFF"/>
          </w:tcPr>
          <w:p>
            <w:pPr>
              <w:spacing w:after="0"/>
              <w:rPr>
                <w:sz w:val="20"/>
                <w:szCs w:val="20"/>
                <w:color w:val="auto"/>
              </w:rPr>
            </w:pPr>
          </w:p>
        </w:tc>
        <w:tc>
          <w:tcPr>
            <w:tcW w:w="11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16,248,884</w:t>
            </w:r>
          </w:p>
        </w:tc>
        <w:tc>
          <w:tcPr>
            <w:tcW w:w="700" w:type="dxa"/>
            <w:vAlign w:val="bottom"/>
            <w:shd w:val="clear" w:color="auto" w:fill="C0FFFF"/>
          </w:tcPr>
          <w:p>
            <w:pPr>
              <w:spacing w:after="0"/>
              <w:rPr>
                <w:sz w:val="20"/>
                <w:szCs w:val="20"/>
                <w:color w:val="auto"/>
              </w:rPr>
            </w:pPr>
          </w:p>
        </w:tc>
        <w:tc>
          <w:tcPr>
            <w:tcW w:w="360" w:type="dxa"/>
            <w:vAlign w:val="bottom"/>
            <w:shd w:val="clear" w:color="auto" w:fill="C0FFFF"/>
          </w:tcPr>
          <w:p>
            <w:pPr>
              <w:spacing w:after="0"/>
              <w:rPr>
                <w:sz w:val="20"/>
                <w:szCs w:val="20"/>
                <w:color w:val="auto"/>
              </w:rPr>
            </w:pPr>
          </w:p>
        </w:tc>
        <w:tc>
          <w:tcPr>
            <w:tcW w:w="340" w:type="dxa"/>
            <w:vAlign w:val="bottom"/>
            <w:shd w:val="clear" w:color="auto" w:fill="C0FFFF"/>
          </w:tcPr>
          <w:p>
            <w:pPr>
              <w:spacing w:after="0"/>
              <w:rPr>
                <w:sz w:val="20"/>
                <w:szCs w:val="20"/>
                <w:color w:val="auto"/>
              </w:rPr>
            </w:pP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17,964,763</w:t>
            </w:r>
          </w:p>
        </w:tc>
        <w:tc>
          <w:tcPr>
            <w:tcW w:w="260" w:type="dxa"/>
            <w:vAlign w:val="bottom"/>
            <w:shd w:val="clear" w:color="auto" w:fill="C0FFFF"/>
          </w:tcPr>
          <w:p>
            <w:pPr>
              <w:spacing w:after="0"/>
              <w:rPr>
                <w:sz w:val="20"/>
                <w:szCs w:val="20"/>
                <w:color w:val="auto"/>
              </w:rPr>
            </w:pPr>
          </w:p>
        </w:tc>
      </w:tr>
      <w:tr>
        <w:trPr>
          <w:trHeight w:val="157"/>
        </w:trPr>
        <w:tc>
          <w:tcPr>
            <w:tcW w:w="20" w:type="dxa"/>
            <w:vAlign w:val="bottom"/>
          </w:tcPr>
          <w:p>
            <w:pPr>
              <w:spacing w:after="0"/>
              <w:rPr>
                <w:sz w:val="13"/>
                <w:szCs w:val="13"/>
                <w:color w:val="auto"/>
              </w:rPr>
            </w:pPr>
          </w:p>
        </w:tc>
        <w:tc>
          <w:tcPr>
            <w:tcW w:w="1980" w:type="dxa"/>
            <w:vAlign w:val="bottom"/>
            <w:tcBorders>
              <w:top w:val="single" w:sz="8" w:color="C0FFFF"/>
            </w:tcBorders>
          </w:tcPr>
          <w:p>
            <w:pPr>
              <w:spacing w:after="0" w:line="157" w:lineRule="exact"/>
              <w:rPr>
                <w:sz w:val="20"/>
                <w:szCs w:val="20"/>
                <w:color w:val="auto"/>
              </w:rPr>
            </w:pPr>
            <w:r>
              <w:rPr>
                <w:rFonts w:ascii="Arial" w:cs="Arial" w:eastAsia="Arial" w:hAnsi="Arial"/>
                <w:sz w:val="15"/>
                <w:szCs w:val="15"/>
                <w:color w:val="auto"/>
              </w:rPr>
              <w:t>Basic loss per common</w:t>
            </w:r>
          </w:p>
        </w:tc>
        <w:tc>
          <w:tcPr>
            <w:tcW w:w="7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C0FFFF"/>
            </w:tcBorders>
          </w:tcPr>
          <w:p>
            <w:pPr>
              <w:spacing w:after="0"/>
              <w:rPr>
                <w:sz w:val="13"/>
                <w:szCs w:val="13"/>
                <w:color w:val="auto"/>
              </w:rPr>
            </w:pPr>
          </w:p>
        </w:tc>
        <w:tc>
          <w:tcPr>
            <w:tcW w:w="720" w:type="dxa"/>
            <w:vAlign w:val="bottom"/>
            <w:tcBorders>
              <w:top w:val="single" w:sz="8" w:color="C0FFFF"/>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C0FFFF"/>
            </w:tcBorders>
          </w:tcPr>
          <w:p>
            <w:pPr>
              <w:spacing w:after="0"/>
              <w:rPr>
                <w:sz w:val="13"/>
                <w:szCs w:val="13"/>
                <w:color w:val="auto"/>
              </w:rPr>
            </w:pPr>
          </w:p>
        </w:tc>
        <w:tc>
          <w:tcPr>
            <w:tcW w:w="720" w:type="dxa"/>
            <w:vAlign w:val="bottom"/>
            <w:tcBorders>
              <w:top w:val="single" w:sz="8" w:color="C0FFFF"/>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C0FFFF"/>
            </w:tcBorders>
          </w:tcPr>
          <w:p>
            <w:pPr>
              <w:spacing w:after="0"/>
              <w:rPr>
                <w:sz w:val="13"/>
                <w:szCs w:val="13"/>
                <w:color w:val="auto"/>
              </w:rPr>
            </w:pPr>
          </w:p>
        </w:tc>
        <w:tc>
          <w:tcPr>
            <w:tcW w:w="700" w:type="dxa"/>
            <w:vAlign w:val="bottom"/>
            <w:tcBorders>
              <w:top w:val="single" w:sz="8" w:color="C0FF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00" w:type="dxa"/>
            <w:vAlign w:val="bottom"/>
            <w:tcBorders>
              <w:top w:val="single" w:sz="8" w:color="C0FFFF"/>
            </w:tcBorders>
          </w:tcPr>
          <w:p>
            <w:pPr>
              <w:spacing w:after="0"/>
              <w:rPr>
                <w:sz w:val="13"/>
                <w:szCs w:val="13"/>
                <w:color w:val="auto"/>
              </w:rPr>
            </w:pPr>
          </w:p>
        </w:tc>
        <w:tc>
          <w:tcPr>
            <w:tcW w:w="260" w:type="dxa"/>
            <w:vAlign w:val="bottom"/>
            <w:tcBorders>
              <w:top w:val="single" w:sz="8" w:color="C0FFFF"/>
            </w:tcBorders>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1980" w:type="dxa"/>
            <w:vAlign w:val="bottom"/>
          </w:tcPr>
          <w:p>
            <w:pPr>
              <w:ind w:left="240"/>
              <w:spacing w:after="0"/>
              <w:rPr>
                <w:sz w:val="20"/>
                <w:szCs w:val="20"/>
                <w:color w:val="auto"/>
              </w:rPr>
            </w:pPr>
            <w:r>
              <w:rPr>
                <w:rFonts w:ascii="Arial" w:cs="Arial" w:eastAsia="Arial" w:hAnsi="Arial"/>
                <w:sz w:val="15"/>
                <w:szCs w:val="15"/>
                <w:color w:val="auto"/>
              </w:rPr>
              <w:t>share attributable to</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980" w:type="dxa"/>
            <w:vAlign w:val="bottom"/>
          </w:tcPr>
          <w:p>
            <w:pPr>
              <w:ind w:left="240"/>
              <w:spacing w:after="0"/>
              <w:rPr>
                <w:sz w:val="20"/>
                <w:szCs w:val="20"/>
                <w:color w:val="auto"/>
              </w:rPr>
            </w:pPr>
            <w:r>
              <w:rPr>
                <w:rFonts w:ascii="Arial" w:cs="Arial" w:eastAsia="Arial" w:hAnsi="Arial"/>
                <w:sz w:val="15"/>
                <w:szCs w:val="15"/>
                <w:color w:val="auto"/>
              </w:rPr>
              <w:t>Build-A-Bear</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980" w:type="dxa"/>
            <w:vAlign w:val="bottom"/>
          </w:tcPr>
          <w:p>
            <w:pPr>
              <w:ind w:left="240"/>
              <w:spacing w:after="0"/>
              <w:rPr>
                <w:sz w:val="20"/>
                <w:szCs w:val="20"/>
                <w:color w:val="auto"/>
              </w:rPr>
            </w:pPr>
            <w:r>
              <w:rPr>
                <w:rFonts w:ascii="Arial" w:cs="Arial" w:eastAsia="Arial" w:hAnsi="Arial"/>
                <w:sz w:val="15"/>
                <w:szCs w:val="15"/>
                <w:color w:val="auto"/>
              </w:rPr>
              <w:t>Workshop, Inc.</w:t>
            </w: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1980" w:type="dxa"/>
            <w:vAlign w:val="bottom"/>
          </w:tcPr>
          <w:p>
            <w:pPr>
              <w:ind w:left="240"/>
              <w:spacing w:after="0"/>
              <w:rPr>
                <w:sz w:val="20"/>
                <w:szCs w:val="20"/>
                <w:color w:val="auto"/>
              </w:rPr>
            </w:pPr>
            <w:r>
              <w:rPr>
                <w:rFonts w:ascii="Arial" w:cs="Arial" w:eastAsia="Arial" w:hAnsi="Arial"/>
                <w:sz w:val="15"/>
                <w:szCs w:val="15"/>
                <w:color w:val="auto"/>
              </w:rPr>
              <w:t>stockholders:</w:t>
            </w:r>
          </w:p>
        </w:tc>
        <w:tc>
          <w:tcPr>
            <w:tcW w:w="70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(0.46</w:t>
            </w:r>
          </w:p>
        </w:tc>
        <w:tc>
          <w:tcPr>
            <w:tcW w:w="72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380" w:type="dxa"/>
            <w:vAlign w:val="bottom"/>
          </w:tcPr>
          <w:p>
            <w:pPr>
              <w:ind w:left="8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(0.37</w:t>
            </w:r>
          </w:p>
        </w:tc>
        <w:tc>
          <w:tcPr>
            <w:tcW w:w="72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124"/>
              <w:spacing w:after="0"/>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(0.53</w:t>
            </w:r>
          </w:p>
        </w:tc>
        <w:tc>
          <w:tcPr>
            <w:tcW w:w="700" w:type="dxa"/>
            <w:vAlign w:val="bottom"/>
          </w:tcPr>
          <w:p>
            <w:pPr>
              <w:jc w:val="right"/>
              <w:ind w:right="384"/>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340" w:type="dxa"/>
            <w:vAlign w:val="bottom"/>
          </w:tcPr>
          <w:p>
            <w:pPr>
              <w:ind w:left="6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(0.50</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7"/>
        </w:trPr>
        <w:tc>
          <w:tcPr>
            <w:tcW w:w="20" w:type="dxa"/>
            <w:vAlign w:val="bottom"/>
          </w:tcPr>
          <w:p>
            <w:pPr>
              <w:spacing w:after="0"/>
              <w:rPr>
                <w:sz w:val="13"/>
                <w:szCs w:val="13"/>
                <w:color w:val="auto"/>
              </w:rPr>
            </w:pPr>
          </w:p>
        </w:tc>
        <w:tc>
          <w:tcPr>
            <w:tcW w:w="1980" w:type="dxa"/>
            <w:vAlign w:val="bottom"/>
            <w:shd w:val="clear" w:color="auto" w:fill="C0FFFF"/>
          </w:tcPr>
          <w:p>
            <w:pPr>
              <w:spacing w:after="0" w:line="157" w:lineRule="exact"/>
              <w:rPr>
                <w:sz w:val="20"/>
                <w:szCs w:val="20"/>
                <w:color w:val="auto"/>
              </w:rPr>
            </w:pPr>
            <w:r>
              <w:rPr>
                <w:rFonts w:ascii="Arial" w:cs="Arial" w:eastAsia="Arial" w:hAnsi="Arial"/>
                <w:sz w:val="15"/>
                <w:szCs w:val="15"/>
                <w:color w:val="auto"/>
              </w:rPr>
              <w:t>Diluted loss per common</w:t>
            </w:r>
          </w:p>
        </w:tc>
        <w:tc>
          <w:tcPr>
            <w:tcW w:w="700" w:type="dxa"/>
            <w:vAlign w:val="bottom"/>
            <w:shd w:val="clear" w:color="auto" w:fill="C0FFFF"/>
          </w:tcPr>
          <w:p>
            <w:pPr>
              <w:spacing w:after="0"/>
              <w:rPr>
                <w:sz w:val="13"/>
                <w:szCs w:val="13"/>
                <w:color w:val="auto"/>
              </w:rPr>
            </w:pPr>
          </w:p>
        </w:tc>
        <w:tc>
          <w:tcPr>
            <w:tcW w:w="880" w:type="dxa"/>
            <w:vAlign w:val="bottom"/>
            <w:shd w:val="clear" w:color="auto" w:fill="C0FFFF"/>
          </w:tcPr>
          <w:p>
            <w:pPr>
              <w:spacing w:after="0"/>
              <w:rPr>
                <w:sz w:val="13"/>
                <w:szCs w:val="13"/>
                <w:color w:val="auto"/>
              </w:rPr>
            </w:pPr>
          </w:p>
        </w:tc>
        <w:tc>
          <w:tcPr>
            <w:tcW w:w="200" w:type="dxa"/>
            <w:vAlign w:val="bottom"/>
            <w:shd w:val="clear" w:color="auto" w:fill="C0FFFF"/>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320" w:type="dxa"/>
            <w:vAlign w:val="bottom"/>
            <w:shd w:val="clear" w:color="auto" w:fill="C0FFFF"/>
          </w:tcPr>
          <w:p>
            <w:pPr>
              <w:spacing w:after="0"/>
              <w:rPr>
                <w:sz w:val="13"/>
                <w:szCs w:val="13"/>
                <w:color w:val="auto"/>
              </w:rPr>
            </w:pPr>
          </w:p>
        </w:tc>
        <w:tc>
          <w:tcPr>
            <w:tcW w:w="380" w:type="dxa"/>
            <w:vAlign w:val="bottom"/>
            <w:shd w:val="clear" w:color="auto" w:fill="C0FFFF"/>
          </w:tcPr>
          <w:p>
            <w:pPr>
              <w:spacing w:after="0"/>
              <w:rPr>
                <w:sz w:val="13"/>
                <w:szCs w:val="13"/>
                <w:color w:val="auto"/>
              </w:rPr>
            </w:pPr>
          </w:p>
        </w:tc>
        <w:tc>
          <w:tcPr>
            <w:tcW w:w="880" w:type="dxa"/>
            <w:vAlign w:val="bottom"/>
            <w:shd w:val="clear" w:color="auto" w:fill="C0FFFF"/>
          </w:tcPr>
          <w:p>
            <w:pPr>
              <w:spacing w:after="0"/>
              <w:rPr>
                <w:sz w:val="13"/>
                <w:szCs w:val="13"/>
                <w:color w:val="auto"/>
              </w:rPr>
            </w:pPr>
          </w:p>
        </w:tc>
        <w:tc>
          <w:tcPr>
            <w:tcW w:w="200" w:type="dxa"/>
            <w:vAlign w:val="bottom"/>
            <w:shd w:val="clear" w:color="auto" w:fill="C0FFFF"/>
          </w:tcPr>
          <w:p>
            <w:pPr>
              <w:spacing w:after="0"/>
              <w:rPr>
                <w:sz w:val="13"/>
                <w:szCs w:val="13"/>
                <w:color w:val="auto"/>
              </w:rPr>
            </w:pPr>
          </w:p>
        </w:tc>
        <w:tc>
          <w:tcPr>
            <w:tcW w:w="720" w:type="dxa"/>
            <w:vAlign w:val="bottom"/>
            <w:shd w:val="clear" w:color="auto" w:fill="C0FFFF"/>
          </w:tcPr>
          <w:p>
            <w:pPr>
              <w:spacing w:after="0"/>
              <w:rPr>
                <w:sz w:val="13"/>
                <w:szCs w:val="13"/>
                <w:color w:val="auto"/>
              </w:rPr>
            </w:pPr>
          </w:p>
        </w:tc>
        <w:tc>
          <w:tcPr>
            <w:tcW w:w="680" w:type="dxa"/>
            <w:vAlign w:val="bottom"/>
            <w:shd w:val="clear" w:color="auto" w:fill="C0FFFF"/>
          </w:tcPr>
          <w:p>
            <w:pPr>
              <w:spacing w:after="0"/>
              <w:rPr>
                <w:sz w:val="13"/>
                <w:szCs w:val="13"/>
                <w:color w:val="auto"/>
              </w:rPr>
            </w:pPr>
          </w:p>
        </w:tc>
        <w:tc>
          <w:tcPr>
            <w:tcW w:w="880" w:type="dxa"/>
            <w:vAlign w:val="bottom"/>
            <w:shd w:val="clear" w:color="auto" w:fill="C0FFFF"/>
          </w:tcPr>
          <w:p>
            <w:pPr>
              <w:spacing w:after="0"/>
              <w:rPr>
                <w:sz w:val="13"/>
                <w:szCs w:val="13"/>
                <w:color w:val="auto"/>
              </w:rPr>
            </w:pPr>
          </w:p>
        </w:tc>
        <w:tc>
          <w:tcPr>
            <w:tcW w:w="220" w:type="dxa"/>
            <w:vAlign w:val="bottom"/>
            <w:shd w:val="clear" w:color="auto" w:fill="C0FFFF"/>
          </w:tcPr>
          <w:p>
            <w:pPr>
              <w:spacing w:after="0"/>
              <w:rPr>
                <w:sz w:val="13"/>
                <w:szCs w:val="13"/>
                <w:color w:val="auto"/>
              </w:rPr>
            </w:pPr>
          </w:p>
        </w:tc>
        <w:tc>
          <w:tcPr>
            <w:tcW w:w="700" w:type="dxa"/>
            <w:vAlign w:val="bottom"/>
            <w:shd w:val="clear" w:color="auto" w:fill="C0FFFF"/>
          </w:tcPr>
          <w:p>
            <w:pPr>
              <w:spacing w:after="0"/>
              <w:rPr>
                <w:sz w:val="13"/>
                <w:szCs w:val="13"/>
                <w:color w:val="auto"/>
              </w:rPr>
            </w:pPr>
          </w:p>
        </w:tc>
        <w:tc>
          <w:tcPr>
            <w:tcW w:w="360" w:type="dxa"/>
            <w:vAlign w:val="bottom"/>
            <w:shd w:val="clear" w:color="auto" w:fill="C0FFFF"/>
          </w:tcPr>
          <w:p>
            <w:pPr>
              <w:spacing w:after="0"/>
              <w:rPr>
                <w:sz w:val="13"/>
                <w:szCs w:val="13"/>
                <w:color w:val="auto"/>
              </w:rPr>
            </w:pPr>
          </w:p>
        </w:tc>
        <w:tc>
          <w:tcPr>
            <w:tcW w:w="340" w:type="dxa"/>
            <w:vAlign w:val="bottom"/>
            <w:shd w:val="clear" w:color="auto" w:fill="C0FFFF"/>
          </w:tcPr>
          <w:p>
            <w:pPr>
              <w:spacing w:after="0"/>
              <w:rPr>
                <w:sz w:val="13"/>
                <w:szCs w:val="13"/>
                <w:color w:val="auto"/>
              </w:rPr>
            </w:pPr>
          </w:p>
        </w:tc>
        <w:tc>
          <w:tcPr>
            <w:tcW w:w="880" w:type="dxa"/>
            <w:vAlign w:val="bottom"/>
            <w:shd w:val="clear" w:color="auto" w:fill="C0FFFF"/>
          </w:tcPr>
          <w:p>
            <w:pPr>
              <w:spacing w:after="0"/>
              <w:rPr>
                <w:sz w:val="13"/>
                <w:szCs w:val="13"/>
                <w:color w:val="auto"/>
              </w:rPr>
            </w:pPr>
          </w:p>
        </w:tc>
        <w:tc>
          <w:tcPr>
            <w:tcW w:w="200" w:type="dxa"/>
            <w:vAlign w:val="bottom"/>
            <w:shd w:val="clear" w:color="auto" w:fill="C0FFFF"/>
          </w:tcPr>
          <w:p>
            <w:pPr>
              <w:spacing w:after="0"/>
              <w:rPr>
                <w:sz w:val="13"/>
                <w:szCs w:val="13"/>
                <w:color w:val="auto"/>
              </w:rPr>
            </w:pPr>
          </w:p>
        </w:tc>
        <w:tc>
          <w:tcPr>
            <w:tcW w:w="260" w:type="dxa"/>
            <w:vAlign w:val="bottom"/>
            <w:shd w:val="clear" w:color="auto" w:fill="C0FFFF"/>
          </w:tcPr>
          <w:p>
            <w:pPr>
              <w:spacing w:after="0"/>
              <w:rPr>
                <w:sz w:val="13"/>
                <w:szCs w:val="13"/>
                <w:color w:val="auto"/>
              </w:rPr>
            </w:pPr>
          </w:p>
        </w:tc>
      </w:tr>
      <w:tr>
        <w:trPr>
          <w:trHeight w:val="181"/>
        </w:trPr>
        <w:tc>
          <w:tcPr>
            <w:tcW w:w="20" w:type="dxa"/>
            <w:vAlign w:val="bottom"/>
          </w:tcPr>
          <w:p>
            <w:pPr>
              <w:spacing w:after="0"/>
              <w:rPr>
                <w:sz w:val="15"/>
                <w:szCs w:val="15"/>
                <w:color w:val="auto"/>
              </w:rPr>
            </w:pPr>
          </w:p>
        </w:tc>
        <w:tc>
          <w:tcPr>
            <w:tcW w:w="1980" w:type="dxa"/>
            <w:vAlign w:val="bottom"/>
            <w:shd w:val="clear" w:color="auto" w:fill="C0FFFF"/>
          </w:tcPr>
          <w:p>
            <w:pPr>
              <w:ind w:left="240"/>
              <w:spacing w:after="0"/>
              <w:rPr>
                <w:sz w:val="20"/>
                <w:szCs w:val="20"/>
                <w:color w:val="auto"/>
              </w:rPr>
            </w:pPr>
            <w:r>
              <w:rPr>
                <w:rFonts w:ascii="Arial" w:cs="Arial" w:eastAsia="Arial" w:hAnsi="Arial"/>
                <w:sz w:val="15"/>
                <w:szCs w:val="15"/>
                <w:color w:val="auto"/>
              </w:rPr>
              <w:t>share attributable to</w:t>
            </w:r>
          </w:p>
        </w:tc>
        <w:tc>
          <w:tcPr>
            <w:tcW w:w="70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6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60" w:type="dxa"/>
            <w:vAlign w:val="bottom"/>
            <w:shd w:val="clear" w:color="auto" w:fill="C0FFFF"/>
          </w:tcPr>
          <w:p>
            <w:pPr>
              <w:spacing w:after="0"/>
              <w:rPr>
                <w:sz w:val="15"/>
                <w:szCs w:val="15"/>
                <w:color w:val="auto"/>
              </w:rPr>
            </w:pPr>
          </w:p>
        </w:tc>
        <w:tc>
          <w:tcPr>
            <w:tcW w:w="34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980" w:type="dxa"/>
            <w:vAlign w:val="bottom"/>
            <w:shd w:val="clear" w:color="auto" w:fill="C0FFFF"/>
          </w:tcPr>
          <w:p>
            <w:pPr>
              <w:ind w:left="240"/>
              <w:spacing w:after="0"/>
              <w:rPr>
                <w:sz w:val="20"/>
                <w:szCs w:val="20"/>
                <w:color w:val="auto"/>
              </w:rPr>
            </w:pPr>
            <w:r>
              <w:rPr>
                <w:rFonts w:ascii="Arial" w:cs="Arial" w:eastAsia="Arial" w:hAnsi="Arial"/>
                <w:sz w:val="15"/>
                <w:szCs w:val="15"/>
                <w:color w:val="auto"/>
              </w:rPr>
              <w:t>Build-A-Bear</w:t>
            </w:r>
          </w:p>
        </w:tc>
        <w:tc>
          <w:tcPr>
            <w:tcW w:w="70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6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60" w:type="dxa"/>
            <w:vAlign w:val="bottom"/>
            <w:shd w:val="clear" w:color="auto" w:fill="C0FFFF"/>
          </w:tcPr>
          <w:p>
            <w:pPr>
              <w:spacing w:after="0"/>
              <w:rPr>
                <w:sz w:val="15"/>
                <w:szCs w:val="15"/>
                <w:color w:val="auto"/>
              </w:rPr>
            </w:pPr>
          </w:p>
        </w:tc>
        <w:tc>
          <w:tcPr>
            <w:tcW w:w="34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181"/>
        </w:trPr>
        <w:tc>
          <w:tcPr>
            <w:tcW w:w="20" w:type="dxa"/>
            <w:vAlign w:val="bottom"/>
          </w:tcPr>
          <w:p>
            <w:pPr>
              <w:spacing w:after="0"/>
              <w:rPr>
                <w:sz w:val="15"/>
                <w:szCs w:val="15"/>
                <w:color w:val="auto"/>
              </w:rPr>
            </w:pPr>
          </w:p>
        </w:tc>
        <w:tc>
          <w:tcPr>
            <w:tcW w:w="1980" w:type="dxa"/>
            <w:vAlign w:val="bottom"/>
            <w:shd w:val="clear" w:color="auto" w:fill="C0FFFF"/>
          </w:tcPr>
          <w:p>
            <w:pPr>
              <w:ind w:left="240"/>
              <w:spacing w:after="0"/>
              <w:rPr>
                <w:sz w:val="20"/>
                <w:szCs w:val="20"/>
                <w:color w:val="auto"/>
              </w:rPr>
            </w:pPr>
            <w:r>
              <w:rPr>
                <w:rFonts w:ascii="Arial" w:cs="Arial" w:eastAsia="Arial" w:hAnsi="Arial"/>
                <w:sz w:val="15"/>
                <w:szCs w:val="15"/>
                <w:color w:val="auto"/>
              </w:rPr>
              <w:t>Workshop, Inc.</w:t>
            </w:r>
          </w:p>
        </w:tc>
        <w:tc>
          <w:tcPr>
            <w:tcW w:w="70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320" w:type="dxa"/>
            <w:vAlign w:val="bottom"/>
            <w:shd w:val="clear" w:color="auto" w:fill="C0FFFF"/>
          </w:tcPr>
          <w:p>
            <w:pPr>
              <w:spacing w:after="0"/>
              <w:rPr>
                <w:sz w:val="15"/>
                <w:szCs w:val="15"/>
                <w:color w:val="auto"/>
              </w:rPr>
            </w:pPr>
          </w:p>
        </w:tc>
        <w:tc>
          <w:tcPr>
            <w:tcW w:w="3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720" w:type="dxa"/>
            <w:vAlign w:val="bottom"/>
            <w:shd w:val="clear" w:color="auto" w:fill="C0FFFF"/>
          </w:tcPr>
          <w:p>
            <w:pPr>
              <w:spacing w:after="0"/>
              <w:rPr>
                <w:sz w:val="15"/>
                <w:szCs w:val="15"/>
                <w:color w:val="auto"/>
              </w:rPr>
            </w:pPr>
          </w:p>
        </w:tc>
        <w:tc>
          <w:tcPr>
            <w:tcW w:w="68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700" w:type="dxa"/>
            <w:vAlign w:val="bottom"/>
            <w:shd w:val="clear" w:color="auto" w:fill="C0FFFF"/>
          </w:tcPr>
          <w:p>
            <w:pPr>
              <w:spacing w:after="0"/>
              <w:rPr>
                <w:sz w:val="15"/>
                <w:szCs w:val="15"/>
                <w:color w:val="auto"/>
              </w:rPr>
            </w:pPr>
          </w:p>
        </w:tc>
        <w:tc>
          <w:tcPr>
            <w:tcW w:w="360" w:type="dxa"/>
            <w:vAlign w:val="bottom"/>
            <w:shd w:val="clear" w:color="auto" w:fill="C0FFFF"/>
          </w:tcPr>
          <w:p>
            <w:pPr>
              <w:spacing w:after="0"/>
              <w:rPr>
                <w:sz w:val="15"/>
                <w:szCs w:val="15"/>
                <w:color w:val="auto"/>
              </w:rPr>
            </w:pPr>
          </w:p>
        </w:tc>
        <w:tc>
          <w:tcPr>
            <w:tcW w:w="34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60" w:type="dxa"/>
            <w:vAlign w:val="bottom"/>
            <w:shd w:val="clear" w:color="auto" w:fill="C0FFFF"/>
          </w:tcPr>
          <w:p>
            <w:pPr>
              <w:spacing w:after="0"/>
              <w:rPr>
                <w:sz w:val="15"/>
                <w:szCs w:val="15"/>
                <w:color w:val="auto"/>
              </w:rPr>
            </w:pPr>
          </w:p>
        </w:tc>
      </w:tr>
      <w:tr>
        <w:trPr>
          <w:trHeight w:val="211"/>
        </w:trPr>
        <w:tc>
          <w:tcPr>
            <w:tcW w:w="20" w:type="dxa"/>
            <w:vAlign w:val="bottom"/>
          </w:tcPr>
          <w:p>
            <w:pPr>
              <w:spacing w:after="0"/>
              <w:rPr>
                <w:sz w:val="18"/>
                <w:szCs w:val="18"/>
                <w:color w:val="auto"/>
              </w:rPr>
            </w:pPr>
          </w:p>
        </w:tc>
        <w:tc>
          <w:tcPr>
            <w:tcW w:w="1980" w:type="dxa"/>
            <w:vAlign w:val="bottom"/>
            <w:shd w:val="clear" w:color="auto" w:fill="C0FFFF"/>
          </w:tcPr>
          <w:p>
            <w:pPr>
              <w:ind w:left="240"/>
              <w:spacing w:after="0"/>
              <w:rPr>
                <w:sz w:val="20"/>
                <w:szCs w:val="20"/>
                <w:color w:val="auto"/>
              </w:rPr>
            </w:pPr>
            <w:r>
              <w:rPr>
                <w:rFonts w:ascii="Arial" w:cs="Arial" w:eastAsia="Arial" w:hAnsi="Arial"/>
                <w:sz w:val="15"/>
                <w:szCs w:val="15"/>
                <w:color w:val="auto"/>
              </w:rPr>
              <w:t>stockholders</w:t>
            </w:r>
          </w:p>
        </w:tc>
        <w:tc>
          <w:tcPr>
            <w:tcW w:w="700" w:type="dxa"/>
            <w:vAlign w:val="bottom"/>
            <w:shd w:val="clear" w:color="auto" w:fill="C0FFFF"/>
          </w:tcPr>
          <w:p>
            <w:pPr>
              <w:jc w:val="right"/>
              <w:ind w:right="124"/>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(0.46</w:t>
            </w:r>
          </w:p>
        </w:tc>
        <w:tc>
          <w:tcPr>
            <w:tcW w:w="720" w:type="dxa"/>
            <w:vAlign w:val="bottom"/>
            <w:shd w:val="clear" w:color="auto" w:fill="C0FFFF"/>
          </w:tcPr>
          <w:p>
            <w:pPr>
              <w:jc w:val="right"/>
              <w:ind w:right="384"/>
              <w:spacing w:after="0"/>
              <w:rPr>
                <w:sz w:val="20"/>
                <w:szCs w:val="20"/>
                <w:color w:val="auto"/>
              </w:rPr>
            </w:pPr>
            <w:r>
              <w:rPr>
                <w:rFonts w:ascii="Arial" w:cs="Arial" w:eastAsia="Arial" w:hAnsi="Arial"/>
                <w:sz w:val="15"/>
                <w:szCs w:val="15"/>
                <w:color w:val="auto"/>
              </w:rPr>
              <w:t>)</w:t>
            </w:r>
          </w:p>
        </w:tc>
        <w:tc>
          <w:tcPr>
            <w:tcW w:w="320" w:type="dxa"/>
            <w:vAlign w:val="bottom"/>
            <w:shd w:val="clear" w:color="auto" w:fill="C0FFFF"/>
          </w:tcPr>
          <w:p>
            <w:pPr>
              <w:spacing w:after="0"/>
              <w:rPr>
                <w:sz w:val="18"/>
                <w:szCs w:val="18"/>
                <w:color w:val="auto"/>
              </w:rPr>
            </w:pPr>
          </w:p>
        </w:tc>
        <w:tc>
          <w:tcPr>
            <w:tcW w:w="380" w:type="dxa"/>
            <w:vAlign w:val="bottom"/>
            <w:shd w:val="clear" w:color="auto" w:fill="C0FFFF"/>
          </w:tcPr>
          <w:p>
            <w:pPr>
              <w:ind w:left="8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(0.37</w:t>
            </w:r>
          </w:p>
        </w:tc>
        <w:tc>
          <w:tcPr>
            <w:tcW w:w="720" w:type="dxa"/>
            <w:vAlign w:val="bottom"/>
            <w:shd w:val="clear" w:color="auto" w:fill="C0FFFF"/>
          </w:tcPr>
          <w:p>
            <w:pPr>
              <w:jc w:val="right"/>
              <w:ind w:right="384"/>
              <w:spacing w:after="0"/>
              <w:rPr>
                <w:sz w:val="20"/>
                <w:szCs w:val="20"/>
                <w:color w:val="auto"/>
              </w:rPr>
            </w:pPr>
            <w:r>
              <w:rPr>
                <w:rFonts w:ascii="Arial" w:cs="Arial" w:eastAsia="Arial" w:hAnsi="Arial"/>
                <w:sz w:val="15"/>
                <w:szCs w:val="15"/>
                <w:color w:val="auto"/>
              </w:rPr>
              <w:t>)</w:t>
            </w:r>
          </w:p>
        </w:tc>
        <w:tc>
          <w:tcPr>
            <w:tcW w:w="680" w:type="dxa"/>
            <w:vAlign w:val="bottom"/>
            <w:shd w:val="clear" w:color="auto" w:fill="C0FFFF"/>
          </w:tcPr>
          <w:p>
            <w:pPr>
              <w:jc w:val="right"/>
              <w:ind w:right="124"/>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(0.53</w:t>
            </w:r>
          </w:p>
        </w:tc>
        <w:tc>
          <w:tcPr>
            <w:tcW w:w="700" w:type="dxa"/>
            <w:vAlign w:val="bottom"/>
            <w:shd w:val="clear" w:color="auto" w:fill="C0FFFF"/>
          </w:tcPr>
          <w:p>
            <w:pPr>
              <w:jc w:val="right"/>
              <w:ind w:right="384"/>
              <w:spacing w:after="0"/>
              <w:rPr>
                <w:sz w:val="20"/>
                <w:szCs w:val="20"/>
                <w:color w:val="auto"/>
              </w:rPr>
            </w:pPr>
            <w:r>
              <w:rPr>
                <w:rFonts w:ascii="Arial" w:cs="Arial" w:eastAsia="Arial" w:hAnsi="Arial"/>
                <w:sz w:val="15"/>
                <w:szCs w:val="15"/>
                <w:color w:val="auto"/>
              </w:rPr>
              <w:t>)</w:t>
            </w:r>
          </w:p>
        </w:tc>
        <w:tc>
          <w:tcPr>
            <w:tcW w:w="360" w:type="dxa"/>
            <w:vAlign w:val="bottom"/>
            <w:shd w:val="clear" w:color="auto" w:fill="C0FFFF"/>
          </w:tcPr>
          <w:p>
            <w:pPr>
              <w:spacing w:after="0"/>
              <w:rPr>
                <w:sz w:val="18"/>
                <w:szCs w:val="18"/>
                <w:color w:val="auto"/>
              </w:rPr>
            </w:pPr>
          </w:p>
        </w:tc>
        <w:tc>
          <w:tcPr>
            <w:tcW w:w="340" w:type="dxa"/>
            <w:vAlign w:val="bottom"/>
            <w:shd w:val="clear" w:color="auto" w:fill="C0FFFF"/>
          </w:tcPr>
          <w:p>
            <w:pPr>
              <w:ind w:left="6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(0.50</w:t>
            </w:r>
          </w:p>
        </w:tc>
        <w:tc>
          <w:tcPr>
            <w:tcW w:w="2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C0FFFF"/>
            </w:tcBorders>
            <w:shd w:val="clear" w:color="auto" w:fill="C0FF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720" w:type="dxa"/>
            <w:vAlign w:val="bottom"/>
            <w:tcBorders>
              <w:top w:val="single" w:sz="8" w:color="C0FFFF"/>
            </w:tcBorders>
            <w:shd w:val="clear" w:color="auto" w:fill="C0FF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720" w:type="dxa"/>
            <w:vAlign w:val="bottom"/>
            <w:tcBorders>
              <w:top w:val="single" w:sz="8" w:color="C0FFFF"/>
            </w:tcBorders>
            <w:shd w:val="clear" w:color="auto" w:fill="C0FF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700" w:type="dxa"/>
            <w:vAlign w:val="bottom"/>
            <w:tcBorders>
              <w:top w:val="single" w:sz="8" w:color="C0FFFF"/>
            </w:tcBorders>
            <w:shd w:val="clear" w:color="auto" w:fill="C0FF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0FFFF"/>
            </w:tcBorders>
            <w:shd w:val="clear" w:color="auto" w:fill="C0FFFF"/>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ind w:right="860"/>
        <w:spacing w:after="0" w:line="314" w:lineRule="auto"/>
        <w:rPr>
          <w:sz w:val="20"/>
          <w:szCs w:val="20"/>
          <w:color w:val="auto"/>
        </w:rPr>
      </w:pPr>
      <w:r>
        <w:rPr>
          <w:rFonts w:ascii="Arial" w:cs="Arial" w:eastAsia="Arial" w:hAnsi="Arial"/>
          <w:sz w:val="14"/>
          <w:szCs w:val="14"/>
          <w:color w:val="auto"/>
        </w:rPr>
        <w:t>Due to the net loss for the thirteen and twenty-six week periods ended June 30, 2012 and July 2, 2011, the denominator for diluted earnings per common share is the same as the denominator for basic earnings per common share for those periods because the inclusion of stock options and unvested restricted shares would be anti-dilutive.</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Comprehensive Loss</w:t>
      </w:r>
    </w:p>
    <w:p>
      <w:pPr>
        <w:spacing w:after="0" w:line="240" w:lineRule="exact"/>
        <w:rPr>
          <w:sz w:val="20"/>
          <w:szCs w:val="20"/>
          <w:color w:val="auto"/>
        </w:rPr>
      </w:pPr>
    </w:p>
    <w:p>
      <w:pPr>
        <w:ind w:right="540" w:firstLine="408"/>
        <w:spacing w:after="0" w:line="277" w:lineRule="auto"/>
        <w:rPr>
          <w:sz w:val="20"/>
          <w:szCs w:val="20"/>
          <w:color w:val="auto"/>
        </w:rPr>
      </w:pPr>
      <w:r>
        <w:rPr>
          <w:rFonts w:ascii="Arial" w:cs="Arial" w:eastAsia="Arial" w:hAnsi="Arial"/>
          <w:sz w:val="15"/>
          <w:szCs w:val="15"/>
          <w:color w:val="auto"/>
        </w:rPr>
        <w:t>The difference between comprehensive income or loss and net income or loss results from foreign currency translation adjustments on the balance sheets of subsidiaries whose functional currency is not the US Dollar.</w:t>
      </w:r>
    </w:p>
    <w:p>
      <w:pPr>
        <w:spacing w:after="0" w:line="316"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520"/>
          </w:cols>
          <w:pgMar w:left="240" w:top="476" w:right="139" w:bottom="1440" w:gutter="0" w:footer="0" w:header="0"/>
        </w:sectPr>
      </w:pPr>
    </w:p>
    <w:bookmarkStart w:id="7" w:name="page8"/>
    <w:bookmarkEnd w:id="7"/>
    <w:p>
      <w:pPr>
        <w:spacing w:after="0"/>
        <w:rPr>
          <w:sz w:val="20"/>
          <w:szCs w:val="20"/>
          <w:color w:val="auto"/>
        </w:rPr>
      </w:pPr>
      <w:r>
        <w:rPr>
          <w:rFonts w:ascii="Arial" w:cs="Arial" w:eastAsia="Arial" w:hAnsi="Arial"/>
          <w:sz w:val="15"/>
          <w:szCs w:val="15"/>
          <w:b w:val="1"/>
          <w:bCs w:val="1"/>
          <w:color w:val="auto"/>
        </w:rPr>
        <w:t>7. Segment Information</w:t>
      </w:r>
    </w:p>
    <w:p>
      <w:pPr>
        <w:spacing w:after="0" w:line="240" w:lineRule="exact"/>
        <w:rPr>
          <w:sz w:val="20"/>
          <w:szCs w:val="20"/>
          <w:color w:val="auto"/>
        </w:rPr>
      </w:pPr>
    </w:p>
    <w:p>
      <w:pPr>
        <w:ind w:right="40" w:firstLine="408"/>
        <w:spacing w:after="0" w:line="300" w:lineRule="auto"/>
        <w:rPr>
          <w:sz w:val="20"/>
          <w:szCs w:val="20"/>
          <w:color w:val="auto"/>
        </w:rPr>
      </w:pPr>
      <w:r>
        <w:rPr>
          <w:rFonts w:ascii="Arial" w:cs="Arial" w:eastAsia="Arial" w:hAnsi="Arial"/>
          <w:sz w:val="13"/>
          <w:szCs w:val="13"/>
          <w:color w:val="auto"/>
        </w:rPr>
        <w:t>The Company’s operations are conducted through three operating segments consisting of retail, commercial and international franchising. The retail segment includes the operating activities of company-owned stores in the United States, Canada, the United Kingdom and Ireland and other retail delivery operations, including the Company’s web store, pop-up stores and non-traditional store locations such as baseball ballparks.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Europe, outside of the United Kingdom and Ireland, Asia, Australia, the Middle East, Africa, Mexico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one reportable segment. The reportable segments follow the same accounting policies used for the Company’s consolidated financial statements.</w:t>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5"/>
          <w:szCs w:val="15"/>
          <w:color w:val="auto"/>
        </w:rPr>
        <w:t>Following is a summary of the financial information for the Company’s reportable segments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w w:val="95"/>
              </w:rPr>
              <w:t>International</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Retail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w w:val="95"/>
              </w:rPr>
              <w:t>Commercial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w w:val="96"/>
              </w:rPr>
              <w:t>Franchising</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0FFFF"/>
          </w:tcPr>
          <w:p>
            <w:pPr>
              <w:spacing w:after="0"/>
              <w:rPr>
                <w:sz w:val="20"/>
                <w:szCs w:val="20"/>
                <w:color w:val="auto"/>
              </w:rPr>
            </w:pPr>
            <w:r>
              <w:rPr>
                <w:rFonts w:ascii="Arial" w:cs="Arial" w:eastAsia="Arial" w:hAnsi="Arial"/>
                <w:sz w:val="15"/>
                <w:szCs w:val="15"/>
                <w:color w:val="auto"/>
              </w:rPr>
              <w:t>Thirteen weeks ended June 30, 2012</w:t>
            </w:r>
          </w:p>
        </w:tc>
        <w:tc>
          <w:tcPr>
            <w:tcW w:w="1960" w:type="dxa"/>
            <w:vAlign w:val="bottom"/>
            <w:shd w:val="clear" w:color="auto" w:fill="C0FFFF"/>
          </w:tcPr>
          <w:p>
            <w:pPr>
              <w:spacing w:after="0"/>
              <w:rPr>
                <w:sz w:val="15"/>
                <w:szCs w:val="15"/>
                <w:color w:val="auto"/>
              </w:rPr>
            </w:pPr>
          </w:p>
        </w:tc>
        <w:tc>
          <w:tcPr>
            <w:tcW w:w="220" w:type="dxa"/>
            <w:vAlign w:val="bottom"/>
            <w:tcBorders>
              <w:top w:val="single" w:sz="8" w:color="auto"/>
            </w:tcBorders>
            <w:shd w:val="clear" w:color="auto" w:fill="C0FFFF"/>
          </w:tcPr>
          <w:p>
            <w:pPr>
              <w:spacing w:after="0"/>
              <w:rPr>
                <w:sz w:val="15"/>
                <w:szCs w:val="15"/>
                <w:color w:val="auto"/>
              </w:rPr>
            </w:pPr>
          </w:p>
        </w:tc>
        <w:tc>
          <w:tcPr>
            <w:tcW w:w="940" w:type="dxa"/>
            <w:vAlign w:val="bottom"/>
            <w:tcBorders>
              <w:top w:val="single" w:sz="8" w:color="auto"/>
            </w:tcBorders>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tcBorders>
              <w:top w:val="single" w:sz="8" w:color="auto"/>
            </w:tcBorders>
            <w:shd w:val="clear" w:color="auto" w:fill="C0FFFF"/>
          </w:tcPr>
          <w:p>
            <w:pPr>
              <w:spacing w:after="0"/>
              <w:rPr>
                <w:sz w:val="15"/>
                <w:szCs w:val="15"/>
                <w:color w:val="auto"/>
              </w:rPr>
            </w:pPr>
          </w:p>
        </w:tc>
        <w:tc>
          <w:tcPr>
            <w:tcW w:w="1000" w:type="dxa"/>
            <w:vAlign w:val="bottom"/>
            <w:tcBorders>
              <w:top w:val="single" w:sz="8" w:color="auto"/>
            </w:tcBorders>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 w:type="dxa"/>
            <w:vAlign w:val="bottom"/>
            <w:tcBorders>
              <w:top w:val="single" w:sz="8" w:color="auto"/>
            </w:tcBorders>
            <w:shd w:val="clear" w:color="auto" w:fill="C0FFFF"/>
          </w:tcPr>
          <w:p>
            <w:pPr>
              <w:spacing w:after="0"/>
              <w:rPr>
                <w:sz w:val="15"/>
                <w:szCs w:val="15"/>
                <w:color w:val="auto"/>
              </w:rPr>
            </w:pPr>
          </w:p>
        </w:tc>
        <w:tc>
          <w:tcPr>
            <w:tcW w:w="1020" w:type="dxa"/>
            <w:vAlign w:val="bottom"/>
            <w:tcBorders>
              <w:top w:val="single" w:sz="8" w:color="auto"/>
            </w:tcBorders>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220" w:type="dxa"/>
            <w:vAlign w:val="bottom"/>
            <w:tcBorders>
              <w:top w:val="single" w:sz="8" w:color="auto"/>
            </w:tcBorders>
            <w:shd w:val="clear" w:color="auto" w:fill="C0FFFF"/>
          </w:tcPr>
          <w:p>
            <w:pPr>
              <w:spacing w:after="0"/>
              <w:rPr>
                <w:sz w:val="15"/>
                <w:szCs w:val="15"/>
                <w:color w:val="auto"/>
              </w:rPr>
            </w:pPr>
          </w:p>
        </w:tc>
        <w:tc>
          <w:tcPr>
            <w:tcW w:w="900" w:type="dxa"/>
            <w:vAlign w:val="bottom"/>
            <w:tcBorders>
              <w:top w:val="single" w:sz="8" w:color="auto"/>
            </w:tcBorders>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ind w:left="320"/>
              <w:spacing w:after="0"/>
              <w:rPr>
                <w:sz w:val="20"/>
                <w:szCs w:val="20"/>
                <w:color w:val="auto"/>
              </w:rPr>
            </w:pPr>
            <w:r>
              <w:rPr>
                <w:rFonts w:ascii="Arial" w:cs="Arial" w:eastAsia="Arial" w:hAnsi="Arial"/>
                <w:sz w:val="15"/>
                <w:szCs w:val="15"/>
                <w:color w:val="auto"/>
              </w:rPr>
              <w:t>Net sales to external customers</w:t>
            </w:r>
          </w:p>
        </w:tc>
        <w:tc>
          <w:tcPr>
            <w:tcW w:w="2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78,989</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705</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716</w:t>
            </w: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80,410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0FFFF"/>
          </w:tcPr>
          <w:p>
            <w:pPr>
              <w:ind w:left="460"/>
              <w:spacing w:after="0"/>
              <w:rPr>
                <w:sz w:val="20"/>
                <w:szCs w:val="20"/>
                <w:color w:val="auto"/>
              </w:rPr>
            </w:pPr>
            <w:r>
              <w:rPr>
                <w:rFonts w:ascii="Arial" w:cs="Arial" w:eastAsia="Arial" w:hAnsi="Arial"/>
                <w:sz w:val="15"/>
                <w:szCs w:val="15"/>
                <w:color w:val="auto"/>
              </w:rPr>
              <w:t>Income (loss) before income taxes</w:t>
            </w:r>
          </w:p>
        </w:tc>
        <w:tc>
          <w:tcPr>
            <w:tcW w:w="196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(8,973)</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314</w:t>
            </w: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353</w:t>
            </w:r>
          </w:p>
        </w:tc>
        <w:tc>
          <w:tcPr>
            <w:tcW w:w="1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0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(8,306)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ind w:left="320"/>
              <w:spacing w:after="0"/>
              <w:rPr>
                <w:sz w:val="20"/>
                <w:szCs w:val="20"/>
                <w:color w:val="auto"/>
              </w:rPr>
            </w:pPr>
            <w:r>
              <w:rPr>
                <w:rFonts w:ascii="Arial" w:cs="Arial" w:eastAsia="Arial" w:hAnsi="Arial"/>
                <w:sz w:val="15"/>
                <w:szCs w:val="15"/>
                <w:color w:val="auto"/>
              </w:rPr>
              <w:t>Capital expenditures, net</w:t>
            </w: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4,492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4,525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0FFFF"/>
          </w:tcPr>
          <w:p>
            <w:pPr>
              <w:ind w:left="320"/>
              <w:spacing w:after="0"/>
              <w:rPr>
                <w:sz w:val="20"/>
                <w:szCs w:val="20"/>
                <w:color w:val="auto"/>
              </w:rPr>
            </w:pPr>
            <w:r>
              <w:rPr>
                <w:rFonts w:ascii="Arial" w:cs="Arial" w:eastAsia="Arial" w:hAnsi="Arial"/>
                <w:sz w:val="15"/>
                <w:szCs w:val="15"/>
                <w:color w:val="auto"/>
              </w:rPr>
              <w:t>Depreciation and amortization</w:t>
            </w:r>
          </w:p>
        </w:tc>
        <w:tc>
          <w:tcPr>
            <w:tcW w:w="196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08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5,228</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45</w:t>
            </w:r>
          </w:p>
        </w:tc>
        <w:tc>
          <w:tcPr>
            <w:tcW w:w="1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5,273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5"/>
                <w:szCs w:val="15"/>
                <w:color w:val="auto"/>
              </w:rPr>
              <w:t>Thirteen weeks ended July 2, 2011</w:t>
            </w: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0FFFF"/>
          </w:tcPr>
          <w:p>
            <w:pPr>
              <w:ind w:left="320"/>
              <w:spacing w:after="0"/>
              <w:rPr>
                <w:sz w:val="20"/>
                <w:szCs w:val="20"/>
                <w:color w:val="auto"/>
              </w:rPr>
            </w:pPr>
            <w:r>
              <w:rPr>
                <w:rFonts w:ascii="Arial" w:cs="Arial" w:eastAsia="Arial" w:hAnsi="Arial"/>
                <w:sz w:val="15"/>
                <w:szCs w:val="15"/>
                <w:color w:val="auto"/>
              </w:rPr>
              <w:t>Net sales to external customers</w:t>
            </w:r>
          </w:p>
        </w:tc>
        <w:tc>
          <w:tcPr>
            <w:tcW w:w="218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80,391</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736</w:t>
            </w: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714</w:t>
            </w:r>
          </w:p>
        </w:tc>
        <w:tc>
          <w:tcPr>
            <w:tcW w:w="340" w:type="dxa"/>
            <w:vAlign w:val="bottom"/>
            <w:gridSpan w:val="2"/>
            <w:shd w:val="clear" w:color="auto" w:fill="C0FFFF"/>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81,841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ind w:left="320"/>
              <w:spacing w:after="0"/>
              <w:rPr>
                <w:sz w:val="20"/>
                <w:szCs w:val="20"/>
                <w:color w:val="auto"/>
              </w:rPr>
            </w:pPr>
            <w:r>
              <w:rPr>
                <w:rFonts w:ascii="Arial" w:cs="Arial" w:eastAsia="Arial" w:hAnsi="Arial"/>
                <w:sz w:val="15"/>
                <w:szCs w:val="15"/>
                <w:color w:val="auto"/>
              </w:rPr>
              <w:t>Income (loss) before income taxes</w:t>
            </w: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(11,435)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401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369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(10,665)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0FFFF"/>
          </w:tcPr>
          <w:p>
            <w:pPr>
              <w:ind w:left="320"/>
              <w:spacing w:after="0"/>
              <w:rPr>
                <w:sz w:val="20"/>
                <w:szCs w:val="20"/>
                <w:color w:val="auto"/>
              </w:rPr>
            </w:pPr>
            <w:r>
              <w:rPr>
                <w:rFonts w:ascii="Arial" w:cs="Arial" w:eastAsia="Arial" w:hAnsi="Arial"/>
                <w:sz w:val="15"/>
                <w:szCs w:val="15"/>
                <w:color w:val="auto"/>
              </w:rPr>
              <w:t>Capital expenditures, net</w:t>
            </w:r>
          </w:p>
        </w:tc>
        <w:tc>
          <w:tcPr>
            <w:tcW w:w="196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08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3,786</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29</w:t>
            </w:r>
          </w:p>
        </w:tc>
        <w:tc>
          <w:tcPr>
            <w:tcW w:w="1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3,815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6,136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70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6,206</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100" w:type="dxa"/>
            <w:vAlign w:val="bottom"/>
            <w:shd w:val="clear" w:color="auto" w:fill="C0FFFF"/>
          </w:tcPr>
          <w:p>
            <w:pPr>
              <w:spacing w:after="0"/>
              <w:rPr>
                <w:sz w:val="15"/>
                <w:szCs w:val="15"/>
                <w:color w:val="auto"/>
              </w:rPr>
            </w:pPr>
          </w:p>
        </w:tc>
        <w:tc>
          <w:tcPr>
            <w:tcW w:w="196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4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100" w:type="dxa"/>
            <w:vAlign w:val="bottom"/>
          </w:tcPr>
          <w:p>
            <w:pPr>
              <w:spacing w:after="0"/>
              <w:rPr>
                <w:sz w:val="20"/>
                <w:szCs w:val="20"/>
                <w:color w:val="auto"/>
              </w:rPr>
            </w:pPr>
            <w:r>
              <w:rPr>
                <w:rFonts w:ascii="Arial" w:cs="Arial" w:eastAsia="Arial" w:hAnsi="Arial"/>
                <w:sz w:val="15"/>
                <w:szCs w:val="15"/>
                <w:color w:val="auto"/>
              </w:rPr>
              <w:t>Twenty-six weeks ended June 30, 2012</w:t>
            </w: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0FFFF"/>
          </w:tcPr>
          <w:p>
            <w:pPr>
              <w:ind w:left="320"/>
              <w:spacing w:after="0"/>
              <w:rPr>
                <w:sz w:val="20"/>
                <w:szCs w:val="20"/>
                <w:color w:val="auto"/>
              </w:rPr>
            </w:pPr>
            <w:r>
              <w:rPr>
                <w:rFonts w:ascii="Arial" w:cs="Arial" w:eastAsia="Arial" w:hAnsi="Arial"/>
                <w:sz w:val="15"/>
                <w:szCs w:val="15"/>
                <w:color w:val="auto"/>
              </w:rPr>
              <w:t>Net sales to external customers</w:t>
            </w:r>
          </w:p>
        </w:tc>
        <w:tc>
          <w:tcPr>
            <w:tcW w:w="218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174,189</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1,081</w:t>
            </w: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1,513</w:t>
            </w:r>
          </w:p>
        </w:tc>
        <w:tc>
          <w:tcPr>
            <w:tcW w:w="340" w:type="dxa"/>
            <w:vAlign w:val="bottom"/>
            <w:gridSpan w:val="2"/>
            <w:shd w:val="clear" w:color="auto" w:fill="C0FFFF"/>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176,783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ind w:left="460"/>
              <w:spacing w:after="0"/>
              <w:rPr>
                <w:sz w:val="20"/>
                <w:szCs w:val="20"/>
                <w:color w:val="auto"/>
              </w:rPr>
            </w:pPr>
            <w:r>
              <w:rPr>
                <w:rFonts w:ascii="Arial" w:cs="Arial" w:eastAsia="Arial" w:hAnsi="Arial"/>
                <w:sz w:val="15"/>
                <w:szCs w:val="15"/>
                <w:color w:val="auto"/>
              </w:rPr>
              <w:t>Income (loss) before income taxes</w:t>
            </w: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5"/>
                <w:szCs w:val="15"/>
                <w:color w:val="auto"/>
              </w:rPr>
              <w:t>(10,438)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235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764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color w:val="auto"/>
              </w:rPr>
              <w:t>(9,439)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0FFFF"/>
          </w:tcPr>
          <w:p>
            <w:pPr>
              <w:ind w:left="320"/>
              <w:spacing w:after="0"/>
              <w:rPr>
                <w:sz w:val="20"/>
                <w:szCs w:val="20"/>
                <w:color w:val="auto"/>
              </w:rPr>
            </w:pPr>
            <w:r>
              <w:rPr>
                <w:rFonts w:ascii="Arial" w:cs="Arial" w:eastAsia="Arial" w:hAnsi="Arial"/>
                <w:sz w:val="15"/>
                <w:szCs w:val="15"/>
                <w:color w:val="auto"/>
              </w:rPr>
              <w:t>Capital expenditures, net</w:t>
            </w:r>
          </w:p>
        </w:tc>
        <w:tc>
          <w:tcPr>
            <w:tcW w:w="196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08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8,257</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47</w:t>
            </w:r>
          </w:p>
        </w:tc>
        <w:tc>
          <w:tcPr>
            <w:tcW w:w="1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8,304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ind w:left="320"/>
              <w:spacing w:after="0"/>
              <w:rPr>
                <w:sz w:val="20"/>
                <w:szCs w:val="20"/>
                <w:color w:val="auto"/>
              </w:rPr>
            </w:pPr>
            <w:r>
              <w:rPr>
                <w:rFonts w:ascii="Arial" w:cs="Arial" w:eastAsia="Arial" w:hAnsi="Arial"/>
                <w:sz w:val="15"/>
                <w:szCs w:val="15"/>
                <w:color w:val="auto"/>
              </w:rPr>
              <w:t>Depreciation and amortization</w:t>
            </w: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10,547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89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10,636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0FFFF"/>
          </w:tcPr>
          <w:p>
            <w:pPr>
              <w:spacing w:after="0"/>
              <w:rPr>
                <w:sz w:val="20"/>
                <w:szCs w:val="20"/>
                <w:color w:val="auto"/>
              </w:rPr>
            </w:pPr>
            <w:r>
              <w:rPr>
                <w:rFonts w:ascii="Arial" w:cs="Arial" w:eastAsia="Arial" w:hAnsi="Arial"/>
                <w:sz w:val="15"/>
                <w:szCs w:val="15"/>
                <w:color w:val="auto"/>
              </w:rPr>
              <w:t>Twenty-six weeks ended July 2, 2011</w:t>
            </w:r>
          </w:p>
        </w:tc>
        <w:tc>
          <w:tcPr>
            <w:tcW w:w="196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4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ind w:left="320"/>
              <w:spacing w:after="0"/>
              <w:rPr>
                <w:sz w:val="20"/>
                <w:szCs w:val="20"/>
                <w:color w:val="auto"/>
              </w:rPr>
            </w:pPr>
            <w:r>
              <w:rPr>
                <w:rFonts w:ascii="Arial" w:cs="Arial" w:eastAsia="Arial" w:hAnsi="Arial"/>
                <w:sz w:val="15"/>
                <w:szCs w:val="15"/>
                <w:color w:val="auto"/>
              </w:rPr>
              <w:t>Net sales to external customers</w:t>
            </w:r>
          </w:p>
        </w:tc>
        <w:tc>
          <w:tcPr>
            <w:tcW w:w="2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174,550</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1,841</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1,440</w:t>
            </w: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177,831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0FFFF"/>
          </w:tcPr>
          <w:p>
            <w:pPr>
              <w:ind w:left="460"/>
              <w:spacing w:after="0"/>
              <w:rPr>
                <w:sz w:val="20"/>
                <w:szCs w:val="20"/>
                <w:color w:val="auto"/>
              </w:rPr>
            </w:pPr>
            <w:r>
              <w:rPr>
                <w:rFonts w:ascii="Arial" w:cs="Arial" w:eastAsia="Arial" w:hAnsi="Arial"/>
                <w:sz w:val="15"/>
                <w:szCs w:val="15"/>
                <w:color w:val="auto"/>
              </w:rPr>
              <w:t>Income (loss) before income taxes</w:t>
            </w:r>
          </w:p>
        </w:tc>
        <w:tc>
          <w:tcPr>
            <w:tcW w:w="196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0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(15,820)</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811</w:t>
            </w: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694</w:t>
            </w:r>
          </w:p>
        </w:tc>
        <w:tc>
          <w:tcPr>
            <w:tcW w:w="1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0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(14,315)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ind w:left="320"/>
              <w:spacing w:after="0"/>
              <w:rPr>
                <w:sz w:val="20"/>
                <w:szCs w:val="20"/>
                <w:color w:val="auto"/>
              </w:rPr>
            </w:pPr>
            <w:r>
              <w:rPr>
                <w:rFonts w:ascii="Arial" w:cs="Arial" w:eastAsia="Arial" w:hAnsi="Arial"/>
                <w:sz w:val="15"/>
                <w:szCs w:val="15"/>
                <w:color w:val="auto"/>
              </w:rPr>
              <w:t>Capital expenditures, net</w:t>
            </w: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6,074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63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6,137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0FFFF"/>
          </w:tcPr>
          <w:p>
            <w:pPr>
              <w:ind w:left="320"/>
              <w:spacing w:after="0"/>
              <w:rPr>
                <w:sz w:val="20"/>
                <w:szCs w:val="20"/>
                <w:color w:val="auto"/>
              </w:rPr>
            </w:pPr>
            <w:r>
              <w:rPr>
                <w:rFonts w:ascii="Arial" w:cs="Arial" w:eastAsia="Arial" w:hAnsi="Arial"/>
                <w:sz w:val="15"/>
                <w:szCs w:val="15"/>
                <w:color w:val="auto"/>
              </w:rPr>
              <w:t>Depreciation and amortization</w:t>
            </w:r>
          </w:p>
        </w:tc>
        <w:tc>
          <w:tcPr>
            <w:tcW w:w="196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08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12,604</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126</w:t>
            </w:r>
          </w:p>
        </w:tc>
        <w:tc>
          <w:tcPr>
            <w:tcW w:w="1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12,730</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4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4100" w:type="dxa"/>
            <w:vAlign w:val="bottom"/>
            <w:shd w:val="clear" w:color="auto" w:fill="C0FFFF"/>
          </w:tcPr>
          <w:p>
            <w:pPr>
              <w:spacing w:after="0"/>
              <w:rPr>
                <w:sz w:val="20"/>
                <w:szCs w:val="20"/>
                <w:color w:val="auto"/>
              </w:rPr>
            </w:pPr>
            <w:r>
              <w:rPr>
                <w:rFonts w:ascii="Arial" w:cs="Arial" w:eastAsia="Arial" w:hAnsi="Arial"/>
                <w:sz w:val="15"/>
                <w:szCs w:val="15"/>
                <w:color w:val="auto"/>
              </w:rPr>
              <w:t>Total Assets as of:</w:t>
            </w:r>
          </w:p>
        </w:tc>
        <w:tc>
          <w:tcPr>
            <w:tcW w:w="196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4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02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ind w:left="320"/>
              <w:spacing w:after="0"/>
              <w:rPr>
                <w:sz w:val="20"/>
                <w:szCs w:val="20"/>
                <w:color w:val="auto"/>
              </w:rPr>
            </w:pPr>
            <w:r>
              <w:rPr>
                <w:rFonts w:ascii="Arial" w:cs="Arial" w:eastAsia="Arial" w:hAnsi="Arial"/>
                <w:sz w:val="15"/>
                <w:szCs w:val="15"/>
                <w:color w:val="auto"/>
              </w:rPr>
              <w:t>June 30, 2012</w:t>
            </w:r>
          </w:p>
        </w:tc>
        <w:tc>
          <w:tcPr>
            <w:tcW w:w="21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5"/>
                <w:szCs w:val="15"/>
                <w:color w:val="auto"/>
              </w:rPr>
              <w:t>193,660</w:t>
            </w:r>
          </w:p>
        </w:tc>
        <w:tc>
          <w:tcPr>
            <w:tcW w:w="2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9,609</w:t>
            </w:r>
          </w:p>
        </w:tc>
        <w:tc>
          <w:tcPr>
            <w:tcW w:w="2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2,678</w:t>
            </w:r>
          </w:p>
        </w:tc>
        <w:tc>
          <w:tcPr>
            <w:tcW w:w="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205,947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0FFFF"/>
          </w:tcPr>
          <w:p>
            <w:pPr>
              <w:ind w:left="320"/>
              <w:spacing w:after="0"/>
              <w:rPr>
                <w:sz w:val="20"/>
                <w:szCs w:val="20"/>
                <w:color w:val="auto"/>
              </w:rPr>
            </w:pPr>
            <w:r>
              <w:rPr>
                <w:rFonts w:ascii="Arial" w:cs="Arial" w:eastAsia="Arial" w:hAnsi="Arial"/>
                <w:sz w:val="15"/>
                <w:szCs w:val="15"/>
                <w:color w:val="auto"/>
              </w:rPr>
              <w:t>July 2, 2011</w:t>
            </w:r>
          </w:p>
        </w:tc>
        <w:tc>
          <w:tcPr>
            <w:tcW w:w="218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234,125</w:t>
            </w:r>
          </w:p>
        </w:tc>
        <w:tc>
          <w:tcPr>
            <w:tcW w:w="220" w:type="dxa"/>
            <w:vAlign w:val="bottom"/>
            <w:gridSpan w:val="2"/>
            <w:shd w:val="clear" w:color="auto" w:fill="C0FFFF"/>
          </w:tcPr>
          <w:p>
            <w:pPr>
              <w:jc w:val="right"/>
              <w:ind w:right="60"/>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9,566</w:t>
            </w:r>
          </w:p>
        </w:tc>
        <w:tc>
          <w:tcPr>
            <w:tcW w:w="22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2,858</w:t>
            </w:r>
          </w:p>
        </w:tc>
        <w:tc>
          <w:tcPr>
            <w:tcW w:w="340" w:type="dxa"/>
            <w:vAlign w:val="bottom"/>
            <w:gridSpan w:val="2"/>
            <w:shd w:val="clear" w:color="auto" w:fill="C0FFFF"/>
          </w:tcPr>
          <w:p>
            <w:pPr>
              <w:jc w:val="right"/>
              <w:ind w:right="160"/>
              <w:spacing w:after="0"/>
              <w:rPr>
                <w:sz w:val="20"/>
                <w:szCs w:val="20"/>
                <w:color w:val="auto"/>
              </w:rPr>
            </w:pPr>
            <w:r>
              <w:rPr>
                <w:rFonts w:ascii="Arial" w:cs="Arial" w:eastAsia="Arial" w:hAnsi="Arial"/>
                <w:sz w:val="15"/>
                <w:szCs w:val="15"/>
                <w:color w:val="auto"/>
              </w:rPr>
              <w:t>$</w:t>
            </w: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246,549</w:t>
            </w: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60" w:type="dxa"/>
            <w:vAlign w:val="bottom"/>
          </w:tcPr>
          <w:p>
            <w:pPr>
              <w:jc w:val="right"/>
              <w:ind w:right="244"/>
              <w:spacing w:after="0"/>
              <w:rPr>
                <w:sz w:val="20"/>
                <w:szCs w:val="20"/>
                <w:color w:val="auto"/>
              </w:rPr>
            </w:pPr>
            <w:r>
              <w:rPr>
                <w:rFonts w:ascii="Arial" w:cs="Arial" w:eastAsia="Arial" w:hAnsi="Arial"/>
                <w:sz w:val="15"/>
                <w:szCs w:val="15"/>
                <w:color w:val="auto"/>
              </w:rPr>
              <w:t>8</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410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8" w:name="page9"/>
    <w:bookmarkEnd w:id="8"/>
    <w:p>
      <w:pPr>
        <w:ind w:left="9" w:right="180" w:firstLine="408"/>
        <w:spacing w:after="0" w:line="264" w:lineRule="auto"/>
        <w:rPr>
          <w:sz w:val="20"/>
          <w:szCs w:val="20"/>
          <w:color w:val="auto"/>
        </w:rPr>
      </w:pPr>
      <w:r>
        <w:rPr>
          <w:rFonts w:ascii="Arial" w:cs="Arial" w:eastAsia="Arial" w:hAnsi="Arial"/>
          <w:sz w:val="15"/>
          <w:szCs w:val="15"/>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97" w:lineRule="exact"/>
        <w:rPr>
          <w:sz w:val="20"/>
          <w:szCs w:val="20"/>
          <w:color w:val="auto"/>
        </w:rPr>
      </w:pPr>
    </w:p>
    <w:tbl>
      <w:tblPr>
        <w:tblLayout w:type="fixed"/>
        <w:tblInd w:w="409"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North</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380"/>
              <w:spacing w:after="0" w:line="197" w:lineRule="exact"/>
              <w:rPr>
                <w:sz w:val="20"/>
                <w:szCs w:val="20"/>
                <w:color w:val="auto"/>
              </w:rPr>
            </w:pPr>
            <w:r>
              <w:rPr>
                <w:rFonts w:ascii="Arial" w:cs="Arial" w:eastAsia="Arial" w:hAnsi="Arial"/>
                <w:sz w:val="15"/>
                <w:szCs w:val="15"/>
                <w:b w:val="1"/>
                <w:bCs w:val="1"/>
                <w:color w:val="auto"/>
                <w:w w:val="91"/>
              </w:rPr>
              <w:t xml:space="preserve">America </w:t>
            </w:r>
            <w:r>
              <w:rPr>
                <w:rFonts w:ascii="Arial" w:cs="Arial" w:eastAsia="Arial" w:hAnsi="Arial"/>
                <w:sz w:val="21"/>
                <w:szCs w:val="21"/>
                <w:b w:val="1"/>
                <w:bCs w:val="1"/>
                <w:color w:val="auto"/>
                <w:w w:val="91"/>
                <w:vertAlign w:val="superscript"/>
              </w:rPr>
              <w:t>(1)</w:t>
            </w:r>
          </w:p>
        </w:tc>
        <w:tc>
          <w:tcPr>
            <w:tcW w:w="140" w:type="dxa"/>
            <w:vAlign w:val="bottom"/>
          </w:tcPr>
          <w:p>
            <w:pPr>
              <w:spacing w:after="0"/>
              <w:rPr>
                <w:sz w:val="17"/>
                <w:szCs w:val="17"/>
                <w:color w:val="auto"/>
              </w:rPr>
            </w:pPr>
          </w:p>
        </w:tc>
        <w:tc>
          <w:tcPr>
            <w:tcW w:w="1000" w:type="dxa"/>
            <w:vAlign w:val="bottom"/>
            <w:gridSpan w:val="2"/>
          </w:tcPr>
          <w:p>
            <w:pPr>
              <w:jc w:val="right"/>
              <w:ind w:right="300"/>
              <w:spacing w:after="0" w:line="197" w:lineRule="exact"/>
              <w:rPr>
                <w:sz w:val="20"/>
                <w:szCs w:val="20"/>
                <w:color w:val="auto"/>
              </w:rPr>
            </w:pPr>
            <w:r>
              <w:rPr>
                <w:rFonts w:ascii="Arial" w:cs="Arial" w:eastAsia="Arial" w:hAnsi="Arial"/>
                <w:sz w:val="15"/>
                <w:szCs w:val="15"/>
                <w:b w:val="1"/>
                <w:bCs w:val="1"/>
                <w:color w:val="auto"/>
                <w:w w:val="93"/>
              </w:rPr>
              <w:t xml:space="preserve">Europe </w:t>
            </w:r>
            <w:r>
              <w:rPr>
                <w:rFonts w:ascii="Arial" w:cs="Arial" w:eastAsia="Arial" w:hAnsi="Arial"/>
                <w:sz w:val="21"/>
                <w:szCs w:val="21"/>
                <w:b w:val="1"/>
                <w:bCs w:val="1"/>
                <w:color w:val="auto"/>
                <w:w w:val="93"/>
                <w:vertAlign w:val="superscript"/>
              </w:rPr>
              <w:t>(2)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80"/>
              <w:spacing w:after="0" w:line="197" w:lineRule="exact"/>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21"/>
                <w:szCs w:val="21"/>
                <w:b w:val="1"/>
                <w:bCs w:val="1"/>
                <w:color w:val="auto"/>
                <w:vertAlign w:val="superscript"/>
              </w:rPr>
              <w:t>(3)</w:t>
            </w:r>
          </w:p>
        </w:tc>
        <w:tc>
          <w:tcPr>
            <w:tcW w:w="220" w:type="dxa"/>
            <w:vAlign w:val="bottom"/>
          </w:tcPr>
          <w:p>
            <w:pPr>
              <w:spacing w:after="0"/>
              <w:rPr>
                <w:sz w:val="17"/>
                <w:szCs w:val="17"/>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0FFFF"/>
          </w:tcPr>
          <w:p>
            <w:pPr>
              <w:spacing w:after="0"/>
              <w:rPr>
                <w:sz w:val="20"/>
                <w:szCs w:val="20"/>
                <w:color w:val="auto"/>
              </w:rPr>
            </w:pPr>
            <w:r>
              <w:rPr>
                <w:rFonts w:ascii="Arial" w:cs="Arial" w:eastAsia="Arial" w:hAnsi="Arial"/>
                <w:sz w:val="15"/>
                <w:szCs w:val="15"/>
                <w:color w:val="auto"/>
              </w:rPr>
              <w:t>Thirteen weeks ended June 30, 2012</w:t>
            </w:r>
          </w:p>
        </w:tc>
        <w:tc>
          <w:tcPr>
            <w:tcW w:w="1600" w:type="dxa"/>
            <w:vAlign w:val="bottom"/>
            <w:shd w:val="clear" w:color="auto" w:fill="C0FFFF"/>
          </w:tcPr>
          <w:p>
            <w:pPr>
              <w:spacing w:after="0"/>
              <w:rPr>
                <w:sz w:val="15"/>
                <w:szCs w:val="15"/>
                <w:color w:val="auto"/>
              </w:rPr>
            </w:pPr>
          </w:p>
        </w:tc>
        <w:tc>
          <w:tcPr>
            <w:tcW w:w="120" w:type="dxa"/>
            <w:vAlign w:val="bottom"/>
            <w:tcBorders>
              <w:top w:val="single" w:sz="8" w:color="auto"/>
            </w:tcBorders>
            <w:shd w:val="clear" w:color="auto" w:fill="C0FFFF"/>
          </w:tcPr>
          <w:p>
            <w:pPr>
              <w:spacing w:after="0"/>
              <w:rPr>
                <w:sz w:val="15"/>
                <w:szCs w:val="15"/>
                <w:color w:val="auto"/>
              </w:rPr>
            </w:pPr>
          </w:p>
        </w:tc>
        <w:tc>
          <w:tcPr>
            <w:tcW w:w="940" w:type="dxa"/>
            <w:vAlign w:val="bottom"/>
            <w:tcBorders>
              <w:top w:val="single" w:sz="8" w:color="auto"/>
            </w:tcBorders>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140" w:type="dxa"/>
            <w:vAlign w:val="bottom"/>
            <w:tcBorders>
              <w:top w:val="single" w:sz="8" w:color="auto"/>
            </w:tcBorders>
            <w:shd w:val="clear" w:color="auto" w:fill="C0FFFF"/>
          </w:tcPr>
          <w:p>
            <w:pPr>
              <w:spacing w:after="0"/>
              <w:rPr>
                <w:sz w:val="15"/>
                <w:szCs w:val="15"/>
                <w:color w:val="auto"/>
              </w:rPr>
            </w:pPr>
          </w:p>
        </w:tc>
        <w:tc>
          <w:tcPr>
            <w:tcW w:w="900" w:type="dxa"/>
            <w:vAlign w:val="bottom"/>
            <w:tcBorders>
              <w:top w:val="single" w:sz="8" w:color="auto"/>
            </w:tcBorders>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60" w:type="dxa"/>
            <w:vAlign w:val="bottom"/>
            <w:tcBorders>
              <w:top w:val="single" w:sz="8" w:color="auto"/>
            </w:tcBorders>
            <w:shd w:val="clear" w:color="auto" w:fill="C0FFFF"/>
          </w:tcPr>
          <w:p>
            <w:pPr>
              <w:spacing w:after="0"/>
              <w:rPr>
                <w:sz w:val="15"/>
                <w:szCs w:val="15"/>
                <w:color w:val="auto"/>
              </w:rPr>
            </w:pPr>
          </w:p>
        </w:tc>
        <w:tc>
          <w:tcPr>
            <w:tcW w:w="880" w:type="dxa"/>
            <w:vAlign w:val="bottom"/>
            <w:tcBorders>
              <w:top w:val="single" w:sz="8" w:color="auto"/>
            </w:tcBorders>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20" w:type="dxa"/>
            <w:vAlign w:val="bottom"/>
            <w:tcBorders>
              <w:top w:val="single" w:sz="8" w:color="auto"/>
            </w:tcBorders>
            <w:shd w:val="clear" w:color="auto" w:fill="C0FFFF"/>
          </w:tcPr>
          <w:p>
            <w:pPr>
              <w:spacing w:after="0"/>
              <w:rPr>
                <w:sz w:val="15"/>
                <w:szCs w:val="15"/>
                <w:color w:val="auto"/>
              </w:rPr>
            </w:pPr>
          </w:p>
        </w:tc>
        <w:tc>
          <w:tcPr>
            <w:tcW w:w="820" w:type="dxa"/>
            <w:vAlign w:val="bottom"/>
            <w:tcBorders>
              <w:top w:val="single" w:sz="8" w:color="auto"/>
            </w:tcBorders>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tcPr>
          <w:p>
            <w:pPr>
              <w:ind w:left="300"/>
              <w:spacing w:after="0"/>
              <w:rPr>
                <w:sz w:val="20"/>
                <w:szCs w:val="20"/>
                <w:color w:val="auto"/>
              </w:rPr>
            </w:pPr>
            <w:r>
              <w:rPr>
                <w:rFonts w:ascii="Arial" w:cs="Arial" w:eastAsia="Arial" w:hAnsi="Arial"/>
                <w:sz w:val="15"/>
                <w:szCs w:val="15"/>
                <w:color w:val="auto"/>
              </w:rPr>
              <w:t>Net sales to external customers</w:t>
            </w:r>
          </w:p>
        </w:tc>
        <w:tc>
          <w:tcPr>
            <w:tcW w:w="17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65,411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14,575</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424</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80,410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0FFFF"/>
          </w:tcPr>
          <w:p>
            <w:pPr>
              <w:ind w:left="300"/>
              <w:spacing w:after="0"/>
              <w:rPr>
                <w:sz w:val="20"/>
                <w:szCs w:val="20"/>
                <w:color w:val="auto"/>
              </w:rPr>
            </w:pPr>
            <w:r>
              <w:rPr>
                <w:rFonts w:ascii="Arial" w:cs="Arial" w:eastAsia="Arial" w:hAnsi="Arial"/>
                <w:sz w:val="15"/>
                <w:szCs w:val="15"/>
                <w:color w:val="auto"/>
              </w:rPr>
              <w:t>Property and equipment, net</w:t>
            </w:r>
          </w:p>
        </w:tc>
        <w:tc>
          <w:tcPr>
            <w:tcW w:w="16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62,672</w:t>
            </w:r>
          </w:p>
        </w:tc>
        <w:tc>
          <w:tcPr>
            <w:tcW w:w="140" w:type="dxa"/>
            <w:vAlign w:val="bottom"/>
            <w:shd w:val="clear" w:color="auto" w:fill="C0FFFF"/>
          </w:tcPr>
          <w:p>
            <w:pPr>
              <w:spacing w:after="0"/>
              <w:rPr>
                <w:sz w:val="15"/>
                <w:szCs w:val="15"/>
                <w:color w:val="auto"/>
              </w:rPr>
            </w:pP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10,846</w:t>
            </w:r>
          </w:p>
        </w:tc>
        <w:tc>
          <w:tcPr>
            <w:tcW w:w="12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0FFFF"/>
          </w:tcPr>
          <w:p>
            <w:pPr>
              <w:spacing w:after="0"/>
              <w:rPr>
                <w:sz w:val="15"/>
                <w:szCs w:val="15"/>
                <w:color w:val="auto"/>
              </w:rPr>
            </w:pPr>
          </w:p>
        </w:tc>
        <w:tc>
          <w:tcPr>
            <w:tcW w:w="92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73,518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tcPr>
          <w:p>
            <w:pPr>
              <w:spacing w:after="0"/>
              <w:rPr>
                <w:sz w:val="20"/>
                <w:szCs w:val="20"/>
                <w:color w:val="auto"/>
              </w:rPr>
            </w:pPr>
            <w:r>
              <w:rPr>
                <w:rFonts w:ascii="Arial" w:cs="Arial" w:eastAsia="Arial" w:hAnsi="Arial"/>
                <w:sz w:val="15"/>
                <w:szCs w:val="15"/>
                <w:color w:val="auto"/>
              </w:rPr>
              <w:t>Thirteen weeks ended July 2, 2011</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0FFFF"/>
          </w:tcPr>
          <w:p>
            <w:pPr>
              <w:ind w:left="300"/>
              <w:spacing w:after="0"/>
              <w:rPr>
                <w:sz w:val="20"/>
                <w:szCs w:val="20"/>
                <w:color w:val="auto"/>
              </w:rPr>
            </w:pPr>
            <w:r>
              <w:rPr>
                <w:rFonts w:ascii="Arial" w:cs="Arial" w:eastAsia="Arial" w:hAnsi="Arial"/>
                <w:sz w:val="15"/>
                <w:szCs w:val="15"/>
                <w:color w:val="auto"/>
              </w:rPr>
              <w:t>Net sales to external customers</w:t>
            </w:r>
          </w:p>
        </w:tc>
        <w:tc>
          <w:tcPr>
            <w:tcW w:w="172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67,406</w:t>
            </w:r>
          </w:p>
        </w:tc>
        <w:tc>
          <w:tcPr>
            <w:tcW w:w="14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13,976</w:t>
            </w:r>
          </w:p>
        </w:tc>
        <w:tc>
          <w:tcPr>
            <w:tcW w:w="2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459</w:t>
            </w:r>
          </w:p>
        </w:tc>
        <w:tc>
          <w:tcPr>
            <w:tcW w:w="220" w:type="dxa"/>
            <w:vAlign w:val="bottom"/>
            <w:shd w:val="clear" w:color="auto" w:fill="C0FF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81,841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tcPr>
          <w:p>
            <w:pPr>
              <w:ind w:left="300"/>
              <w:spacing w:after="0"/>
              <w:rPr>
                <w:sz w:val="20"/>
                <w:szCs w:val="20"/>
                <w:color w:val="auto"/>
              </w:rPr>
            </w:pPr>
            <w:r>
              <w:rPr>
                <w:rFonts w:ascii="Arial" w:cs="Arial" w:eastAsia="Arial" w:hAnsi="Arial"/>
                <w:sz w:val="15"/>
                <w:szCs w:val="15"/>
                <w:color w:val="auto"/>
              </w:rPr>
              <w:t>Property and equipment, net</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69,879</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11,346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81,225</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3960" w:type="dxa"/>
            <w:vAlign w:val="bottom"/>
            <w:shd w:val="clear" w:color="auto" w:fill="C0FFFF"/>
          </w:tcPr>
          <w:p>
            <w:pPr>
              <w:spacing w:after="0"/>
              <w:rPr>
                <w:sz w:val="15"/>
                <w:szCs w:val="15"/>
                <w:color w:val="auto"/>
              </w:rPr>
            </w:pPr>
          </w:p>
        </w:tc>
        <w:tc>
          <w:tcPr>
            <w:tcW w:w="16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94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9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8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960" w:type="dxa"/>
            <w:vAlign w:val="bottom"/>
          </w:tcPr>
          <w:p>
            <w:pPr>
              <w:spacing w:after="0"/>
              <w:rPr>
                <w:sz w:val="20"/>
                <w:szCs w:val="20"/>
                <w:color w:val="auto"/>
              </w:rPr>
            </w:pPr>
            <w:r>
              <w:rPr>
                <w:rFonts w:ascii="Arial" w:cs="Arial" w:eastAsia="Arial" w:hAnsi="Arial"/>
                <w:sz w:val="15"/>
                <w:szCs w:val="15"/>
                <w:color w:val="auto"/>
              </w:rPr>
              <w:t>Twenty-six weeks ended June 30, 2012</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0FFFF"/>
          </w:tcPr>
          <w:p>
            <w:pPr>
              <w:ind w:left="300"/>
              <w:spacing w:after="0"/>
              <w:rPr>
                <w:sz w:val="20"/>
                <w:szCs w:val="20"/>
                <w:color w:val="auto"/>
              </w:rPr>
            </w:pPr>
            <w:r>
              <w:rPr>
                <w:rFonts w:ascii="Arial" w:cs="Arial" w:eastAsia="Arial" w:hAnsi="Arial"/>
                <w:sz w:val="15"/>
                <w:szCs w:val="15"/>
                <w:color w:val="auto"/>
              </w:rPr>
              <w:t>Net sales to external customers</w:t>
            </w:r>
          </w:p>
        </w:tc>
        <w:tc>
          <w:tcPr>
            <w:tcW w:w="172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145,611</w:t>
            </w:r>
          </w:p>
        </w:tc>
        <w:tc>
          <w:tcPr>
            <w:tcW w:w="140" w:type="dxa"/>
            <w:vAlign w:val="bottom"/>
            <w:shd w:val="clear" w:color="auto" w:fill="C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30,285</w:t>
            </w:r>
          </w:p>
        </w:tc>
        <w:tc>
          <w:tcPr>
            <w:tcW w:w="2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887</w:t>
            </w:r>
          </w:p>
        </w:tc>
        <w:tc>
          <w:tcPr>
            <w:tcW w:w="220" w:type="dxa"/>
            <w:vAlign w:val="bottom"/>
            <w:shd w:val="clear" w:color="auto" w:fill="C0FFFF"/>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176,783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tcPr>
          <w:p>
            <w:pPr>
              <w:ind w:left="300"/>
              <w:spacing w:after="0"/>
              <w:rPr>
                <w:sz w:val="20"/>
                <w:szCs w:val="20"/>
                <w:color w:val="auto"/>
              </w:rPr>
            </w:pPr>
            <w:r>
              <w:rPr>
                <w:rFonts w:ascii="Arial" w:cs="Arial" w:eastAsia="Arial" w:hAnsi="Arial"/>
                <w:sz w:val="15"/>
                <w:szCs w:val="15"/>
                <w:color w:val="auto"/>
              </w:rPr>
              <w:t>Property and equipment, net</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62,672</w:t>
            </w:r>
          </w:p>
        </w:tc>
        <w:tc>
          <w:tcPr>
            <w:tcW w:w="14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10,846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73,518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0FFFF"/>
          </w:tcPr>
          <w:p>
            <w:pPr>
              <w:spacing w:after="0"/>
              <w:rPr>
                <w:sz w:val="20"/>
                <w:szCs w:val="20"/>
                <w:color w:val="auto"/>
              </w:rPr>
            </w:pPr>
            <w:r>
              <w:rPr>
                <w:rFonts w:ascii="Arial" w:cs="Arial" w:eastAsia="Arial" w:hAnsi="Arial"/>
                <w:sz w:val="15"/>
                <w:szCs w:val="15"/>
                <w:color w:val="auto"/>
              </w:rPr>
              <w:t>Twenty-six weeks ended July 2, 2011</w:t>
            </w:r>
          </w:p>
        </w:tc>
        <w:tc>
          <w:tcPr>
            <w:tcW w:w="16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94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140" w:type="dxa"/>
            <w:vAlign w:val="bottom"/>
            <w:shd w:val="clear" w:color="auto" w:fill="C0FFFF"/>
          </w:tcPr>
          <w:p>
            <w:pPr>
              <w:spacing w:after="0"/>
              <w:rPr>
                <w:sz w:val="15"/>
                <w:szCs w:val="15"/>
                <w:color w:val="auto"/>
              </w:rPr>
            </w:pPr>
          </w:p>
        </w:tc>
        <w:tc>
          <w:tcPr>
            <w:tcW w:w="90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880" w:type="dxa"/>
            <w:vAlign w:val="bottom"/>
            <w:shd w:val="clear" w:color="auto" w:fill="C0FFFF"/>
          </w:tcPr>
          <w:p>
            <w:pPr>
              <w:spacing w:after="0"/>
              <w:rPr>
                <w:sz w:val="15"/>
                <w:szCs w:val="15"/>
                <w:color w:val="auto"/>
              </w:rPr>
            </w:pPr>
          </w:p>
        </w:tc>
        <w:tc>
          <w:tcPr>
            <w:tcW w:w="2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820" w:type="dxa"/>
            <w:vAlign w:val="bottom"/>
            <w:shd w:val="clear" w:color="auto" w:fill="C0FFFF"/>
          </w:tcPr>
          <w:p>
            <w:pPr>
              <w:spacing w:after="0"/>
              <w:rPr>
                <w:sz w:val="15"/>
                <w:szCs w:val="15"/>
                <w:color w:val="auto"/>
              </w:rPr>
            </w:pPr>
          </w:p>
        </w:tc>
        <w:tc>
          <w:tcPr>
            <w:tcW w:w="10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tcPr>
          <w:p>
            <w:pPr>
              <w:ind w:left="300"/>
              <w:spacing w:after="0"/>
              <w:rPr>
                <w:sz w:val="20"/>
                <w:szCs w:val="20"/>
                <w:color w:val="auto"/>
              </w:rPr>
            </w:pPr>
            <w:r>
              <w:rPr>
                <w:rFonts w:ascii="Arial" w:cs="Arial" w:eastAsia="Arial" w:hAnsi="Arial"/>
                <w:sz w:val="15"/>
                <w:szCs w:val="15"/>
                <w:color w:val="auto"/>
              </w:rPr>
              <w:t>Net sales to external customers</w:t>
            </w:r>
          </w:p>
        </w:tc>
        <w:tc>
          <w:tcPr>
            <w:tcW w:w="172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5"/>
                <w:szCs w:val="15"/>
                <w:color w:val="auto"/>
              </w:rPr>
              <w:t>146,679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30,224</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5"/>
                <w:szCs w:val="15"/>
                <w:color w:val="auto"/>
              </w:rPr>
              <w:t>929</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177,831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60" w:type="dxa"/>
            <w:vAlign w:val="bottom"/>
            <w:shd w:val="clear" w:color="auto" w:fill="C0FFFF"/>
          </w:tcPr>
          <w:p>
            <w:pPr>
              <w:ind w:left="300"/>
              <w:spacing w:after="0"/>
              <w:rPr>
                <w:sz w:val="20"/>
                <w:szCs w:val="20"/>
                <w:color w:val="auto"/>
              </w:rPr>
            </w:pPr>
            <w:r>
              <w:rPr>
                <w:rFonts w:ascii="Arial" w:cs="Arial" w:eastAsia="Arial" w:hAnsi="Arial"/>
                <w:sz w:val="15"/>
                <w:szCs w:val="15"/>
                <w:color w:val="auto"/>
              </w:rPr>
              <w:t>Property and equipment, net</w:t>
            </w:r>
          </w:p>
        </w:tc>
        <w:tc>
          <w:tcPr>
            <w:tcW w:w="16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14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69,879</w:t>
            </w:r>
          </w:p>
        </w:tc>
        <w:tc>
          <w:tcPr>
            <w:tcW w:w="140" w:type="dxa"/>
            <w:vAlign w:val="bottom"/>
            <w:shd w:val="clear" w:color="auto" w:fill="C0FFFF"/>
          </w:tcPr>
          <w:p>
            <w:pPr>
              <w:spacing w:after="0"/>
              <w:rPr>
                <w:sz w:val="15"/>
                <w:szCs w:val="15"/>
                <w:color w:val="auto"/>
              </w:rPr>
            </w:pPr>
          </w:p>
        </w:tc>
        <w:tc>
          <w:tcPr>
            <w:tcW w:w="90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11,346</w:t>
            </w:r>
          </w:p>
        </w:tc>
        <w:tc>
          <w:tcPr>
            <w:tcW w:w="1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160" w:type="dxa"/>
            <w:vAlign w:val="bottom"/>
            <w:shd w:val="clear" w:color="auto" w:fill="C0FFFF"/>
          </w:tcPr>
          <w:p>
            <w:pPr>
              <w:spacing w:after="0"/>
              <w:rPr>
                <w:sz w:val="15"/>
                <w:szCs w:val="15"/>
                <w:color w:val="auto"/>
              </w:rPr>
            </w:pPr>
          </w:p>
        </w:tc>
        <w:tc>
          <w:tcPr>
            <w:tcW w:w="1080" w:type="dxa"/>
            <w:vAlign w:val="bottom"/>
            <w:gridSpan w:val="2"/>
            <w:shd w:val="clear" w:color="auto" w:fill="C0FFFF"/>
          </w:tcPr>
          <w:p>
            <w:pPr>
              <w:jc w:val="right"/>
              <w:ind w:right="2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0FFFF"/>
          </w:tcPr>
          <w:p>
            <w:pPr>
              <w:spacing w:after="0"/>
              <w:rPr>
                <w:sz w:val="15"/>
                <w:szCs w:val="15"/>
                <w:color w:val="auto"/>
              </w:rPr>
            </w:pPr>
          </w:p>
        </w:tc>
        <w:tc>
          <w:tcPr>
            <w:tcW w:w="92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81,225</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9"/>
        <w:spacing w:after="0"/>
        <w:rPr>
          <w:sz w:val="20"/>
          <w:szCs w:val="20"/>
          <w:color w:val="auto"/>
        </w:rPr>
      </w:pPr>
      <w:r>
        <w:rPr>
          <w:rFonts w:ascii="Arial" w:cs="Arial" w:eastAsia="Arial" w:hAnsi="Arial"/>
          <w:sz w:val="15"/>
          <w:szCs w:val="15"/>
          <w:color w:val="auto"/>
        </w:rPr>
        <w:t>For purposes of this table only:</w:t>
      </w:r>
    </w:p>
    <w:p>
      <w:pPr>
        <w:spacing w:after="0" w:line="18" w:lineRule="exact"/>
        <w:rPr>
          <w:sz w:val="20"/>
          <w:szCs w:val="20"/>
          <w:color w:val="auto"/>
        </w:rPr>
      </w:pPr>
    </w:p>
    <w:p>
      <w:pPr>
        <w:ind w:left="249" w:hanging="249"/>
        <w:spacing w:after="0"/>
        <w:tabs>
          <w:tab w:leader="none" w:pos="249" w:val="left"/>
        </w:tabs>
        <w:numPr>
          <w:ilvl w:val="0"/>
          <w:numId w:val="3"/>
        </w:numPr>
        <w:rPr>
          <w:rFonts w:ascii="Arial" w:cs="Arial" w:eastAsia="Arial" w:hAnsi="Arial"/>
          <w:sz w:val="15"/>
          <w:szCs w:val="15"/>
          <w:color w:val="auto"/>
        </w:rPr>
      </w:pPr>
      <w:r>
        <w:rPr>
          <w:rFonts w:ascii="Arial" w:cs="Arial" w:eastAsia="Arial" w:hAnsi="Arial"/>
          <w:sz w:val="15"/>
          <w:szCs w:val="15"/>
          <w:color w:val="auto"/>
        </w:rPr>
        <w:t>North America includes the United States, Canada, Puerto Rico and franchise business in Mexico</w:t>
      </w:r>
    </w:p>
    <w:p>
      <w:pPr>
        <w:spacing w:after="0" w:line="8" w:lineRule="exact"/>
        <w:rPr>
          <w:rFonts w:ascii="Arial" w:cs="Arial" w:eastAsia="Arial" w:hAnsi="Arial"/>
          <w:sz w:val="15"/>
          <w:szCs w:val="15"/>
          <w:color w:val="auto"/>
        </w:rPr>
      </w:pPr>
    </w:p>
    <w:p>
      <w:pPr>
        <w:ind w:left="249" w:hanging="249"/>
        <w:spacing w:after="0"/>
        <w:tabs>
          <w:tab w:leader="none" w:pos="249" w:val="left"/>
        </w:tabs>
        <w:numPr>
          <w:ilvl w:val="0"/>
          <w:numId w:val="3"/>
        </w:numPr>
        <w:rPr>
          <w:rFonts w:ascii="Arial" w:cs="Arial" w:eastAsia="Arial" w:hAnsi="Arial"/>
          <w:sz w:val="15"/>
          <w:szCs w:val="15"/>
          <w:color w:val="auto"/>
        </w:rPr>
      </w:pPr>
      <w:r>
        <w:rPr>
          <w:rFonts w:ascii="Arial" w:cs="Arial" w:eastAsia="Arial" w:hAnsi="Arial"/>
          <w:sz w:val="15"/>
          <w:szCs w:val="15"/>
          <w:color w:val="auto"/>
        </w:rPr>
        <w:t>Europe includes the United Kingdom, Ireland and franchise businesses in Europe</w:t>
      </w:r>
    </w:p>
    <w:p>
      <w:pPr>
        <w:spacing w:after="0" w:line="8" w:lineRule="exact"/>
        <w:rPr>
          <w:rFonts w:ascii="Arial" w:cs="Arial" w:eastAsia="Arial" w:hAnsi="Arial"/>
          <w:sz w:val="15"/>
          <w:szCs w:val="15"/>
          <w:color w:val="auto"/>
        </w:rPr>
      </w:pPr>
    </w:p>
    <w:p>
      <w:pPr>
        <w:ind w:left="249" w:hanging="249"/>
        <w:spacing w:after="0"/>
        <w:tabs>
          <w:tab w:leader="none" w:pos="249" w:val="left"/>
        </w:tabs>
        <w:numPr>
          <w:ilvl w:val="0"/>
          <w:numId w:val="3"/>
        </w:numPr>
        <w:rPr>
          <w:rFonts w:ascii="Arial" w:cs="Arial" w:eastAsia="Arial" w:hAnsi="Arial"/>
          <w:sz w:val="15"/>
          <w:szCs w:val="15"/>
          <w:color w:val="auto"/>
        </w:rPr>
      </w:pPr>
      <w:r>
        <w:rPr>
          <w:rFonts w:ascii="Arial" w:cs="Arial" w:eastAsia="Arial" w:hAnsi="Arial"/>
          <w:sz w:val="15"/>
          <w:szCs w:val="15"/>
          <w:color w:val="auto"/>
        </w:rPr>
        <w:t>Other includes franchise businesses outside of the North America and Europe</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8. Contingencies</w:t>
      </w:r>
    </w:p>
    <w:p>
      <w:pPr>
        <w:spacing w:after="0" w:line="240" w:lineRule="exact"/>
        <w:rPr>
          <w:sz w:val="20"/>
          <w:szCs w:val="20"/>
          <w:color w:val="auto"/>
        </w:rPr>
      </w:pPr>
    </w:p>
    <w:p>
      <w:pPr>
        <w:ind w:left="9" w:firstLine="544"/>
        <w:spacing w:after="0" w:line="281" w:lineRule="auto"/>
        <w:rPr>
          <w:sz w:val="20"/>
          <w:szCs w:val="20"/>
          <w:color w:val="auto"/>
        </w:rPr>
      </w:pPr>
      <w:r>
        <w:rPr>
          <w:rFonts w:ascii="Arial" w:cs="Arial" w:eastAsia="Arial" w:hAnsi="Arial"/>
          <w:sz w:val="14"/>
          <w:szCs w:val="14"/>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The Company believes that the ultimate outcome of these matters will not have a material adverse impact on the results of operation, liquidity or financial position of the Company. However, if one or more of these examinations has an unfavorable resolution, it is possible that the results of operation, liquidity or financial position of the Company could be materially affected in any particular period.</w:t>
      </w:r>
    </w:p>
    <w:p>
      <w:pPr>
        <w:spacing w:after="0" w:line="18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9. Subsequent Event</w:t>
      </w:r>
    </w:p>
    <w:p>
      <w:pPr>
        <w:spacing w:after="0" w:line="240" w:lineRule="exact"/>
        <w:rPr>
          <w:sz w:val="20"/>
          <w:szCs w:val="20"/>
          <w:color w:val="auto"/>
        </w:rPr>
      </w:pPr>
    </w:p>
    <w:p>
      <w:pPr>
        <w:ind w:left="9" w:right="420" w:firstLine="544"/>
        <w:spacing w:after="0" w:line="260" w:lineRule="auto"/>
        <w:rPr>
          <w:sz w:val="20"/>
          <w:szCs w:val="20"/>
          <w:color w:val="auto"/>
        </w:rPr>
      </w:pPr>
      <w:r>
        <w:rPr>
          <w:rFonts w:ascii="Arial" w:cs="Arial" w:eastAsia="Arial" w:hAnsi="Arial"/>
          <w:sz w:val="15"/>
          <w:szCs w:val="15"/>
          <w:color w:val="auto"/>
        </w:rPr>
        <w:t>On July 26, 2012, the Company announced that it had amended its existing bank line of credit with U.S. Bank, National Association as of June 30, 2012. The amendment decreased the minimum tangible net worth covenant as of the end of the second and third fiscal quarters of 2012. Except for this change, the terms and conditions of the line of credit remain unchanged. The Company does not currently have any outstanding borrowings under the line of credit and is currently in compliance with all of the covenants. The current agreement expires on December 31, 2013.</w:t>
      </w:r>
    </w:p>
    <w:p>
      <w:pPr>
        <w:spacing w:after="0" w:line="32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29"/>
          </w:cols>
          <w:pgMar w:left="231" w:top="435" w:right="239" w:bottom="1440" w:gutter="0" w:footer="0" w:header="0"/>
        </w:sectPr>
      </w:pPr>
    </w:p>
    <w:bookmarkStart w:id="9" w:name="page10"/>
    <w:bookmarkEnd w:id="9"/>
    <w:p>
      <w:pPr>
        <w:spacing w:after="0"/>
        <w:rPr>
          <w:sz w:val="20"/>
          <w:szCs w:val="20"/>
          <w:color w:val="auto"/>
        </w:rPr>
      </w:pPr>
      <w:r>
        <w:rPr>
          <w:rFonts w:ascii="Arial" w:cs="Arial" w:eastAsia="Arial" w:hAnsi="Arial"/>
          <w:sz w:val="15"/>
          <w:szCs w:val="15"/>
          <w:b w:val="1"/>
          <w:bCs w:val="1"/>
          <w:color w:val="auto"/>
        </w:rPr>
        <w:t>Item 2. Management’s Discussion and Analysis of Financial Condition and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Cautionary Notice Regarding Forward-Looking Statements</w:t>
      </w:r>
    </w:p>
    <w:p>
      <w:pPr>
        <w:spacing w:after="0" w:line="240" w:lineRule="exact"/>
        <w:rPr>
          <w:sz w:val="20"/>
          <w:szCs w:val="20"/>
          <w:color w:val="auto"/>
        </w:rPr>
      </w:pPr>
    </w:p>
    <w:p>
      <w:pPr>
        <w:jc w:val="both"/>
        <w:ind w:right="40" w:firstLine="186"/>
        <w:spacing w:after="0" w:line="258" w:lineRule="auto"/>
        <w:rPr>
          <w:sz w:val="20"/>
          <w:szCs w:val="20"/>
          <w:color w:val="auto"/>
        </w:rPr>
      </w:pPr>
      <w:r>
        <w:rPr>
          <w:rFonts w:ascii="Arial" w:cs="Arial" w:eastAsia="Arial" w:hAnsi="Arial"/>
          <w:sz w:val="15"/>
          <w:szCs w:val="15"/>
          <w:color w:val="auto"/>
        </w:rPr>
        <w:t>This report includes statements of our expectations, intentions, plans and beliefs that constitute “forward-looking statements” within the meaning of Section 27A of the Securities Act of 1933 and Section 21E of the Securities Exchange Act of 1934 and are intended to come within the safe harbor protection provided by those sections. These statements relate to future events or our future financial performance in Management’s Discussion and Analysis of Financial Condition and Results of Operations. We generally identify these statements by words or phrases such as “may,” “might,” “should,” “expect,” “plan,” “anticipate,” “believe,” “estimate,” “intend,” “predict,” “future,” “potential” or “continue,” the negative or any derivative of these terms and other comparable terminology.</w:t>
      </w:r>
    </w:p>
    <w:p>
      <w:pPr>
        <w:spacing w:after="0" w:line="206" w:lineRule="exact"/>
        <w:rPr>
          <w:sz w:val="20"/>
          <w:szCs w:val="20"/>
          <w:color w:val="auto"/>
        </w:rPr>
      </w:pPr>
    </w:p>
    <w:p>
      <w:pPr>
        <w:ind w:right="100" w:firstLine="186"/>
        <w:spacing w:after="0" w:line="260" w:lineRule="auto"/>
        <w:rPr>
          <w:sz w:val="20"/>
          <w:szCs w:val="20"/>
          <w:color w:val="auto"/>
        </w:rPr>
      </w:pPr>
      <w:r>
        <w:rPr>
          <w:rFonts w:ascii="Arial" w:cs="Arial" w:eastAsia="Arial" w:hAnsi="Arial"/>
          <w:sz w:val="15"/>
          <w:szCs w:val="15"/>
          <w:color w:val="auto"/>
        </w:rPr>
        <w:t>Without limiting the foregoing, all statements relating to our future sales and operating results, anticipated store locations and capital expenditures, future cash flows and share repurchases, and sources of funding are forward-looking statements and speak only as of the date of this report. These forward-looking statements are based on numerous assumptions that we believe are reasonable, but are subject to a wide range of uncertainties and business risks and actual results may differ materially from those discussed in these statements. Among the factors that could cause actual results to differ materially are:</w:t>
      </w:r>
    </w:p>
    <w:p>
      <w:pPr>
        <w:spacing w:after="0" w:line="205" w:lineRule="exact"/>
        <w:rPr>
          <w:sz w:val="20"/>
          <w:szCs w:val="20"/>
          <w:color w:val="auto"/>
        </w:rPr>
      </w:pPr>
    </w:p>
    <w:p>
      <w:pPr>
        <w:ind w:left="540" w:right="340" w:hanging="277"/>
        <w:spacing w:after="0" w:line="258"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general global economic conditions may continue to deteriorate, which could lead to disproportionately reduced consumer demand for our products, which represent relatively discretionary spending;</w:t>
      </w:r>
    </w:p>
    <w:p>
      <w:pPr>
        <w:spacing w:after="0" w:line="1"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customer traffic may decrease in the shopping malls where we are located, on which we depend to attract guests to our stores;</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generate interest in and demand for our interactive retail experience, or to identify and respond to consumer preferences in a timely fashion;</w:t>
      </w:r>
    </w:p>
    <w:p>
      <w:pPr>
        <w:spacing w:after="0" w:line="8" w:lineRule="exact"/>
        <w:rPr>
          <w:rFonts w:ascii="Arial" w:cs="Arial" w:eastAsia="Arial" w:hAnsi="Arial"/>
          <w:sz w:val="15"/>
          <w:szCs w:val="15"/>
          <w:color w:val="auto"/>
        </w:rPr>
      </w:pPr>
    </w:p>
    <w:p>
      <w:pPr>
        <w:ind w:left="540" w:right="100" w:hanging="277"/>
        <w:spacing w:after="0" w:line="252"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marketing and on-line initiatives may not be effective in generating sufficient levels of brand awareness and guest traffic; we may be unable to generate comparable store sales growth;</w:t>
      </w: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effectively operate or manage the overall portfolio of our company-owned stores;</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may be unable to renew or replace our store leases, or enter into leases for new stores on favorable terms or in favorable locations, or may violate the terms of our current leases;</w:t>
      </w:r>
    </w:p>
    <w:p>
      <w:pPr>
        <w:spacing w:after="0" w:line="31" w:lineRule="exact"/>
        <w:rPr>
          <w:rFonts w:ascii="Arial" w:cs="Arial" w:eastAsia="Arial" w:hAnsi="Arial"/>
          <w:sz w:val="13"/>
          <w:szCs w:val="13"/>
          <w:color w:val="auto"/>
        </w:rPr>
      </w:pPr>
    </w:p>
    <w:p>
      <w:pPr>
        <w:ind w:left="540" w:hanging="277"/>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availability and costs of our products could be adversely affected by risks associated with international manufacturing and trade, including foreign currency fluctuation;</w:t>
      </w:r>
    </w:p>
    <w:p>
      <w:pPr>
        <w:spacing w:after="0" w:line="20" w:lineRule="exact"/>
        <w:rPr>
          <w:rFonts w:ascii="Arial" w:cs="Arial" w:eastAsia="Arial" w:hAnsi="Arial"/>
          <w:sz w:val="14"/>
          <w:szCs w:val="14"/>
          <w:color w:val="auto"/>
        </w:rPr>
      </w:pPr>
    </w:p>
    <w:p>
      <w:pPr>
        <w:ind w:left="540" w:hanging="277"/>
        <w:spacing w:after="0"/>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products could become subject to recalls or product liability claims that could adversely impact our financial performance and harm our reputation among consumers;</w:t>
      </w:r>
    </w:p>
    <w:p>
      <w:pPr>
        <w:spacing w:after="0" w:line="20" w:lineRule="exact"/>
        <w:rPr>
          <w:rFonts w:ascii="Arial" w:cs="Arial" w:eastAsia="Arial" w:hAnsi="Arial"/>
          <w:sz w:val="14"/>
          <w:szCs w:val="14"/>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are susceptible to disruption in our inventory flow due to our reliance on a few vendors;</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high petroleum products prices could increase our inventory transportation costs and adversely affect our profitability;</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not be able to operate our company-owned stores in the United Kingdom and Ireland profitably;</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effectively manage our international franchises or laws relating to those franchises may change;</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improperly obtain or be unable to adequately protect customer information in violation of privacy or security laws or customer expectations;</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suffer negative publicity or be sued due to violations of labor laws or unethical practices by manufacturers of our merchandise;</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suffer negative publicity or negative sales if the non-proprietary toy products we sell in our stores do not meet our quality or sales expectations;</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lose key personnel, be unable to hire qualified additional personnel, or experience turnover of our management team;</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operate our company-owned distribution center efficiently or our third-party distribution center providers may perform poorly;</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our market share could be adversely affected by a significant, or increased, number of competitors;</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fail to renew, register or otherwise protect our trademarks or other intellectual property;</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poor global economic conditions could have a material adverse effect on our liquidity and capital resources;</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have disputes with, or be sued by, third parties for infringement or misappropriation of their proprietary rights;</w:t>
      </w:r>
    </w:p>
    <w:p>
      <w:pPr>
        <w:spacing w:after="0" w:line="8" w:lineRule="exact"/>
        <w:rPr>
          <w:rFonts w:ascii="Arial" w:cs="Arial" w:eastAsia="Arial" w:hAnsi="Arial"/>
          <w:sz w:val="15"/>
          <w:szCs w:val="15"/>
          <w:color w:val="auto"/>
        </w:rPr>
      </w:pPr>
    </w:p>
    <w:p>
      <w:pPr>
        <w:ind w:left="540" w:hanging="277"/>
        <w:spacing w:after="0"/>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fluctuations in our quarterly results of operations could cause the price of our common stock to substantially decline; and</w:t>
      </w:r>
    </w:p>
    <w:p>
      <w:pPr>
        <w:spacing w:after="0" w:line="8" w:lineRule="exact"/>
        <w:rPr>
          <w:rFonts w:ascii="Arial" w:cs="Arial" w:eastAsia="Arial" w:hAnsi="Arial"/>
          <w:sz w:val="15"/>
          <w:szCs w:val="15"/>
          <w:color w:val="auto"/>
        </w:rPr>
      </w:pPr>
    </w:p>
    <w:p>
      <w:pPr>
        <w:ind w:left="540" w:right="300" w:hanging="277"/>
        <w:spacing w:after="0" w:line="264" w:lineRule="auto"/>
        <w:tabs>
          <w:tab w:leader="none" w:pos="540"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may be unable to repurchase shares of our common stock at the times or in the amounts we currently anticipate or the results of the share repurchase program may not be as beneficial as we currently anticipate.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431" w:right="219" w:bottom="1440" w:gutter="0" w:footer="0" w:header="0"/>
        </w:sectPr>
      </w:pPr>
    </w:p>
    <w:bookmarkStart w:id="10" w:name="page11"/>
    <w:bookmarkEnd w:id="10"/>
    <w:p>
      <w:pPr>
        <w:ind w:right="300" w:firstLine="186"/>
        <w:spacing w:after="0" w:line="260" w:lineRule="auto"/>
        <w:rPr>
          <w:sz w:val="20"/>
          <w:szCs w:val="20"/>
          <w:color w:val="auto"/>
        </w:rPr>
      </w:pPr>
      <w:r>
        <w:rPr>
          <w:rFonts w:ascii="Arial" w:cs="Arial" w:eastAsia="Arial" w:hAnsi="Arial"/>
          <w:sz w:val="15"/>
          <w:szCs w:val="15"/>
          <w:color w:val="auto"/>
        </w:rPr>
        <w:t>When considering these forward-looking statements, you should keep in mind the cautionary statements in this document and in our other Securities and Exchange Commission (SEC) filings, including the more detailed discussion of these factors, as well as other factors that could affect our results, contained in Item 1A. “Risk Factors” of our Annual Report on Form 10-K for the year ended December 31, 2011. These forward-looking statements speak only as of the date on which such statements were made, and we undertake no obligation to update these statements except as required by federal securities laws.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240" w:lineRule="exact"/>
        <w:rPr>
          <w:sz w:val="20"/>
          <w:szCs w:val="20"/>
          <w:color w:val="auto"/>
        </w:rPr>
      </w:pPr>
    </w:p>
    <w:p>
      <w:pPr>
        <w:ind w:firstLine="408"/>
        <w:spacing w:after="0" w:line="260" w:lineRule="auto"/>
        <w:rPr>
          <w:sz w:val="20"/>
          <w:szCs w:val="20"/>
          <w:color w:val="auto"/>
        </w:rPr>
      </w:pPr>
      <w:r>
        <w:rPr>
          <w:rFonts w:ascii="Arial" w:cs="Arial" w:eastAsia="Arial" w:hAnsi="Arial"/>
          <w:sz w:val="15"/>
          <w:szCs w:val="15"/>
          <w:color w:val="auto"/>
        </w:rPr>
        <w:t>We are the leading, and only international, company providing a “make your own stuffed animal” interactive entertainment experience under the Build-A-Bear Workshop brand, in which our guests stuff, fluff, dress, accessorize and name their own teddy bears and other stuffed animals. Our concept, which we developed primarily for mall-based retailing, capitalizes on what we believe is the relatively untapped demand for experience-based shopping as well as the widespread appeal of stuffed animals. The Build-A-Bear Workshop experience appeals to a broad range of age groups and demographics, including children, teens, their parents and grandparents.</w:t>
      </w:r>
    </w:p>
    <w:p>
      <w:pPr>
        <w:spacing w:after="0" w:line="205" w:lineRule="exact"/>
        <w:rPr>
          <w:sz w:val="20"/>
          <w:szCs w:val="20"/>
          <w:color w:val="auto"/>
        </w:rPr>
      </w:pPr>
    </w:p>
    <w:p>
      <w:pPr>
        <w:ind w:right="80" w:firstLine="408"/>
        <w:spacing w:after="0" w:line="232" w:lineRule="auto"/>
        <w:rPr>
          <w:sz w:val="20"/>
          <w:szCs w:val="20"/>
          <w:color w:val="auto"/>
        </w:rPr>
      </w:pPr>
      <w:r>
        <w:rPr>
          <w:rFonts w:ascii="Arial" w:cs="Arial" w:eastAsia="Arial" w:hAnsi="Arial"/>
          <w:sz w:val="15"/>
          <w:szCs w:val="15"/>
          <w:color w:val="auto"/>
        </w:rPr>
        <w:t>As of June 30, 2012, we operated 287 stores in the United States, Canada, and Puerto Rico, 58 stores in the United Kingdom and Ireland, and had 84 franchised stores operating internationally under the Build-A-Bear Workshop brand. In addition to our stores, we market our products and build our brand through our websites, which simulate our interactive shopping experience, as well as non-traditional store locations in three Major League Baseball</w:t>
      </w:r>
      <w:r>
        <w:rPr>
          <w:rFonts w:ascii="Arial" w:cs="Arial" w:eastAsia="Arial" w:hAnsi="Arial"/>
          <w:sz w:val="21"/>
          <w:szCs w:val="21"/>
          <w:color w:val="auto"/>
          <w:vertAlign w:val="superscript"/>
        </w:rPr>
        <w:t>®</w:t>
      </w:r>
      <w:r>
        <w:rPr>
          <w:rFonts w:ascii="Arial" w:cs="Arial" w:eastAsia="Arial" w:hAnsi="Arial"/>
          <w:sz w:val="15"/>
          <w:szCs w:val="15"/>
          <w:color w:val="auto"/>
        </w:rPr>
        <w:t xml:space="preserve"> parks, one zoo, one science center, an airport and a hospital. Temporary stores and seasonal locations, such as ballparks and zoos, are excluded from our store count.</w:t>
      </w:r>
    </w:p>
    <w:p>
      <w:pPr>
        <w:spacing w:after="0" w:line="218" w:lineRule="exact"/>
        <w:rPr>
          <w:sz w:val="20"/>
          <w:szCs w:val="20"/>
          <w:color w:val="auto"/>
        </w:rPr>
      </w:pPr>
    </w:p>
    <w:p>
      <w:pPr>
        <w:ind w:right="340" w:firstLine="408"/>
        <w:spacing w:after="0" w:line="277" w:lineRule="auto"/>
        <w:rPr>
          <w:sz w:val="20"/>
          <w:szCs w:val="20"/>
          <w:color w:val="auto"/>
        </w:rPr>
      </w:pPr>
      <w:r>
        <w:rPr>
          <w:rFonts w:ascii="Arial" w:cs="Arial" w:eastAsia="Arial" w:hAnsi="Arial"/>
          <w:sz w:val="15"/>
          <w:szCs w:val="15"/>
          <w:color w:val="auto"/>
        </w:rPr>
        <w:t>We operate in three reportable segments (retail, commercial and international franchising) that share the same infrastructure, including management, systems, merchandising and marketing, and generate revenues as follows:</w:t>
      </w:r>
    </w:p>
    <w:p>
      <w:pPr>
        <w:spacing w:after="0" w:line="191" w:lineRule="exact"/>
        <w:rPr>
          <w:sz w:val="20"/>
          <w:szCs w:val="20"/>
          <w:color w:val="auto"/>
        </w:rPr>
      </w:pPr>
    </w:p>
    <w:p>
      <w:pPr>
        <w:ind w:left="800" w:right="80" w:hanging="401"/>
        <w:spacing w:after="0" w:line="277" w:lineRule="auto"/>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Company-owned retail stores located in the United States, Canada, Puerto Rico, the United Kingdom, and Ireland, all non-traditional store locations and e-commerce websites or “webstores”;</w:t>
      </w:r>
    </w:p>
    <w:p>
      <w:pPr>
        <w:spacing w:after="0" w:line="145" w:lineRule="exact"/>
        <w:rPr>
          <w:rFonts w:ascii="Arial" w:cs="Arial" w:eastAsia="Arial" w:hAnsi="Arial"/>
          <w:sz w:val="15"/>
          <w:szCs w:val="15"/>
          <w:color w:val="auto"/>
        </w:rPr>
      </w:pPr>
    </w:p>
    <w:p>
      <w:pPr>
        <w:ind w:left="800" w:right="20" w:hanging="401"/>
        <w:spacing w:after="0" w:line="277" w:lineRule="auto"/>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Transactions with other business partners, mainly comprised of licensing our intellectual property, including entertainment properties, for third-party use and wholesale product sales; and</w:t>
      </w:r>
    </w:p>
    <w:p>
      <w:pPr>
        <w:spacing w:after="0" w:line="191" w:lineRule="exact"/>
        <w:rPr>
          <w:rFonts w:ascii="Arial" w:cs="Arial" w:eastAsia="Arial" w:hAnsi="Arial"/>
          <w:sz w:val="15"/>
          <w:szCs w:val="15"/>
          <w:color w:val="auto"/>
        </w:rPr>
      </w:pPr>
    </w:p>
    <w:p>
      <w:pPr>
        <w:ind w:left="800" w:hanging="401"/>
        <w:spacing w:after="0"/>
        <w:tabs>
          <w:tab w:leader="none" w:pos="800" w:val="left"/>
        </w:tabs>
        <w:numPr>
          <w:ilvl w:val="0"/>
          <w:numId w:val="5"/>
        </w:numPr>
        <w:rPr>
          <w:rFonts w:ascii="Arial" w:cs="Arial" w:eastAsia="Arial" w:hAnsi="Arial"/>
          <w:sz w:val="15"/>
          <w:szCs w:val="15"/>
          <w:color w:val="auto"/>
        </w:rPr>
      </w:pPr>
      <w:r>
        <w:rPr>
          <w:rFonts w:ascii="Arial" w:cs="Arial" w:eastAsia="Arial" w:hAnsi="Arial"/>
          <w:sz w:val="15"/>
          <w:szCs w:val="15"/>
          <w:color w:val="auto"/>
        </w:rPr>
        <w:t>International stores operated under franchise agreements.</w:t>
      </w:r>
    </w:p>
    <w:p>
      <w:pPr>
        <w:spacing w:after="0" w:line="236" w:lineRule="exact"/>
        <w:rPr>
          <w:sz w:val="20"/>
          <w:szCs w:val="20"/>
          <w:color w:val="auto"/>
        </w:rPr>
      </w:pPr>
    </w:p>
    <w:p>
      <w:pPr>
        <w:ind w:right="780" w:firstLine="408"/>
        <w:spacing w:after="0" w:line="277" w:lineRule="auto"/>
        <w:rPr>
          <w:sz w:val="20"/>
          <w:szCs w:val="20"/>
          <w:color w:val="auto"/>
        </w:rPr>
      </w:pPr>
      <w:r>
        <w:rPr>
          <w:rFonts w:ascii="Arial" w:cs="Arial" w:eastAsia="Arial" w:hAnsi="Arial"/>
          <w:sz w:val="15"/>
          <w:szCs w:val="15"/>
          <w:color w:val="auto"/>
        </w:rPr>
        <w:t>Selected financial data attributable to each segment for the thirteen and twenty-six weeks ended June 30, 2012 and July 2, 2011 are set forth in the notes to our condensed consolidated financial statements included elsewhere in this quarterly report on Form 10-Q.</w:t>
      </w:r>
    </w:p>
    <w:p>
      <w:pPr>
        <w:spacing w:after="0" w:line="191" w:lineRule="exact"/>
        <w:rPr>
          <w:sz w:val="20"/>
          <w:szCs w:val="20"/>
          <w:color w:val="auto"/>
        </w:rPr>
      </w:pPr>
    </w:p>
    <w:p>
      <w:pPr>
        <w:ind w:right="40" w:firstLine="408"/>
        <w:spacing w:after="0" w:line="260" w:lineRule="auto"/>
        <w:rPr>
          <w:sz w:val="20"/>
          <w:szCs w:val="20"/>
          <w:color w:val="auto"/>
        </w:rPr>
      </w:pPr>
      <w:r>
        <w:rPr>
          <w:rFonts w:ascii="Arial" w:cs="Arial" w:eastAsia="Arial" w:hAnsi="Arial"/>
          <w:sz w:val="15"/>
          <w:szCs w:val="15"/>
          <w:color w:val="auto"/>
        </w:rPr>
        <w:t>We use comparable store sales as one of the performance measures for our business. Comparable store sales percentage changes are based on net retail sales, excluding our webstore and temporary, seasonal and event-based locations. Stores are considered comparable beginning in their thirteenth full month of operation. Stores with relocations or remodels that result in a significant change in square footage are excluded from the comparable stores sales calculation until the thirteenth full month of operation after the change. The percentage change in comparable store sales for the periods presented below is as follows:</w:t>
      </w: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199"/>
        </w:trPr>
        <w:tc>
          <w:tcPr>
            <w:tcW w:w="4660" w:type="dxa"/>
            <w:vAlign w:val="bottom"/>
          </w:tcPr>
          <w:p>
            <w:pPr>
              <w:spacing w:after="0"/>
              <w:rPr>
                <w:sz w:val="17"/>
                <w:szCs w:val="17"/>
                <w:color w:val="auto"/>
              </w:rPr>
            </w:pPr>
          </w:p>
        </w:tc>
        <w:tc>
          <w:tcPr>
            <w:tcW w:w="2280" w:type="dxa"/>
            <w:vAlign w:val="bottom"/>
            <w:gridSpan w:val="4"/>
          </w:tcPr>
          <w:p>
            <w:pPr>
              <w:jc w:val="right"/>
              <w:ind w:right="520"/>
              <w:spacing w:after="0"/>
              <w:rPr>
                <w:sz w:val="20"/>
                <w:szCs w:val="20"/>
                <w:color w:val="auto"/>
              </w:rPr>
            </w:pPr>
            <w:r>
              <w:rPr>
                <w:rFonts w:ascii="Arial" w:cs="Arial" w:eastAsia="Arial" w:hAnsi="Arial"/>
                <w:sz w:val="15"/>
                <w:szCs w:val="15"/>
                <w:b w:val="1"/>
                <w:bCs w:val="1"/>
                <w:color w:val="auto"/>
              </w:rPr>
              <w:t>Thirteen Weeks Ended</w:t>
            </w:r>
          </w:p>
        </w:tc>
        <w:tc>
          <w:tcPr>
            <w:tcW w:w="2220" w:type="dxa"/>
            <w:vAlign w:val="bottom"/>
            <w:gridSpan w:val="4"/>
          </w:tcPr>
          <w:p>
            <w:pPr>
              <w:jc w:val="right"/>
              <w:ind w:right="380"/>
              <w:spacing w:after="0"/>
              <w:rPr>
                <w:sz w:val="20"/>
                <w:szCs w:val="20"/>
                <w:color w:val="auto"/>
              </w:rPr>
            </w:pPr>
            <w:r>
              <w:rPr>
                <w:rFonts w:ascii="Arial" w:cs="Arial" w:eastAsia="Arial" w:hAnsi="Arial"/>
                <w:sz w:val="15"/>
                <w:szCs w:val="15"/>
                <w:b w:val="1"/>
                <w:bCs w:val="1"/>
                <w:color w:val="auto"/>
              </w:rPr>
              <w:t>Twenty-Six Weeks Ended</w:t>
            </w:r>
          </w:p>
        </w:tc>
      </w:tr>
      <w:tr>
        <w:trPr>
          <w:trHeight w:val="184"/>
        </w:trPr>
        <w:tc>
          <w:tcPr>
            <w:tcW w:w="4660" w:type="dxa"/>
            <w:vAlign w:val="bottom"/>
          </w:tcPr>
          <w:p>
            <w:pPr>
              <w:spacing w:after="0"/>
              <w:rPr>
                <w:sz w:val="16"/>
                <w:szCs w:val="16"/>
                <w:color w:val="auto"/>
              </w:rPr>
            </w:pPr>
          </w:p>
        </w:tc>
        <w:tc>
          <w:tcPr>
            <w:tcW w:w="11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5"/>
                <w:szCs w:val="15"/>
                <w:b w:val="1"/>
                <w:bCs w:val="1"/>
                <w:color w:val="auto"/>
                <w:w w:val="88"/>
              </w:rPr>
              <w:t>June 30, 2012</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94"/>
              </w:rPr>
              <w:t>July 2, 2011</w:t>
            </w:r>
          </w:p>
        </w:tc>
        <w:tc>
          <w:tcPr>
            <w:tcW w:w="240" w:type="dxa"/>
            <w:vAlign w:val="bottom"/>
          </w:tcPr>
          <w:p>
            <w:pPr>
              <w:spacing w:after="0"/>
              <w:rPr>
                <w:sz w:val="16"/>
                <w:szCs w:val="16"/>
                <w:color w:val="auto"/>
              </w:rPr>
            </w:pPr>
          </w:p>
        </w:tc>
        <w:tc>
          <w:tcPr>
            <w:tcW w:w="114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5"/>
                <w:szCs w:val="15"/>
                <w:b w:val="1"/>
                <w:bCs w:val="1"/>
                <w:color w:val="auto"/>
                <w:w w:val="88"/>
              </w:rPr>
              <w:t>June 30, 2012</w:t>
            </w:r>
          </w:p>
        </w:tc>
        <w:tc>
          <w:tcPr>
            <w:tcW w:w="900" w:type="dxa"/>
            <w:vAlign w:val="bottom"/>
            <w:tcBorders>
              <w:top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94"/>
              </w:rPr>
              <w:t>July 2, 2011</w:t>
            </w:r>
          </w:p>
        </w:tc>
        <w:tc>
          <w:tcPr>
            <w:tcW w:w="180" w:type="dxa"/>
            <w:vAlign w:val="bottom"/>
          </w:tcPr>
          <w:p>
            <w:pPr>
              <w:spacing w:after="0"/>
              <w:rPr>
                <w:sz w:val="16"/>
                <w:szCs w:val="16"/>
                <w:color w:val="auto"/>
              </w:rPr>
            </w:pPr>
          </w:p>
        </w:tc>
      </w:tr>
      <w:tr>
        <w:trPr>
          <w:trHeight w:val="181"/>
        </w:trPr>
        <w:tc>
          <w:tcPr>
            <w:tcW w:w="46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1"/>
        </w:trPr>
        <w:tc>
          <w:tcPr>
            <w:tcW w:w="4660" w:type="dxa"/>
            <w:vAlign w:val="bottom"/>
            <w:shd w:val="clear" w:color="auto" w:fill="C0FFFF"/>
          </w:tcPr>
          <w:p>
            <w:pPr>
              <w:spacing w:after="0"/>
              <w:rPr>
                <w:sz w:val="20"/>
                <w:szCs w:val="20"/>
                <w:color w:val="auto"/>
              </w:rPr>
            </w:pPr>
            <w:r>
              <w:rPr>
                <w:rFonts w:ascii="Arial" w:cs="Arial" w:eastAsia="Arial" w:hAnsi="Arial"/>
                <w:sz w:val="15"/>
                <w:szCs w:val="15"/>
                <w:color w:val="auto"/>
              </w:rPr>
              <w:t>North America</w:t>
            </w: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(1.8)%</w:t>
            </w:r>
          </w:p>
        </w:tc>
        <w:tc>
          <w:tcPr>
            <w:tcW w:w="112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8.3%</w:t>
            </w:r>
          </w:p>
        </w:tc>
        <w:tc>
          <w:tcPr>
            <w:tcW w:w="114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1.1%</w:t>
            </w:r>
          </w:p>
        </w:tc>
        <w:tc>
          <w:tcPr>
            <w:tcW w:w="1080" w:type="dxa"/>
            <w:vAlign w:val="bottom"/>
            <w:gridSpan w:val="2"/>
            <w:shd w:val="clear" w:color="auto" w:fill="C0FFFF"/>
          </w:tcPr>
          <w:p>
            <w:pPr>
              <w:jc w:val="right"/>
              <w:ind w:right="20"/>
              <w:spacing w:after="0"/>
              <w:rPr>
                <w:sz w:val="20"/>
                <w:szCs w:val="20"/>
                <w:color w:val="auto"/>
              </w:rPr>
            </w:pPr>
            <w:r>
              <w:rPr>
                <w:rFonts w:ascii="Arial" w:cs="Arial" w:eastAsia="Arial" w:hAnsi="Arial"/>
                <w:sz w:val="15"/>
                <w:szCs w:val="15"/>
                <w:color w:val="auto"/>
              </w:rPr>
              <w:t>(2.0)%</w:t>
            </w:r>
          </w:p>
        </w:tc>
      </w:tr>
      <w:tr>
        <w:trPr>
          <w:trHeight w:val="181"/>
        </w:trPr>
        <w:tc>
          <w:tcPr>
            <w:tcW w:w="4660" w:type="dxa"/>
            <w:vAlign w:val="bottom"/>
          </w:tcPr>
          <w:p>
            <w:pPr>
              <w:spacing w:after="0"/>
              <w:rPr>
                <w:sz w:val="20"/>
                <w:szCs w:val="20"/>
                <w:color w:val="auto"/>
              </w:rPr>
            </w:pPr>
            <w:r>
              <w:rPr>
                <w:rFonts w:ascii="Arial" w:cs="Arial" w:eastAsia="Arial" w:hAnsi="Arial"/>
                <w:sz w:val="15"/>
                <w:szCs w:val="15"/>
                <w:color w:val="auto"/>
              </w:rPr>
              <w:t>Europe</w:t>
            </w:r>
          </w:p>
        </w:tc>
        <w:tc>
          <w:tcPr>
            <w:tcW w:w="1160" w:type="dxa"/>
            <w:vAlign w:val="bottom"/>
            <w:gridSpan w:val="2"/>
          </w:tcPr>
          <w:p>
            <w:pPr>
              <w:jc w:val="right"/>
              <w:ind w:right="100"/>
              <w:spacing w:after="0"/>
              <w:rPr>
                <w:sz w:val="20"/>
                <w:szCs w:val="20"/>
                <w:color w:val="auto"/>
              </w:rPr>
            </w:pPr>
            <w:r>
              <w:rPr>
                <w:rFonts w:ascii="Arial" w:cs="Arial" w:eastAsia="Arial" w:hAnsi="Arial"/>
                <w:sz w:val="15"/>
                <w:szCs w:val="15"/>
                <w:color w:val="auto"/>
              </w:rPr>
              <w:t>(1.3)%</w:t>
            </w: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1.3%</w:t>
            </w:r>
          </w:p>
        </w:tc>
        <w:tc>
          <w:tcPr>
            <w:tcW w:w="1140" w:type="dxa"/>
            <w:vAlign w:val="bottom"/>
            <w:gridSpan w:val="2"/>
          </w:tcPr>
          <w:p>
            <w:pPr>
              <w:jc w:val="right"/>
              <w:ind w:right="80"/>
              <w:spacing w:after="0"/>
              <w:rPr>
                <w:sz w:val="20"/>
                <w:szCs w:val="20"/>
                <w:color w:val="auto"/>
              </w:rPr>
            </w:pPr>
            <w:r>
              <w:rPr>
                <w:rFonts w:ascii="Arial" w:cs="Arial" w:eastAsia="Arial" w:hAnsi="Arial"/>
                <w:sz w:val="15"/>
                <w:szCs w:val="15"/>
                <w:color w:val="auto"/>
              </w:rPr>
              <w:t>(6.0)%</w:t>
            </w:r>
          </w:p>
        </w:tc>
        <w:tc>
          <w:tcPr>
            <w:tcW w:w="1080" w:type="dxa"/>
            <w:vAlign w:val="bottom"/>
            <w:gridSpan w:val="2"/>
          </w:tcPr>
          <w:p>
            <w:pPr>
              <w:jc w:val="right"/>
              <w:ind w:right="20"/>
              <w:spacing w:after="0"/>
              <w:rPr>
                <w:sz w:val="20"/>
                <w:szCs w:val="20"/>
                <w:color w:val="auto"/>
              </w:rPr>
            </w:pPr>
            <w:r>
              <w:rPr>
                <w:rFonts w:ascii="Arial" w:cs="Arial" w:eastAsia="Arial" w:hAnsi="Arial"/>
                <w:sz w:val="15"/>
                <w:szCs w:val="15"/>
                <w:color w:val="auto"/>
              </w:rPr>
              <w:t>(1.7)%</w:t>
            </w:r>
          </w:p>
        </w:tc>
      </w:tr>
      <w:tr>
        <w:trPr>
          <w:trHeight w:val="23"/>
        </w:trPr>
        <w:tc>
          <w:tcPr>
            <w:tcW w:w="4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1"/>
        </w:trPr>
        <w:tc>
          <w:tcPr>
            <w:tcW w:w="4660" w:type="dxa"/>
            <w:vAlign w:val="bottom"/>
            <w:shd w:val="clear" w:color="auto" w:fill="C0FFFF"/>
          </w:tcPr>
          <w:p>
            <w:pPr>
              <w:spacing w:after="0"/>
              <w:rPr>
                <w:sz w:val="20"/>
                <w:szCs w:val="20"/>
                <w:color w:val="auto"/>
              </w:rPr>
            </w:pPr>
            <w:r>
              <w:rPr>
                <w:rFonts w:ascii="Arial" w:cs="Arial" w:eastAsia="Arial" w:hAnsi="Arial"/>
                <w:sz w:val="15"/>
                <w:szCs w:val="15"/>
                <w:color w:val="auto"/>
              </w:rPr>
              <w:t>Consolidated</w:t>
            </w:r>
          </w:p>
        </w:tc>
        <w:tc>
          <w:tcPr>
            <w:tcW w:w="116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(1.7)%</w:t>
            </w:r>
          </w:p>
        </w:tc>
        <w:tc>
          <w:tcPr>
            <w:tcW w:w="112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7.1%</w:t>
            </w:r>
          </w:p>
        </w:tc>
        <w:tc>
          <w:tcPr>
            <w:tcW w:w="1140" w:type="dxa"/>
            <w:vAlign w:val="bottom"/>
            <w:gridSpan w:val="2"/>
            <w:shd w:val="clear" w:color="auto" w:fill="C0FFFF"/>
          </w:tcPr>
          <w:p>
            <w:pPr>
              <w:jc w:val="right"/>
              <w:ind w:right="80"/>
              <w:spacing w:after="0"/>
              <w:rPr>
                <w:sz w:val="20"/>
                <w:szCs w:val="20"/>
                <w:color w:val="auto"/>
              </w:rPr>
            </w:pPr>
            <w:r>
              <w:rPr>
                <w:rFonts w:ascii="Arial" w:cs="Arial" w:eastAsia="Arial" w:hAnsi="Arial"/>
                <w:sz w:val="15"/>
                <w:szCs w:val="15"/>
                <w:color w:val="auto"/>
              </w:rPr>
              <w:t>(0.1)%</w:t>
            </w:r>
          </w:p>
        </w:tc>
        <w:tc>
          <w:tcPr>
            <w:tcW w:w="1080" w:type="dxa"/>
            <w:vAlign w:val="bottom"/>
            <w:gridSpan w:val="2"/>
            <w:shd w:val="clear" w:color="auto" w:fill="C0FFFF"/>
          </w:tcPr>
          <w:p>
            <w:pPr>
              <w:jc w:val="right"/>
              <w:ind w:right="20"/>
              <w:spacing w:after="0"/>
              <w:rPr>
                <w:sz w:val="20"/>
                <w:szCs w:val="20"/>
                <w:color w:val="auto"/>
              </w:rPr>
            </w:pPr>
            <w:r>
              <w:rPr>
                <w:rFonts w:ascii="Arial" w:cs="Arial" w:eastAsia="Arial" w:hAnsi="Arial"/>
                <w:sz w:val="15"/>
                <w:szCs w:val="15"/>
                <w:color w:val="auto"/>
              </w:rPr>
              <w:t>(2.0)%</w:t>
            </w:r>
          </w:p>
        </w:tc>
      </w:tr>
      <w:tr>
        <w:trPr>
          <w:trHeight w:val="20"/>
        </w:trPr>
        <w:tc>
          <w:tcPr>
            <w:tcW w:w="4660" w:type="dxa"/>
            <w:vAlign w:val="bottom"/>
            <w:tcBorders>
              <w:top w:val="single" w:sz="8" w:color="C0FFFF"/>
            </w:tcBorders>
            <w:shd w:val="clear" w:color="auto" w:fill="C0FF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0FFFF"/>
            </w:tcBorders>
            <w:shd w:val="clear" w:color="auto" w:fill="C0FF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0FFFF"/>
            </w:tcBorders>
            <w:shd w:val="clear" w:color="auto" w:fill="C0FFFF"/>
          </w:tcPr>
          <w:p>
            <w:pPr>
              <w:spacing w:after="0" w:line="20" w:lineRule="exact"/>
              <w:rPr>
                <w:sz w:val="1"/>
                <w:szCs w:val="1"/>
                <w:color w:val="auto"/>
              </w:rPr>
            </w:pPr>
          </w:p>
        </w:tc>
      </w:tr>
    </w:tbl>
    <w:p>
      <w:pPr>
        <w:spacing w:after="0" w:line="21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believe the changes in comparable store sales for the periods presented are primarily attributable to the following factors:</w:t>
      </w:r>
    </w:p>
    <w:p>
      <w:pPr>
        <w:spacing w:after="0" w:line="236" w:lineRule="exact"/>
        <w:rPr>
          <w:sz w:val="20"/>
          <w:szCs w:val="20"/>
          <w:color w:val="auto"/>
        </w:rPr>
      </w:pPr>
    </w:p>
    <w:p>
      <w:pPr>
        <w:ind w:left="800" w:hanging="401"/>
        <w:spacing w:after="0"/>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 North America, we believe that an earlier Easter and the corresponding shift in school breaks had a negative impact on the 2012 second quarter;</w:t>
      </w:r>
    </w:p>
    <w:p>
      <w:pPr>
        <w:spacing w:after="0" w:line="235" w:lineRule="exact"/>
        <w:rPr>
          <w:rFonts w:ascii="Arial" w:cs="Arial" w:eastAsia="Arial" w:hAnsi="Arial"/>
          <w:sz w:val="15"/>
          <w:szCs w:val="15"/>
          <w:color w:val="auto"/>
        </w:rPr>
      </w:pPr>
    </w:p>
    <w:p>
      <w:pPr>
        <w:ind w:left="800" w:right="140" w:hanging="401"/>
        <w:spacing w:after="0" w:line="277" w:lineRule="auto"/>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 the first twenty-six weeks of fiscal 2012, we increased average transaction value through higher redemption rates of our holiday gift cards and through a promotion in the United States with McDonald’s Happy Meals® in North America that drove awareness of our brand and brought traffic to our stores; and</w:t>
      </w:r>
    </w:p>
    <w:p>
      <w:pPr>
        <w:spacing w:after="0" w:line="191" w:lineRule="exact"/>
        <w:rPr>
          <w:rFonts w:ascii="Arial" w:cs="Arial" w:eastAsia="Arial" w:hAnsi="Arial"/>
          <w:sz w:val="15"/>
          <w:szCs w:val="15"/>
          <w:color w:val="auto"/>
        </w:rPr>
      </w:pPr>
    </w:p>
    <w:p>
      <w:pPr>
        <w:ind w:left="800" w:right="200" w:hanging="401"/>
        <w:spacing w:after="0" w:line="277" w:lineRule="auto"/>
        <w:tabs>
          <w:tab w:leader="none" w:pos="800" w:val="left"/>
        </w:tabs>
        <w:numPr>
          <w:ilvl w:val="0"/>
          <w:numId w:val="6"/>
        </w:numPr>
        <w:rPr>
          <w:rFonts w:ascii="Arial" w:cs="Arial" w:eastAsia="Arial" w:hAnsi="Arial"/>
          <w:sz w:val="15"/>
          <w:szCs w:val="15"/>
          <w:color w:val="auto"/>
        </w:rPr>
      </w:pPr>
      <w:r>
        <w:rPr>
          <w:rFonts w:ascii="Arial" w:cs="Arial" w:eastAsia="Arial" w:hAnsi="Arial"/>
          <w:sz w:val="15"/>
          <w:szCs w:val="15"/>
          <w:color w:val="auto"/>
        </w:rPr>
        <w:t>In the United Kingdom, we believe the negative economic conditions contributed to a continued decline in consumer sentiment and a corresponding decline in spending that negatively impacted our comparable store sales.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480" w:right="219" w:bottom="1440" w:gutter="0" w:footer="0" w:header="0"/>
        </w:sectPr>
      </w:pPr>
    </w:p>
    <w:bookmarkStart w:id="11" w:name="page12"/>
    <w:bookmarkEnd w:id="11"/>
    <w:p>
      <w:pPr>
        <w:ind w:left="60"/>
        <w:spacing w:after="0"/>
        <w:rPr>
          <w:sz w:val="20"/>
          <w:szCs w:val="20"/>
          <w:color w:val="auto"/>
        </w:rPr>
      </w:pPr>
      <w:r>
        <w:rPr>
          <w:rFonts w:ascii="Arial" w:cs="Arial" w:eastAsia="Arial" w:hAnsi="Arial"/>
          <w:sz w:val="15"/>
          <w:szCs w:val="15"/>
          <w:color w:val="auto"/>
        </w:rPr>
        <w:t>The Company is working improve comparable store sales with the following key initiatives:</w:t>
      </w:r>
    </w:p>
    <w:p>
      <w:pPr>
        <w:spacing w:after="0" w:line="190" w:lineRule="exact"/>
        <w:rPr>
          <w:sz w:val="20"/>
          <w:szCs w:val="20"/>
          <w:color w:val="auto"/>
        </w:rPr>
      </w:pPr>
    </w:p>
    <w:p>
      <w:pPr>
        <w:ind w:left="800" w:right="340" w:hanging="401"/>
        <w:spacing w:after="0" w:line="324" w:lineRule="auto"/>
        <w:tabs>
          <w:tab w:leader="none" w:pos="800" w:val="left"/>
        </w:tabs>
        <w:numPr>
          <w:ilvl w:val="0"/>
          <w:numId w:val="7"/>
        </w:numPr>
        <w:rPr>
          <w:rFonts w:ascii="Arial" w:cs="Arial" w:eastAsia="Arial" w:hAnsi="Arial"/>
          <w:sz w:val="13"/>
          <w:szCs w:val="13"/>
          <w:color w:val="auto"/>
        </w:rPr>
      </w:pPr>
      <w:r>
        <w:rPr>
          <w:rFonts w:ascii="Arial" w:cs="Arial" w:eastAsia="Arial" w:hAnsi="Arial"/>
          <w:sz w:val="13"/>
          <w:szCs w:val="13"/>
          <w:color w:val="auto"/>
        </w:rPr>
        <w:t>We are aggressively working to increase store traffic and the destination appeal of our stores by enhancing our experience with a new store design and we are working to increase productivity and profitability of our existing stores through strategic closures, primarily in multi-store markets where we expect to transfer a portion of the closed stores sales to remaining stores in the market, and relocation of select other stores with a reduction in square footage thereby increasing their performance;</w:t>
      </w:r>
    </w:p>
    <w:p>
      <w:pPr>
        <w:spacing w:after="0" w:line="165" w:lineRule="exact"/>
        <w:rPr>
          <w:rFonts w:ascii="Arial" w:cs="Arial" w:eastAsia="Arial" w:hAnsi="Arial"/>
          <w:sz w:val="13"/>
          <w:szCs w:val="13"/>
          <w:color w:val="auto"/>
        </w:rPr>
      </w:pPr>
    </w:p>
    <w:p>
      <w:pPr>
        <w:ind w:left="800" w:right="480" w:hanging="401"/>
        <w:spacing w:after="0" w:line="277" w:lineRule="auto"/>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intend to increase shopping frequency by increasing new guest traffic to our stores by rebalancing our marketing message to include both product and brand, and by refreshing our loyalty program to increase retention; and</w:t>
      </w:r>
    </w:p>
    <w:p>
      <w:pPr>
        <w:spacing w:after="0" w:line="168" w:lineRule="exact"/>
        <w:rPr>
          <w:rFonts w:ascii="Arial" w:cs="Arial" w:eastAsia="Arial" w:hAnsi="Arial"/>
          <w:sz w:val="15"/>
          <w:szCs w:val="15"/>
          <w:color w:val="auto"/>
        </w:rPr>
      </w:pPr>
    </w:p>
    <w:p>
      <w:pPr>
        <w:ind w:left="800" w:hanging="401"/>
        <w:spacing w:after="0"/>
        <w:tabs>
          <w:tab w:leader="none" w:pos="80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are reinforcing Build-A-Bear Workshop as a top destination for gifts, including the gift of experience with our gift cards.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Company-owned:</w:t>
      </w:r>
    </w:p>
    <w:p>
      <w:pPr>
        <w:spacing w:after="0" w:line="190" w:lineRule="exact"/>
        <w:rPr>
          <w:sz w:val="20"/>
          <w:szCs w:val="20"/>
          <w:color w:val="auto"/>
        </w:rPr>
      </w:pPr>
    </w:p>
    <w:p>
      <w:pPr>
        <w:ind w:right="360" w:firstLine="408"/>
        <w:spacing w:after="0" w:line="264" w:lineRule="auto"/>
        <w:rPr>
          <w:sz w:val="20"/>
          <w:szCs w:val="20"/>
          <w:color w:val="auto"/>
        </w:rPr>
      </w:pPr>
      <w:r>
        <w:rPr>
          <w:rFonts w:ascii="Arial" w:cs="Arial" w:eastAsia="Arial" w:hAnsi="Arial"/>
          <w:sz w:val="15"/>
          <w:szCs w:val="15"/>
          <w:color w:val="auto"/>
        </w:rPr>
        <w:t>As of June 30, 2012, we operated 285 traditional stores and 11 non-traditional stores (such as ballparks, zoo, airport, hospital and temporary stores) in United States, Canada and Puerto Rico (collectively, North America) and 58 traditional stores in the United Kingdom and Ireland (collectively, Europe). The table below sets forth the number of Build-A-Bear Workshop company-owned stores for the periods presented: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5"/>
                <w:szCs w:val="15"/>
                <w:b w:val="1"/>
                <w:bCs w:val="1"/>
                <w:color w:val="auto"/>
              </w:rPr>
              <w:t>2012</w:t>
            </w:r>
          </w:p>
        </w:tc>
        <w:tc>
          <w:tcPr>
            <w:tcW w:w="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460" w:type="dxa"/>
            <w:vAlign w:val="bottom"/>
            <w:tcBorders>
              <w:bottom w:val="single" w:sz="8" w:color="auto"/>
            </w:tcBorders>
            <w:gridSpan w:val="6"/>
          </w:tcPr>
          <w:p>
            <w:pPr>
              <w:jc w:val="right"/>
              <w:spacing w:after="0"/>
              <w:rPr>
                <w:sz w:val="20"/>
                <w:szCs w:val="20"/>
                <w:color w:val="auto"/>
              </w:rPr>
            </w:pPr>
            <w:r>
              <w:rPr>
                <w:rFonts w:ascii="Arial" w:cs="Arial" w:eastAsia="Arial" w:hAnsi="Arial"/>
                <w:sz w:val="15"/>
                <w:szCs w:val="15"/>
                <w:b w:val="1"/>
                <w:bCs w:val="1"/>
                <w:color w:val="auto"/>
              </w:rPr>
              <w:t>Twenty-Six Weeks Ended June 30, 2012</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7"/>
          </w:tcPr>
          <w:p>
            <w:pPr>
              <w:jc w:val="center"/>
              <w:spacing w:after="0"/>
              <w:rPr>
                <w:sz w:val="20"/>
                <w:szCs w:val="20"/>
                <w:color w:val="auto"/>
              </w:rPr>
            </w:pPr>
            <w:r>
              <w:rPr>
                <w:rFonts w:ascii="Arial" w:cs="Arial" w:eastAsia="Arial" w:hAnsi="Arial"/>
                <w:sz w:val="15"/>
                <w:szCs w:val="15"/>
                <w:b w:val="1"/>
                <w:bCs w:val="1"/>
                <w:color w:val="auto"/>
                <w:w w:val="90"/>
              </w:rPr>
              <w:t>Fifty-two Weeks ended December 29, 2012 - Projected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0"/>
              </w:rPr>
              <w:t>December 31,</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center"/>
              <w:ind w:right="220"/>
              <w:spacing w:after="0" w:line="167" w:lineRule="exact"/>
              <w:rPr>
                <w:sz w:val="20"/>
                <w:szCs w:val="20"/>
                <w:color w:val="auto"/>
              </w:rPr>
            </w:pPr>
            <w:r>
              <w:rPr>
                <w:rFonts w:ascii="Arial" w:cs="Arial" w:eastAsia="Arial" w:hAnsi="Arial"/>
                <w:sz w:val="15"/>
                <w:szCs w:val="15"/>
                <w:b w:val="1"/>
                <w:bCs w:val="1"/>
                <w:color w:val="auto"/>
                <w:w w:val="90"/>
              </w:rPr>
              <w:t>December 31,</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0"/>
              </w:rPr>
              <w:t>December 29,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83"/>
              </w:rPr>
              <w:t>2011</w:t>
            </w:r>
          </w:p>
        </w:tc>
        <w:tc>
          <w:tcPr>
            <w:tcW w:w="2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Opened</w:t>
            </w:r>
          </w:p>
        </w:tc>
        <w:tc>
          <w:tcPr>
            <w:tcW w:w="11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Closed</w:t>
            </w:r>
          </w:p>
        </w:tc>
        <w:tc>
          <w:tcPr>
            <w:tcW w:w="1220" w:type="dxa"/>
            <w:vAlign w:val="bottom"/>
            <w:gridSpan w:val="3"/>
          </w:tcPr>
          <w:p>
            <w:pPr>
              <w:jc w:val="center"/>
              <w:ind w:right="224"/>
              <w:spacing w:after="0"/>
              <w:rPr>
                <w:sz w:val="20"/>
                <w:szCs w:val="20"/>
                <w:color w:val="auto"/>
              </w:rPr>
            </w:pPr>
            <w:r>
              <w:rPr>
                <w:rFonts w:ascii="Arial" w:cs="Arial" w:eastAsia="Arial" w:hAnsi="Arial"/>
                <w:sz w:val="15"/>
                <w:szCs w:val="15"/>
                <w:b w:val="1"/>
                <w:bCs w:val="1"/>
                <w:color w:val="auto"/>
                <w:w w:val="90"/>
              </w:rPr>
              <w:t>June 30, 2012</w:t>
            </w:r>
          </w:p>
        </w:tc>
        <w:tc>
          <w:tcPr>
            <w:tcW w:w="820" w:type="dxa"/>
            <w:vAlign w:val="bottom"/>
          </w:tcPr>
          <w:p>
            <w:pPr>
              <w:jc w:val="center"/>
              <w:ind w:right="4"/>
              <w:spacing w:after="0"/>
              <w:rPr>
                <w:sz w:val="20"/>
                <w:szCs w:val="20"/>
                <w:color w:val="auto"/>
              </w:rPr>
            </w:pPr>
            <w:r>
              <w:rPr>
                <w:rFonts w:ascii="Arial" w:cs="Arial" w:eastAsia="Arial" w:hAnsi="Arial"/>
                <w:sz w:val="15"/>
                <w:szCs w:val="15"/>
                <w:b w:val="1"/>
                <w:bCs w:val="1"/>
                <w:color w:val="auto"/>
                <w:w w:val="89"/>
              </w:rPr>
              <w:t>2011</w:t>
            </w:r>
          </w:p>
        </w:tc>
        <w:tc>
          <w:tcPr>
            <w:tcW w:w="24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Arial" w:cs="Arial" w:eastAsia="Arial" w:hAnsi="Arial"/>
                <w:sz w:val="15"/>
                <w:szCs w:val="15"/>
                <w:b w:val="1"/>
                <w:bCs w:val="1"/>
                <w:color w:val="auto"/>
              </w:rPr>
              <w:t>Opened</w:t>
            </w:r>
          </w:p>
        </w:tc>
        <w:tc>
          <w:tcPr>
            <w:tcW w:w="11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Closed</w:t>
            </w: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w w:val="89"/>
              </w:rPr>
              <w:t>2012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shd w:val="clear" w:color="auto" w:fill="C0FFFF"/>
          </w:tcPr>
          <w:p>
            <w:pPr>
              <w:spacing w:after="0"/>
              <w:rPr>
                <w:sz w:val="20"/>
                <w:szCs w:val="20"/>
                <w:color w:val="auto"/>
              </w:rPr>
            </w:pPr>
            <w:r>
              <w:rPr>
                <w:rFonts w:ascii="Arial" w:cs="Arial" w:eastAsia="Arial" w:hAnsi="Arial"/>
                <w:sz w:val="15"/>
                <w:szCs w:val="15"/>
                <w:color w:val="auto"/>
              </w:rPr>
              <w:t>North America</w:t>
            </w:r>
          </w:p>
        </w:tc>
        <w:tc>
          <w:tcPr>
            <w:tcW w:w="920" w:type="dxa"/>
            <w:vAlign w:val="bottom"/>
            <w:tcBorders>
              <w:top w:val="single" w:sz="8" w:color="auto"/>
            </w:tcBorders>
            <w:shd w:val="clear" w:color="auto" w:fill="C0FFFF"/>
          </w:tcPr>
          <w:p>
            <w:pPr>
              <w:spacing w:after="0"/>
              <w:rPr>
                <w:sz w:val="15"/>
                <w:szCs w:val="15"/>
                <w:color w:val="auto"/>
              </w:rPr>
            </w:pPr>
          </w:p>
        </w:tc>
        <w:tc>
          <w:tcPr>
            <w:tcW w:w="260" w:type="dxa"/>
            <w:vAlign w:val="bottom"/>
            <w:tcBorders>
              <w:left w:val="single" w:sz="8" w:color="C0FFFF"/>
            </w:tcBorders>
            <w:shd w:val="clear" w:color="auto" w:fill="C0FFFF"/>
          </w:tcPr>
          <w:p>
            <w:pPr>
              <w:spacing w:after="0"/>
              <w:rPr>
                <w:sz w:val="15"/>
                <w:szCs w:val="15"/>
                <w:color w:val="auto"/>
              </w:rPr>
            </w:pPr>
          </w:p>
        </w:tc>
        <w:tc>
          <w:tcPr>
            <w:tcW w:w="920" w:type="dxa"/>
            <w:vAlign w:val="bottom"/>
            <w:tcBorders>
              <w:top w:val="single" w:sz="8" w:color="auto"/>
            </w:tcBorders>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900" w:type="dxa"/>
            <w:vAlign w:val="bottom"/>
            <w:tcBorders>
              <w:top w:val="single" w:sz="8" w:color="auto"/>
            </w:tcBorders>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20" w:type="dxa"/>
            <w:vAlign w:val="bottom"/>
            <w:tcBorders>
              <w:top w:val="single" w:sz="8" w:color="auto"/>
            </w:tcBorders>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80" w:type="dxa"/>
            <w:vAlign w:val="bottom"/>
            <w:tcBorders>
              <w:top w:val="single" w:sz="8" w:color="auto"/>
            </w:tcBorders>
            <w:shd w:val="clear" w:color="auto" w:fill="C0FFFF"/>
          </w:tcPr>
          <w:p>
            <w:pPr>
              <w:spacing w:after="0"/>
              <w:rPr>
                <w:sz w:val="15"/>
                <w:szCs w:val="15"/>
                <w:color w:val="auto"/>
              </w:rPr>
            </w:pPr>
          </w:p>
        </w:tc>
        <w:tc>
          <w:tcPr>
            <w:tcW w:w="820" w:type="dxa"/>
            <w:vAlign w:val="bottom"/>
            <w:tcBorders>
              <w:top w:val="single" w:sz="8" w:color="auto"/>
            </w:tcBorders>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900" w:type="dxa"/>
            <w:vAlign w:val="bottom"/>
            <w:tcBorders>
              <w:top w:val="single" w:sz="8" w:color="auto"/>
            </w:tcBorders>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20" w:type="dxa"/>
            <w:vAlign w:val="bottom"/>
            <w:tcBorders>
              <w:top w:val="single" w:sz="8" w:color="auto"/>
            </w:tcBorders>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00" w:type="dxa"/>
            <w:vAlign w:val="bottom"/>
            <w:tcBorders>
              <w:top w:val="single" w:sz="8" w:color="auto"/>
            </w:tcBorders>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tcPr>
          <w:p>
            <w:pPr>
              <w:ind w:left="100"/>
              <w:spacing w:after="0"/>
              <w:rPr>
                <w:sz w:val="20"/>
                <w:szCs w:val="20"/>
                <w:color w:val="auto"/>
              </w:rPr>
            </w:pPr>
            <w:r>
              <w:rPr>
                <w:rFonts w:ascii="Arial" w:cs="Arial" w:eastAsia="Arial" w:hAnsi="Arial"/>
                <w:sz w:val="15"/>
                <w:szCs w:val="15"/>
                <w:color w:val="auto"/>
              </w:rPr>
              <w:t>Traditional</w:t>
            </w:r>
          </w:p>
        </w:tc>
        <w:tc>
          <w:tcPr>
            <w:tcW w:w="920" w:type="dxa"/>
            <w:vAlign w:val="bottom"/>
          </w:tcPr>
          <w:p>
            <w:pPr>
              <w:jc w:val="right"/>
              <w:spacing w:after="0"/>
              <w:rPr>
                <w:sz w:val="20"/>
                <w:szCs w:val="20"/>
                <w:color w:val="auto"/>
              </w:rPr>
            </w:pPr>
            <w:r>
              <w:rPr>
                <w:rFonts w:ascii="Arial" w:cs="Arial" w:eastAsia="Arial" w:hAnsi="Arial"/>
                <w:sz w:val="15"/>
                <w:szCs w:val="15"/>
                <w:color w:val="auto"/>
              </w:rPr>
              <w:t>287</w:t>
            </w:r>
          </w:p>
        </w:tc>
        <w:tc>
          <w:tcPr>
            <w:tcW w:w="1420" w:type="dxa"/>
            <w:vAlign w:val="bottom"/>
            <w:gridSpan w:val="3"/>
          </w:tcPr>
          <w:p>
            <w:pPr>
              <w:jc w:val="right"/>
              <w:ind w:right="240"/>
              <w:spacing w:after="0"/>
              <w:rPr>
                <w:sz w:val="20"/>
                <w:szCs w:val="20"/>
                <w:color w:val="auto"/>
              </w:rPr>
            </w:pPr>
            <w:r>
              <w:rPr>
                <w:rFonts w:ascii="Arial" w:cs="Arial" w:eastAsia="Arial" w:hAnsi="Arial"/>
                <w:sz w:val="15"/>
                <w:szCs w:val="15"/>
                <w:color w:val="auto"/>
              </w:rPr>
              <w:t>1</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285</w:t>
            </w:r>
          </w:p>
        </w:tc>
        <w:tc>
          <w:tcPr>
            <w:tcW w:w="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287</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(6)</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283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shd w:val="clear" w:color="auto" w:fill="C0FFFF"/>
          </w:tcPr>
          <w:p>
            <w:pPr>
              <w:ind w:left="100"/>
              <w:spacing w:after="0"/>
              <w:rPr>
                <w:sz w:val="20"/>
                <w:szCs w:val="20"/>
                <w:color w:val="auto"/>
              </w:rPr>
            </w:pPr>
            <w:r>
              <w:rPr>
                <w:rFonts w:ascii="Arial" w:cs="Arial" w:eastAsia="Arial" w:hAnsi="Arial"/>
                <w:sz w:val="15"/>
                <w:szCs w:val="15"/>
                <w:color w:val="auto"/>
              </w:rPr>
              <w:t>Non-traditional</w:t>
            </w:r>
          </w:p>
        </w:tc>
        <w:tc>
          <w:tcPr>
            <w:tcW w:w="9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11</w:t>
            </w:r>
          </w:p>
        </w:tc>
        <w:tc>
          <w:tcPr>
            <w:tcW w:w="1420" w:type="dxa"/>
            <w:vAlign w:val="bottom"/>
            <w:tcBorders>
              <w:left w:val="single" w:sz="8" w:color="C0FFFF"/>
            </w:tcBorders>
            <w:gridSpan w:val="3"/>
            <w:shd w:val="clear" w:color="auto" w:fill="C0FFFF"/>
          </w:tcPr>
          <w:p>
            <w:pPr>
              <w:jc w:val="right"/>
              <w:ind w:right="240"/>
              <w:spacing w:after="0"/>
              <w:rPr>
                <w:sz w:val="20"/>
                <w:szCs w:val="20"/>
                <w:color w:val="auto"/>
              </w:rPr>
            </w:pPr>
            <w:r>
              <w:rPr>
                <w:rFonts w:ascii="Arial" w:cs="Arial" w:eastAsia="Arial" w:hAnsi="Arial"/>
                <w:sz w:val="15"/>
                <w:szCs w:val="15"/>
                <w:color w:val="auto"/>
              </w:rPr>
              <w:t>1</w:t>
            </w:r>
          </w:p>
        </w:tc>
        <w:tc>
          <w:tcPr>
            <w:tcW w:w="112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(1)</w:t>
            </w:r>
          </w:p>
        </w:tc>
        <w:tc>
          <w:tcPr>
            <w:tcW w:w="114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11</w:t>
            </w:r>
          </w:p>
        </w:tc>
        <w:tc>
          <w:tcPr>
            <w:tcW w:w="80" w:type="dxa"/>
            <w:vAlign w:val="bottom"/>
            <w:shd w:val="clear" w:color="auto" w:fill="C0FFFF"/>
          </w:tcPr>
          <w:p>
            <w:pPr>
              <w:spacing w:after="0"/>
              <w:rPr>
                <w:sz w:val="15"/>
                <w:szCs w:val="15"/>
                <w:color w:val="auto"/>
              </w:rPr>
            </w:pPr>
          </w:p>
        </w:tc>
        <w:tc>
          <w:tcPr>
            <w:tcW w:w="106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11</w:t>
            </w:r>
          </w:p>
        </w:tc>
        <w:tc>
          <w:tcPr>
            <w:tcW w:w="112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1</w:t>
            </w:r>
          </w:p>
        </w:tc>
        <w:tc>
          <w:tcPr>
            <w:tcW w:w="114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(4)</w:t>
            </w: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400" w:type="dxa"/>
            <w:vAlign w:val="bottom"/>
            <w:shd w:val="clear" w:color="auto" w:fill="C0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left w:val="single" w:sz="8" w:color="C0FFFF"/>
            </w:tcBorders>
            <w:shd w:val="clear" w:color="auto" w:fill="C0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298</w:t>
            </w:r>
          </w:p>
        </w:tc>
        <w:tc>
          <w:tcPr>
            <w:tcW w:w="1420" w:type="dxa"/>
            <w:vAlign w:val="bottom"/>
            <w:gridSpan w:val="3"/>
          </w:tcPr>
          <w:p>
            <w:pPr>
              <w:jc w:val="right"/>
              <w:ind w:right="240"/>
              <w:spacing w:after="0"/>
              <w:rPr>
                <w:sz w:val="20"/>
                <w:szCs w:val="20"/>
                <w:color w:val="auto"/>
              </w:rPr>
            </w:pPr>
            <w:r>
              <w:rPr>
                <w:rFonts w:ascii="Arial" w:cs="Arial" w:eastAsia="Arial" w:hAnsi="Arial"/>
                <w:sz w:val="15"/>
                <w:szCs w:val="15"/>
                <w:color w:val="auto"/>
              </w:rPr>
              <w:t>2</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(4)</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296</w:t>
            </w:r>
          </w:p>
        </w:tc>
        <w:tc>
          <w:tcPr>
            <w:tcW w:w="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298</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3</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(10)</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291</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4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260" w:type="dxa"/>
            <w:vAlign w:val="bottom"/>
            <w:tcBorders>
              <w:left w:val="single" w:sz="8" w:color="C0FFFF"/>
            </w:tcBorders>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9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820" w:type="dxa"/>
            <w:vAlign w:val="bottom"/>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90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00" w:type="dxa"/>
            <w:vAlign w:val="bottom"/>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Europe</w:t>
            </w:r>
          </w:p>
        </w:tc>
        <w:tc>
          <w:tcPr>
            <w:tcW w:w="920" w:type="dxa"/>
            <w:vAlign w:val="bottom"/>
          </w:tcPr>
          <w:p>
            <w:pPr>
              <w:jc w:val="right"/>
              <w:spacing w:after="0"/>
              <w:rPr>
                <w:sz w:val="20"/>
                <w:szCs w:val="20"/>
                <w:color w:val="auto"/>
              </w:rPr>
            </w:pPr>
            <w:r>
              <w:rPr>
                <w:rFonts w:ascii="Arial" w:cs="Arial" w:eastAsia="Arial" w:hAnsi="Arial"/>
                <w:sz w:val="15"/>
                <w:szCs w:val="15"/>
                <w:color w:val="auto"/>
              </w:rPr>
              <w:t>58</w:t>
            </w:r>
          </w:p>
        </w:tc>
        <w:tc>
          <w:tcPr>
            <w:tcW w:w="14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58</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58</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w:t>
            </w: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400" w:type="dxa"/>
            <w:vAlign w:val="bottom"/>
            <w:shd w:val="clear" w:color="auto" w:fill="C0FFFF"/>
          </w:tcPr>
          <w:p>
            <w:pPr>
              <w:ind w:left="240"/>
              <w:spacing w:after="0"/>
              <w:rPr>
                <w:sz w:val="20"/>
                <w:szCs w:val="20"/>
                <w:color w:val="auto"/>
              </w:rPr>
            </w:pPr>
            <w:r>
              <w:rPr>
                <w:rFonts w:ascii="Arial" w:cs="Arial" w:eastAsia="Arial" w:hAnsi="Arial"/>
                <w:sz w:val="15"/>
                <w:szCs w:val="15"/>
                <w:color w:val="auto"/>
              </w:rPr>
              <w:t>Total</w:t>
            </w:r>
          </w:p>
        </w:tc>
        <w:tc>
          <w:tcPr>
            <w:tcW w:w="9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356</w:t>
            </w:r>
          </w:p>
        </w:tc>
        <w:tc>
          <w:tcPr>
            <w:tcW w:w="1420" w:type="dxa"/>
            <w:vAlign w:val="bottom"/>
            <w:tcBorders>
              <w:left w:val="single" w:sz="8" w:color="C0FFFF"/>
            </w:tcBorders>
            <w:gridSpan w:val="3"/>
            <w:shd w:val="clear" w:color="auto" w:fill="C0FFFF"/>
          </w:tcPr>
          <w:p>
            <w:pPr>
              <w:jc w:val="right"/>
              <w:ind w:right="240"/>
              <w:spacing w:after="0"/>
              <w:rPr>
                <w:sz w:val="20"/>
                <w:szCs w:val="20"/>
                <w:color w:val="auto"/>
              </w:rPr>
            </w:pPr>
            <w:r>
              <w:rPr>
                <w:rFonts w:ascii="Arial" w:cs="Arial" w:eastAsia="Arial" w:hAnsi="Arial"/>
                <w:sz w:val="15"/>
                <w:szCs w:val="15"/>
                <w:color w:val="auto"/>
              </w:rPr>
              <w:t>2</w:t>
            </w:r>
          </w:p>
        </w:tc>
        <w:tc>
          <w:tcPr>
            <w:tcW w:w="112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(4)</w:t>
            </w:r>
          </w:p>
        </w:tc>
        <w:tc>
          <w:tcPr>
            <w:tcW w:w="114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354</w:t>
            </w:r>
          </w:p>
        </w:tc>
        <w:tc>
          <w:tcPr>
            <w:tcW w:w="80" w:type="dxa"/>
            <w:vAlign w:val="bottom"/>
            <w:shd w:val="clear" w:color="auto" w:fill="C0FFFF"/>
          </w:tcPr>
          <w:p>
            <w:pPr>
              <w:spacing w:after="0"/>
              <w:rPr>
                <w:sz w:val="17"/>
                <w:szCs w:val="17"/>
                <w:color w:val="auto"/>
              </w:rPr>
            </w:pPr>
          </w:p>
        </w:tc>
        <w:tc>
          <w:tcPr>
            <w:tcW w:w="106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356</w:t>
            </w:r>
          </w:p>
        </w:tc>
        <w:tc>
          <w:tcPr>
            <w:tcW w:w="112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5</w:t>
            </w:r>
          </w:p>
        </w:tc>
        <w:tc>
          <w:tcPr>
            <w:tcW w:w="114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(10)</w:t>
            </w: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left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2011</w:t>
            </w: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5"/>
                <w:szCs w:val="15"/>
                <w:b w:val="1"/>
                <w:bCs w:val="1"/>
                <w:color w:val="auto"/>
                <w:w w:val="91"/>
              </w:rPr>
              <w:t>Twenty-Six Weeks Ended July 2, 2011</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7"/>
          </w:tcPr>
          <w:p>
            <w:pPr>
              <w:jc w:val="center"/>
              <w:spacing w:after="0"/>
              <w:rPr>
                <w:sz w:val="20"/>
                <w:szCs w:val="20"/>
                <w:color w:val="auto"/>
              </w:rPr>
            </w:pPr>
            <w:r>
              <w:rPr>
                <w:rFonts w:ascii="Arial" w:cs="Arial" w:eastAsia="Arial" w:hAnsi="Arial"/>
                <w:sz w:val="15"/>
                <w:szCs w:val="15"/>
                <w:b w:val="1"/>
                <w:bCs w:val="1"/>
                <w:color w:val="auto"/>
                <w:w w:val="90"/>
              </w:rPr>
              <w:t>Fifty-two Weeks Ended December 31, 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92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1"/>
              </w:rPr>
              <w:t>January 1,</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20"/>
              <w:spacing w:after="0" w:line="167" w:lineRule="exact"/>
              <w:rPr>
                <w:sz w:val="20"/>
                <w:szCs w:val="20"/>
                <w:color w:val="auto"/>
              </w:rPr>
            </w:pPr>
            <w:r>
              <w:rPr>
                <w:rFonts w:ascii="Arial" w:cs="Arial" w:eastAsia="Arial" w:hAnsi="Arial"/>
                <w:sz w:val="15"/>
                <w:szCs w:val="15"/>
                <w:b w:val="1"/>
                <w:bCs w:val="1"/>
                <w:color w:val="auto"/>
                <w:w w:val="94"/>
              </w:rPr>
              <w:t>January 1,</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0"/>
              </w:rPr>
              <w:t>December 31,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83"/>
              </w:rPr>
              <w:t>2011</w:t>
            </w:r>
          </w:p>
        </w:tc>
        <w:tc>
          <w:tcPr>
            <w:tcW w:w="2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Opened</w:t>
            </w:r>
          </w:p>
        </w:tc>
        <w:tc>
          <w:tcPr>
            <w:tcW w:w="11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Closed</w:t>
            </w:r>
          </w:p>
        </w:tc>
        <w:tc>
          <w:tcPr>
            <w:tcW w:w="1220" w:type="dxa"/>
            <w:vAlign w:val="bottom"/>
            <w:gridSpan w:val="3"/>
          </w:tcPr>
          <w:p>
            <w:pPr>
              <w:jc w:val="center"/>
              <w:ind w:right="224"/>
              <w:spacing w:after="0"/>
              <w:rPr>
                <w:sz w:val="20"/>
                <w:szCs w:val="20"/>
                <w:color w:val="auto"/>
              </w:rPr>
            </w:pPr>
            <w:r>
              <w:rPr>
                <w:rFonts w:ascii="Arial" w:cs="Arial" w:eastAsia="Arial" w:hAnsi="Arial"/>
                <w:sz w:val="15"/>
                <w:szCs w:val="15"/>
                <w:b w:val="1"/>
                <w:bCs w:val="1"/>
                <w:color w:val="auto"/>
                <w:w w:val="90"/>
              </w:rPr>
              <w:t>July 2, 2011</w:t>
            </w:r>
          </w:p>
        </w:tc>
        <w:tc>
          <w:tcPr>
            <w:tcW w:w="820" w:type="dxa"/>
            <w:vAlign w:val="bottom"/>
          </w:tcPr>
          <w:p>
            <w:pPr>
              <w:jc w:val="center"/>
              <w:ind w:right="4"/>
              <w:spacing w:after="0"/>
              <w:rPr>
                <w:sz w:val="20"/>
                <w:szCs w:val="20"/>
                <w:color w:val="auto"/>
              </w:rPr>
            </w:pPr>
            <w:r>
              <w:rPr>
                <w:rFonts w:ascii="Arial" w:cs="Arial" w:eastAsia="Arial" w:hAnsi="Arial"/>
                <w:sz w:val="15"/>
                <w:szCs w:val="15"/>
                <w:b w:val="1"/>
                <w:bCs w:val="1"/>
                <w:color w:val="auto"/>
                <w:w w:val="89"/>
              </w:rPr>
              <w:t>2011</w:t>
            </w:r>
          </w:p>
        </w:tc>
        <w:tc>
          <w:tcPr>
            <w:tcW w:w="24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Arial" w:cs="Arial" w:eastAsia="Arial" w:hAnsi="Arial"/>
                <w:sz w:val="15"/>
                <w:szCs w:val="15"/>
                <w:b w:val="1"/>
                <w:bCs w:val="1"/>
                <w:color w:val="auto"/>
              </w:rPr>
              <w:t>Opened</w:t>
            </w:r>
          </w:p>
        </w:tc>
        <w:tc>
          <w:tcPr>
            <w:tcW w:w="11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Closed</w:t>
            </w:r>
          </w:p>
        </w:tc>
        <w:tc>
          <w:tcPr>
            <w:tcW w:w="900" w:type="dxa"/>
            <w:vAlign w:val="bottom"/>
          </w:tcPr>
          <w:p>
            <w:pPr>
              <w:jc w:val="center"/>
              <w:spacing w:after="0"/>
              <w:rPr>
                <w:sz w:val="20"/>
                <w:szCs w:val="20"/>
                <w:color w:val="auto"/>
              </w:rPr>
            </w:pPr>
            <w:r>
              <w:rPr>
                <w:rFonts w:ascii="Arial" w:cs="Arial" w:eastAsia="Arial" w:hAnsi="Arial"/>
                <w:sz w:val="15"/>
                <w:szCs w:val="15"/>
                <w:b w:val="1"/>
                <w:bCs w:val="1"/>
                <w:color w:val="auto"/>
                <w:w w:val="89"/>
              </w:rPr>
              <w:t>2011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shd w:val="clear" w:color="auto" w:fill="C0FFFF"/>
          </w:tcPr>
          <w:p>
            <w:pPr>
              <w:spacing w:after="0"/>
              <w:rPr>
                <w:sz w:val="20"/>
                <w:szCs w:val="20"/>
                <w:color w:val="auto"/>
              </w:rPr>
            </w:pPr>
            <w:r>
              <w:rPr>
                <w:rFonts w:ascii="Arial" w:cs="Arial" w:eastAsia="Arial" w:hAnsi="Arial"/>
                <w:sz w:val="15"/>
                <w:szCs w:val="15"/>
                <w:color w:val="auto"/>
              </w:rPr>
              <w:t>North America</w:t>
            </w:r>
          </w:p>
        </w:tc>
        <w:tc>
          <w:tcPr>
            <w:tcW w:w="920" w:type="dxa"/>
            <w:vAlign w:val="bottom"/>
            <w:tcBorders>
              <w:top w:val="single" w:sz="8" w:color="auto"/>
            </w:tcBorders>
            <w:shd w:val="clear" w:color="auto" w:fill="C0FFFF"/>
          </w:tcPr>
          <w:p>
            <w:pPr>
              <w:spacing w:after="0"/>
              <w:rPr>
                <w:sz w:val="15"/>
                <w:szCs w:val="15"/>
                <w:color w:val="auto"/>
              </w:rPr>
            </w:pPr>
          </w:p>
        </w:tc>
        <w:tc>
          <w:tcPr>
            <w:tcW w:w="260" w:type="dxa"/>
            <w:vAlign w:val="bottom"/>
            <w:tcBorders>
              <w:left w:val="single" w:sz="8" w:color="C0FFFF"/>
            </w:tcBorders>
            <w:shd w:val="clear" w:color="auto" w:fill="C0FFFF"/>
          </w:tcPr>
          <w:p>
            <w:pPr>
              <w:spacing w:after="0"/>
              <w:rPr>
                <w:sz w:val="15"/>
                <w:szCs w:val="15"/>
                <w:color w:val="auto"/>
              </w:rPr>
            </w:pPr>
          </w:p>
        </w:tc>
        <w:tc>
          <w:tcPr>
            <w:tcW w:w="920" w:type="dxa"/>
            <w:vAlign w:val="bottom"/>
            <w:tcBorders>
              <w:top w:val="single" w:sz="8" w:color="auto"/>
            </w:tcBorders>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900" w:type="dxa"/>
            <w:vAlign w:val="bottom"/>
            <w:tcBorders>
              <w:top w:val="single" w:sz="8" w:color="auto"/>
            </w:tcBorders>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20" w:type="dxa"/>
            <w:vAlign w:val="bottom"/>
            <w:tcBorders>
              <w:top w:val="single" w:sz="8" w:color="auto"/>
            </w:tcBorders>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80" w:type="dxa"/>
            <w:vAlign w:val="bottom"/>
            <w:tcBorders>
              <w:top w:val="single" w:sz="8" w:color="auto"/>
            </w:tcBorders>
            <w:shd w:val="clear" w:color="auto" w:fill="C0FFFF"/>
          </w:tcPr>
          <w:p>
            <w:pPr>
              <w:spacing w:after="0"/>
              <w:rPr>
                <w:sz w:val="15"/>
                <w:szCs w:val="15"/>
                <w:color w:val="auto"/>
              </w:rPr>
            </w:pPr>
          </w:p>
        </w:tc>
        <w:tc>
          <w:tcPr>
            <w:tcW w:w="820" w:type="dxa"/>
            <w:vAlign w:val="bottom"/>
            <w:tcBorders>
              <w:top w:val="single" w:sz="8" w:color="auto"/>
            </w:tcBorders>
            <w:shd w:val="clear" w:color="auto" w:fill="C0FFFF"/>
          </w:tcPr>
          <w:p>
            <w:pPr>
              <w:spacing w:after="0"/>
              <w:rPr>
                <w:sz w:val="15"/>
                <w:szCs w:val="15"/>
                <w:color w:val="auto"/>
              </w:rPr>
            </w:pPr>
          </w:p>
        </w:tc>
        <w:tc>
          <w:tcPr>
            <w:tcW w:w="240" w:type="dxa"/>
            <w:vAlign w:val="bottom"/>
            <w:shd w:val="clear" w:color="auto" w:fill="C0FFFF"/>
          </w:tcPr>
          <w:p>
            <w:pPr>
              <w:spacing w:after="0"/>
              <w:rPr>
                <w:sz w:val="15"/>
                <w:szCs w:val="15"/>
                <w:color w:val="auto"/>
              </w:rPr>
            </w:pPr>
          </w:p>
        </w:tc>
        <w:tc>
          <w:tcPr>
            <w:tcW w:w="900" w:type="dxa"/>
            <w:vAlign w:val="bottom"/>
            <w:tcBorders>
              <w:top w:val="single" w:sz="8" w:color="auto"/>
            </w:tcBorders>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20" w:type="dxa"/>
            <w:vAlign w:val="bottom"/>
            <w:tcBorders>
              <w:top w:val="single" w:sz="8" w:color="auto"/>
            </w:tcBorders>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900" w:type="dxa"/>
            <w:vAlign w:val="bottom"/>
            <w:tcBorders>
              <w:top w:val="single" w:sz="8" w:color="auto"/>
            </w:tcBorders>
            <w:shd w:val="clear" w:color="auto" w:fill="C0FFFF"/>
          </w:tcPr>
          <w:p>
            <w:pPr>
              <w:spacing w:after="0"/>
              <w:rPr>
                <w:sz w:val="15"/>
                <w:szCs w:val="15"/>
                <w:color w:val="auto"/>
              </w:rPr>
            </w:pPr>
          </w:p>
        </w:tc>
        <w:tc>
          <w:tcPr>
            <w:tcW w:w="120" w:type="dxa"/>
            <w:vAlign w:val="bottom"/>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tcPr>
          <w:p>
            <w:pPr>
              <w:ind w:left="100"/>
              <w:spacing w:after="0"/>
              <w:rPr>
                <w:sz w:val="20"/>
                <w:szCs w:val="20"/>
                <w:color w:val="auto"/>
              </w:rPr>
            </w:pPr>
            <w:r>
              <w:rPr>
                <w:rFonts w:ascii="Arial" w:cs="Arial" w:eastAsia="Arial" w:hAnsi="Arial"/>
                <w:sz w:val="15"/>
                <w:szCs w:val="15"/>
                <w:color w:val="auto"/>
              </w:rPr>
              <w:t>Traditional</w:t>
            </w:r>
          </w:p>
        </w:tc>
        <w:tc>
          <w:tcPr>
            <w:tcW w:w="920" w:type="dxa"/>
            <w:vAlign w:val="bottom"/>
          </w:tcPr>
          <w:p>
            <w:pPr>
              <w:jc w:val="right"/>
              <w:spacing w:after="0"/>
              <w:rPr>
                <w:sz w:val="20"/>
                <w:szCs w:val="20"/>
                <w:color w:val="auto"/>
              </w:rPr>
            </w:pPr>
            <w:r>
              <w:rPr>
                <w:rFonts w:ascii="Arial" w:cs="Arial" w:eastAsia="Arial" w:hAnsi="Arial"/>
                <w:sz w:val="15"/>
                <w:szCs w:val="15"/>
                <w:color w:val="auto"/>
              </w:rPr>
              <w:t>290</w:t>
            </w:r>
          </w:p>
        </w:tc>
        <w:tc>
          <w:tcPr>
            <w:tcW w:w="14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(2)</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288</w:t>
            </w:r>
          </w:p>
        </w:tc>
        <w:tc>
          <w:tcPr>
            <w:tcW w:w="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290</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2</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(5)</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287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shd w:val="clear" w:color="auto" w:fill="C0FFFF"/>
          </w:tcPr>
          <w:p>
            <w:pPr>
              <w:ind w:left="100"/>
              <w:spacing w:after="0"/>
              <w:rPr>
                <w:sz w:val="20"/>
                <w:szCs w:val="20"/>
                <w:color w:val="auto"/>
              </w:rPr>
            </w:pPr>
            <w:r>
              <w:rPr>
                <w:rFonts w:ascii="Arial" w:cs="Arial" w:eastAsia="Arial" w:hAnsi="Arial"/>
                <w:sz w:val="15"/>
                <w:szCs w:val="15"/>
                <w:color w:val="auto"/>
              </w:rPr>
              <w:t>Non-traditional</w:t>
            </w:r>
          </w:p>
        </w:tc>
        <w:tc>
          <w:tcPr>
            <w:tcW w:w="9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15</w:t>
            </w:r>
          </w:p>
        </w:tc>
        <w:tc>
          <w:tcPr>
            <w:tcW w:w="1420" w:type="dxa"/>
            <w:vAlign w:val="bottom"/>
            <w:tcBorders>
              <w:left w:val="single" w:sz="8" w:color="C0FFFF"/>
            </w:tcBorders>
            <w:gridSpan w:val="3"/>
            <w:shd w:val="clear" w:color="auto" w:fill="C0FFFF"/>
          </w:tcPr>
          <w:p>
            <w:pPr>
              <w:jc w:val="right"/>
              <w:ind w:right="240"/>
              <w:spacing w:after="0"/>
              <w:rPr>
                <w:sz w:val="20"/>
                <w:szCs w:val="20"/>
                <w:color w:val="auto"/>
              </w:rPr>
            </w:pPr>
            <w:r>
              <w:rPr>
                <w:rFonts w:ascii="Arial" w:cs="Arial" w:eastAsia="Arial" w:hAnsi="Arial"/>
                <w:sz w:val="15"/>
                <w:szCs w:val="15"/>
                <w:color w:val="auto"/>
              </w:rPr>
              <w:t>1</w:t>
            </w:r>
          </w:p>
        </w:tc>
        <w:tc>
          <w:tcPr>
            <w:tcW w:w="112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(3)</w:t>
            </w:r>
          </w:p>
        </w:tc>
        <w:tc>
          <w:tcPr>
            <w:tcW w:w="9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13</w:t>
            </w:r>
          </w:p>
        </w:tc>
        <w:tc>
          <w:tcPr>
            <w:tcW w:w="22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106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15</w:t>
            </w:r>
          </w:p>
        </w:tc>
        <w:tc>
          <w:tcPr>
            <w:tcW w:w="112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2</w:t>
            </w:r>
          </w:p>
        </w:tc>
        <w:tc>
          <w:tcPr>
            <w:tcW w:w="114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(6)</w:t>
            </w: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400" w:type="dxa"/>
            <w:vAlign w:val="bottom"/>
            <w:shd w:val="clear" w:color="auto" w:fill="C0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Borders>
              <w:left w:val="single" w:sz="8" w:color="C0FFFF"/>
            </w:tcBorders>
            <w:shd w:val="clear" w:color="auto" w:fill="C0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0FF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305</w:t>
            </w:r>
          </w:p>
        </w:tc>
        <w:tc>
          <w:tcPr>
            <w:tcW w:w="1420" w:type="dxa"/>
            <w:vAlign w:val="bottom"/>
            <w:gridSpan w:val="3"/>
          </w:tcPr>
          <w:p>
            <w:pPr>
              <w:jc w:val="right"/>
              <w:ind w:right="240"/>
              <w:spacing w:after="0"/>
              <w:rPr>
                <w:sz w:val="20"/>
                <w:szCs w:val="20"/>
                <w:color w:val="auto"/>
              </w:rPr>
            </w:pPr>
            <w:r>
              <w:rPr>
                <w:rFonts w:ascii="Arial" w:cs="Arial" w:eastAsia="Arial" w:hAnsi="Arial"/>
                <w:sz w:val="15"/>
                <w:szCs w:val="15"/>
                <w:color w:val="auto"/>
              </w:rPr>
              <w:t>1</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(5)</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301</w:t>
            </w:r>
          </w:p>
        </w:tc>
        <w:tc>
          <w:tcPr>
            <w:tcW w:w="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305</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4</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(11)</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298</w:t>
            </w: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400" w:type="dxa"/>
            <w:vAlign w:val="bottom"/>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1420" w:type="dxa"/>
            <w:vAlign w:val="bottom"/>
            <w:tcBorders>
              <w:left w:val="single" w:sz="8" w:color="C0FFFF"/>
            </w:tcBorders>
            <w:gridSpan w:val="3"/>
            <w:shd w:val="clear" w:color="auto" w:fill="C0FFFF"/>
          </w:tcPr>
          <w:p>
            <w:pPr>
              <w:spacing w:after="0"/>
              <w:rPr>
                <w:sz w:val="15"/>
                <w:szCs w:val="15"/>
                <w:color w:val="auto"/>
              </w:rPr>
            </w:pPr>
          </w:p>
        </w:tc>
        <w:tc>
          <w:tcPr>
            <w:tcW w:w="1120" w:type="dxa"/>
            <w:vAlign w:val="bottom"/>
            <w:gridSpan w:val="2"/>
            <w:shd w:val="clear" w:color="auto" w:fill="C0FFFF"/>
          </w:tcPr>
          <w:p>
            <w:pPr>
              <w:spacing w:after="0"/>
              <w:rPr>
                <w:sz w:val="15"/>
                <w:szCs w:val="15"/>
                <w:color w:val="auto"/>
              </w:rPr>
            </w:pPr>
          </w:p>
        </w:tc>
        <w:tc>
          <w:tcPr>
            <w:tcW w:w="920" w:type="dxa"/>
            <w:vAlign w:val="bottom"/>
            <w:shd w:val="clear" w:color="auto" w:fill="C0FFFF"/>
          </w:tcPr>
          <w:p>
            <w:pPr>
              <w:spacing w:after="0"/>
              <w:rPr>
                <w:sz w:val="15"/>
                <w:szCs w:val="15"/>
                <w:color w:val="auto"/>
              </w:rPr>
            </w:pPr>
          </w:p>
        </w:tc>
        <w:tc>
          <w:tcPr>
            <w:tcW w:w="220" w:type="dxa"/>
            <w:vAlign w:val="bottom"/>
            <w:shd w:val="clear" w:color="auto" w:fill="C0FFFF"/>
          </w:tcPr>
          <w:p>
            <w:pPr>
              <w:spacing w:after="0"/>
              <w:rPr>
                <w:sz w:val="15"/>
                <w:szCs w:val="15"/>
                <w:color w:val="auto"/>
              </w:rPr>
            </w:pPr>
          </w:p>
        </w:tc>
        <w:tc>
          <w:tcPr>
            <w:tcW w:w="80" w:type="dxa"/>
            <w:vAlign w:val="bottom"/>
            <w:shd w:val="clear" w:color="auto" w:fill="C0FFFF"/>
          </w:tcPr>
          <w:p>
            <w:pPr>
              <w:spacing w:after="0"/>
              <w:rPr>
                <w:sz w:val="15"/>
                <w:szCs w:val="15"/>
                <w:color w:val="auto"/>
              </w:rPr>
            </w:pPr>
          </w:p>
        </w:tc>
        <w:tc>
          <w:tcPr>
            <w:tcW w:w="1060" w:type="dxa"/>
            <w:vAlign w:val="bottom"/>
            <w:gridSpan w:val="2"/>
            <w:shd w:val="clear" w:color="auto" w:fill="C0FFFF"/>
          </w:tcPr>
          <w:p>
            <w:pPr>
              <w:spacing w:after="0"/>
              <w:rPr>
                <w:sz w:val="15"/>
                <w:szCs w:val="15"/>
                <w:color w:val="auto"/>
              </w:rPr>
            </w:pPr>
          </w:p>
        </w:tc>
        <w:tc>
          <w:tcPr>
            <w:tcW w:w="1120" w:type="dxa"/>
            <w:vAlign w:val="bottom"/>
            <w:gridSpan w:val="2"/>
            <w:shd w:val="clear" w:color="auto" w:fill="C0FFFF"/>
          </w:tcPr>
          <w:p>
            <w:pPr>
              <w:spacing w:after="0"/>
              <w:rPr>
                <w:sz w:val="15"/>
                <w:szCs w:val="15"/>
                <w:color w:val="auto"/>
              </w:rPr>
            </w:pPr>
          </w:p>
        </w:tc>
        <w:tc>
          <w:tcPr>
            <w:tcW w:w="1140" w:type="dxa"/>
            <w:vAlign w:val="bottom"/>
            <w:gridSpan w:val="2"/>
            <w:shd w:val="clear" w:color="auto" w:fill="C0FFFF"/>
          </w:tcPr>
          <w:p>
            <w:pPr>
              <w:spacing w:after="0"/>
              <w:rPr>
                <w:sz w:val="15"/>
                <w:szCs w:val="15"/>
                <w:color w:val="auto"/>
              </w:rPr>
            </w:pPr>
          </w:p>
        </w:tc>
        <w:tc>
          <w:tcPr>
            <w:tcW w:w="1020" w:type="dxa"/>
            <w:vAlign w:val="bottom"/>
            <w:gridSpan w:val="2"/>
            <w:shd w:val="clear" w:color="auto" w:fill="C0FF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400" w:type="dxa"/>
            <w:vAlign w:val="bottom"/>
          </w:tcPr>
          <w:p>
            <w:pPr>
              <w:spacing w:after="0"/>
              <w:rPr>
                <w:sz w:val="20"/>
                <w:szCs w:val="20"/>
                <w:color w:val="auto"/>
              </w:rPr>
            </w:pPr>
            <w:r>
              <w:rPr>
                <w:rFonts w:ascii="Arial" w:cs="Arial" w:eastAsia="Arial" w:hAnsi="Arial"/>
                <w:sz w:val="15"/>
                <w:szCs w:val="15"/>
                <w:color w:val="auto"/>
              </w:rPr>
              <w:t>Europe</w:t>
            </w:r>
          </w:p>
        </w:tc>
        <w:tc>
          <w:tcPr>
            <w:tcW w:w="920" w:type="dxa"/>
            <w:vAlign w:val="bottom"/>
          </w:tcPr>
          <w:p>
            <w:pPr>
              <w:jc w:val="right"/>
              <w:spacing w:after="0"/>
              <w:rPr>
                <w:sz w:val="20"/>
                <w:szCs w:val="20"/>
                <w:color w:val="auto"/>
              </w:rPr>
            </w:pPr>
            <w:r>
              <w:rPr>
                <w:rFonts w:ascii="Arial" w:cs="Arial" w:eastAsia="Arial" w:hAnsi="Arial"/>
                <w:sz w:val="15"/>
                <w:szCs w:val="15"/>
                <w:color w:val="auto"/>
              </w:rPr>
              <w:t>54</w:t>
            </w:r>
          </w:p>
        </w:tc>
        <w:tc>
          <w:tcPr>
            <w:tcW w:w="142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(1)</w:t>
            </w:r>
          </w:p>
        </w:tc>
        <w:tc>
          <w:tcPr>
            <w:tcW w:w="920" w:type="dxa"/>
            <w:vAlign w:val="bottom"/>
          </w:tcPr>
          <w:p>
            <w:pPr>
              <w:jc w:val="right"/>
              <w:spacing w:after="0"/>
              <w:rPr>
                <w:sz w:val="20"/>
                <w:szCs w:val="20"/>
                <w:color w:val="auto"/>
              </w:rPr>
            </w:pPr>
            <w:r>
              <w:rPr>
                <w:rFonts w:ascii="Arial" w:cs="Arial" w:eastAsia="Arial" w:hAnsi="Arial"/>
                <w:sz w:val="15"/>
                <w:szCs w:val="15"/>
                <w:color w:val="auto"/>
              </w:rPr>
              <w:t>53</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54</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5</w:t>
            </w: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(1)</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color w:val="auto"/>
              </w:rPr>
              <w:t>58</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2400" w:type="dxa"/>
            <w:vAlign w:val="bottom"/>
            <w:shd w:val="clear" w:color="auto" w:fill="C0FFFF"/>
          </w:tcPr>
          <w:p>
            <w:pPr>
              <w:ind w:left="240"/>
              <w:spacing w:after="0"/>
              <w:rPr>
                <w:sz w:val="20"/>
                <w:szCs w:val="20"/>
                <w:color w:val="auto"/>
              </w:rPr>
            </w:pPr>
            <w:r>
              <w:rPr>
                <w:rFonts w:ascii="Arial" w:cs="Arial" w:eastAsia="Arial" w:hAnsi="Arial"/>
                <w:sz w:val="15"/>
                <w:szCs w:val="15"/>
                <w:color w:val="auto"/>
              </w:rPr>
              <w:t>Total</w:t>
            </w:r>
          </w:p>
        </w:tc>
        <w:tc>
          <w:tcPr>
            <w:tcW w:w="920" w:type="dxa"/>
            <w:vAlign w:val="bottom"/>
            <w:shd w:val="clear" w:color="auto" w:fill="C0FFFF"/>
          </w:tcPr>
          <w:p>
            <w:pPr>
              <w:jc w:val="right"/>
              <w:spacing w:after="0"/>
              <w:rPr>
                <w:sz w:val="20"/>
                <w:szCs w:val="20"/>
                <w:color w:val="auto"/>
              </w:rPr>
            </w:pPr>
            <w:r>
              <w:rPr>
                <w:rFonts w:ascii="Arial" w:cs="Arial" w:eastAsia="Arial" w:hAnsi="Arial"/>
                <w:sz w:val="15"/>
                <w:szCs w:val="15"/>
                <w:color w:val="auto"/>
              </w:rPr>
              <w:t>359</w:t>
            </w:r>
          </w:p>
        </w:tc>
        <w:tc>
          <w:tcPr>
            <w:tcW w:w="1420" w:type="dxa"/>
            <w:vAlign w:val="bottom"/>
            <w:tcBorders>
              <w:left w:val="single" w:sz="8" w:color="C0FFFF"/>
            </w:tcBorders>
            <w:gridSpan w:val="3"/>
            <w:shd w:val="clear" w:color="auto" w:fill="C0FFFF"/>
          </w:tcPr>
          <w:p>
            <w:pPr>
              <w:jc w:val="right"/>
              <w:ind w:right="240"/>
              <w:spacing w:after="0"/>
              <w:rPr>
                <w:sz w:val="20"/>
                <w:szCs w:val="20"/>
                <w:color w:val="auto"/>
              </w:rPr>
            </w:pPr>
            <w:r>
              <w:rPr>
                <w:rFonts w:ascii="Arial" w:cs="Arial" w:eastAsia="Arial" w:hAnsi="Arial"/>
                <w:sz w:val="15"/>
                <w:szCs w:val="15"/>
                <w:color w:val="auto"/>
              </w:rPr>
              <w:t>1</w:t>
            </w:r>
          </w:p>
        </w:tc>
        <w:tc>
          <w:tcPr>
            <w:tcW w:w="112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(6)</w:t>
            </w:r>
          </w:p>
        </w:tc>
        <w:tc>
          <w:tcPr>
            <w:tcW w:w="114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354</w:t>
            </w:r>
          </w:p>
        </w:tc>
        <w:tc>
          <w:tcPr>
            <w:tcW w:w="80" w:type="dxa"/>
            <w:vAlign w:val="bottom"/>
            <w:shd w:val="clear" w:color="auto" w:fill="C0FFFF"/>
          </w:tcPr>
          <w:p>
            <w:pPr>
              <w:spacing w:after="0"/>
              <w:rPr>
                <w:sz w:val="17"/>
                <w:szCs w:val="17"/>
                <w:color w:val="auto"/>
              </w:rPr>
            </w:pPr>
          </w:p>
        </w:tc>
        <w:tc>
          <w:tcPr>
            <w:tcW w:w="106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359</w:t>
            </w:r>
          </w:p>
        </w:tc>
        <w:tc>
          <w:tcPr>
            <w:tcW w:w="1120" w:type="dxa"/>
            <w:vAlign w:val="bottom"/>
            <w:gridSpan w:val="2"/>
            <w:shd w:val="clear" w:color="auto" w:fill="C0FFFF"/>
          </w:tcPr>
          <w:p>
            <w:pPr>
              <w:jc w:val="right"/>
              <w:ind w:right="220"/>
              <w:spacing w:after="0"/>
              <w:rPr>
                <w:sz w:val="20"/>
                <w:szCs w:val="20"/>
                <w:color w:val="auto"/>
              </w:rPr>
            </w:pPr>
            <w:r>
              <w:rPr>
                <w:rFonts w:ascii="Arial" w:cs="Arial" w:eastAsia="Arial" w:hAnsi="Arial"/>
                <w:sz w:val="15"/>
                <w:szCs w:val="15"/>
                <w:color w:val="auto"/>
              </w:rPr>
              <w:t>9</w:t>
            </w:r>
          </w:p>
        </w:tc>
        <w:tc>
          <w:tcPr>
            <w:tcW w:w="114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(12)</w:t>
            </w:r>
          </w:p>
        </w:tc>
        <w:tc>
          <w:tcPr>
            <w:tcW w:w="10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0FFFF"/>
              <w:left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0FFFF"/>
            </w:tcBorders>
            <w:shd w:val="clear" w:color="auto" w:fill="C0FF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FFFF"/>
            </w:tcBorders>
            <w:shd w:val="clear" w:color="auto" w:fill="C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120" w:firstLine="408"/>
        <w:spacing w:after="0" w:line="264" w:lineRule="auto"/>
        <w:rPr>
          <w:sz w:val="20"/>
          <w:szCs w:val="20"/>
          <w:color w:val="auto"/>
        </w:rPr>
      </w:pPr>
      <w:r>
        <w:rPr>
          <w:rFonts w:ascii="Arial" w:cs="Arial" w:eastAsia="Arial" w:hAnsi="Arial"/>
          <w:sz w:val="15"/>
          <w:szCs w:val="15"/>
          <w:color w:val="auto"/>
        </w:rPr>
        <w:t>Our long term store real estate goal is to bring our stores back to best in class productivity and profitability. Today we believe that the optimal number of Build-A-Bear Workshop stores in North America is between 225 to 250 and approximately 70 in the United Kingdom and Ireland for a total of 295 to 320 stores. We expect to reach this level within the next three to five years with the majority of the store closures coming in North America in fiscal 2013 and 2014.</w:t>
      </w:r>
    </w:p>
    <w:p>
      <w:pPr>
        <w:spacing w:after="0" w:line="201" w:lineRule="exact"/>
        <w:rPr>
          <w:sz w:val="20"/>
          <w:szCs w:val="20"/>
          <w:color w:val="auto"/>
        </w:rPr>
      </w:pPr>
    </w:p>
    <w:p>
      <w:pPr>
        <w:ind w:right="60" w:firstLine="408"/>
        <w:spacing w:after="0" w:line="257" w:lineRule="auto"/>
        <w:rPr>
          <w:sz w:val="20"/>
          <w:szCs w:val="20"/>
          <w:color w:val="auto"/>
        </w:rPr>
      </w:pPr>
      <w:r>
        <w:rPr>
          <w:rFonts w:ascii="Arial" w:cs="Arial" w:eastAsia="Arial" w:hAnsi="Arial"/>
          <w:sz w:val="15"/>
          <w:szCs w:val="15"/>
          <w:color w:val="auto"/>
        </w:rPr>
        <w:t>Integral to the success of this strategy is the opening of our new store design which gives certain stores flagship status and maximizes productivity in the market. The new design merges Build-A-Bear Workshop’s iconic hands-on bear-making process with the power of technology to provide a new, highly interactive experience for our guests. In fiscal 2012, we plan to open six of these stores beginning in September; one will be a new store and five stores will be remodels of existing locations. This new store will replace another store in the same market that is scheduled to close later in 2012. Successful aspects of the new design will be expanded and leveraged across future relocations and remodels as part of our market optimization plan. In 2012, we have also opened one traditional store and one non-traditional store in North America. The traditional store is a reopening in a mall that had been closed since 2010 due to flooding. We will open two more traditional stores in the UK in the second half of 2012.</w:t>
      </w:r>
    </w:p>
    <w:p>
      <w:pPr>
        <w:spacing w:after="0" w:line="206" w:lineRule="exact"/>
        <w:rPr>
          <w:sz w:val="20"/>
          <w:szCs w:val="20"/>
          <w:color w:val="auto"/>
        </w:rPr>
      </w:pPr>
    </w:p>
    <w:p>
      <w:pPr>
        <w:ind w:right="20" w:firstLine="408"/>
        <w:spacing w:after="0" w:line="257" w:lineRule="auto"/>
        <w:rPr>
          <w:sz w:val="20"/>
          <w:szCs w:val="20"/>
          <w:color w:val="auto"/>
        </w:rPr>
      </w:pPr>
      <w:r>
        <w:rPr>
          <w:rFonts w:ascii="Arial" w:cs="Arial" w:eastAsia="Arial" w:hAnsi="Arial"/>
          <w:sz w:val="15"/>
          <w:szCs w:val="15"/>
          <w:color w:val="auto"/>
        </w:rPr>
        <w:t>We have been aggressively renegotiating rents and executing short term extensions to line up lease dates within markets as part of an overall strategic plan to optimize our store locations and market positioning. As part of this strategy, we will continue to close underperforming stores in conjunction with natural lease expirations and kick out clauses, primarily in multi-store markets. In these markets, we currently expect to maintain 20% to 30% of the sales from closing stores by transferring customers to other locations in the same market. In fiscal 2011, we closed 12 stores, and in fiscal 2012, we anticipate closing ten stores, including non-traditional store locations. As a result, at the end of fiscal 2012, we anticipate that we will have 343 traditional stores, 283 in North America and 60 in Europe and eight non-traditional stores. In in the first half of 2013, we currently plan to close an additional 15 traditional stores in North America.</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480" w:right="219" w:bottom="1440" w:gutter="0" w:footer="0" w:header="0"/>
        </w:sectPr>
      </w:pPr>
    </w:p>
    <w:bookmarkStart w:id="12" w:name="page13"/>
    <w:bookmarkEnd w:id="12"/>
    <w:p>
      <w:pPr>
        <w:spacing w:after="0"/>
        <w:rPr>
          <w:sz w:val="20"/>
          <w:szCs w:val="20"/>
          <w:color w:val="auto"/>
        </w:rPr>
      </w:pPr>
      <w:r>
        <w:rPr>
          <w:rFonts w:ascii="Arial" w:cs="Arial" w:eastAsia="Arial" w:hAnsi="Arial"/>
          <w:sz w:val="15"/>
          <w:szCs w:val="15"/>
          <w:b w:val="1"/>
          <w:bCs w:val="1"/>
          <w:i w:val="1"/>
          <w:iCs w:val="1"/>
          <w:color w:val="auto"/>
        </w:rPr>
        <w:t>International Franchise Locations:</w:t>
      </w:r>
    </w:p>
    <w:p>
      <w:pPr>
        <w:spacing w:after="0" w:line="19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Our first franchised location opened in November 2003. The number of international, franchised stores for the periods presented below can be summarized as follows:</w:t>
      </w:r>
    </w:p>
    <w:p>
      <w:pPr>
        <w:spacing w:after="0" w:line="186" w:lineRule="exact"/>
        <w:rPr>
          <w:sz w:val="20"/>
          <w:szCs w:val="20"/>
          <w:color w:val="auto"/>
        </w:rPr>
      </w:pPr>
    </w:p>
    <w:p>
      <w:pPr>
        <w:ind w:left="8100"/>
        <w:spacing w:after="0"/>
        <w:rPr>
          <w:sz w:val="20"/>
          <w:szCs w:val="20"/>
          <w:color w:val="auto"/>
        </w:rPr>
      </w:pPr>
      <w:r>
        <w:rPr>
          <w:rFonts w:ascii="Arial" w:cs="Arial" w:eastAsia="Arial" w:hAnsi="Arial"/>
          <w:sz w:val="15"/>
          <w:szCs w:val="15"/>
          <w:b w:val="1"/>
          <w:bCs w:val="1"/>
          <w:color w:val="auto"/>
        </w:rPr>
        <w:t>Twenty-Six Weeks Ended</w:t>
      </w:r>
    </w:p>
    <w:p>
      <w:pPr>
        <w:spacing w:after="0" w:line="22" w:lineRule="exact"/>
        <w:rPr>
          <w:sz w:val="20"/>
          <w:szCs w:val="20"/>
          <w:color w:val="auto"/>
        </w:rPr>
      </w:pPr>
    </w:p>
    <w:tbl>
      <w:tblPr>
        <w:tblLayout w:type="fixed"/>
        <w:tblInd w:w="1140" w:type="dxa"/>
        <w:tblCellMar>
          <w:top w:w="0" w:type="dxa"/>
          <w:left w:w="0" w:type="dxa"/>
          <w:bottom w:w="0" w:type="dxa"/>
          <w:right w:w="0" w:type="dxa"/>
        </w:tblCellMar>
      </w:tblPr>
      <w:tr>
        <w:trPr>
          <w:trHeight w:val="188"/>
        </w:trPr>
        <w:tc>
          <w:tcPr>
            <w:tcW w:w="6520" w:type="dxa"/>
            <w:vAlign w:val="bottom"/>
          </w:tcPr>
          <w:p>
            <w:pPr>
              <w:spacing w:after="0"/>
              <w:rPr>
                <w:sz w:val="16"/>
                <w:szCs w:val="16"/>
                <w:color w:val="auto"/>
              </w:rPr>
            </w:pPr>
          </w:p>
        </w:tc>
        <w:tc>
          <w:tcPr>
            <w:tcW w:w="10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5"/>
                <w:szCs w:val="15"/>
                <w:b w:val="1"/>
                <w:bCs w:val="1"/>
                <w:color w:val="auto"/>
                <w:w w:val="88"/>
              </w:rPr>
              <w:t>June 30, 2012</w:t>
            </w:r>
          </w:p>
        </w:tc>
        <w:tc>
          <w:tcPr>
            <w:tcW w:w="16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5"/>
                <w:szCs w:val="15"/>
                <w:b w:val="1"/>
                <w:bCs w:val="1"/>
                <w:color w:val="auto"/>
              </w:rPr>
              <w:t>July 2, 2011</w:t>
            </w:r>
          </w:p>
        </w:tc>
        <w:tc>
          <w:tcPr>
            <w:tcW w:w="100" w:type="dxa"/>
            <w:vAlign w:val="bottom"/>
          </w:tcPr>
          <w:p>
            <w:pPr>
              <w:spacing w:after="0"/>
              <w:rPr>
                <w:sz w:val="16"/>
                <w:szCs w:val="16"/>
                <w:color w:val="auto"/>
              </w:rPr>
            </w:pPr>
          </w:p>
        </w:tc>
      </w:tr>
      <w:tr>
        <w:trPr>
          <w:trHeight w:val="181"/>
        </w:trPr>
        <w:tc>
          <w:tcPr>
            <w:tcW w:w="7540" w:type="dxa"/>
            <w:vAlign w:val="bottom"/>
            <w:gridSpan w:val="2"/>
            <w:shd w:val="clear" w:color="auto" w:fill="C0FFFF"/>
          </w:tcPr>
          <w:p>
            <w:pPr>
              <w:spacing w:after="0"/>
              <w:rPr>
                <w:sz w:val="20"/>
                <w:szCs w:val="20"/>
                <w:color w:val="auto"/>
              </w:rPr>
            </w:pPr>
            <w:r>
              <w:rPr>
                <w:rFonts w:ascii="Arial" w:cs="Arial" w:eastAsia="Arial" w:hAnsi="Arial"/>
                <w:sz w:val="15"/>
                <w:szCs w:val="15"/>
                <w:color w:val="auto"/>
              </w:rPr>
              <w:t>Beginning of period</w:t>
            </w:r>
          </w:p>
        </w:tc>
        <w:tc>
          <w:tcPr>
            <w:tcW w:w="160" w:type="dxa"/>
            <w:vAlign w:val="bottom"/>
            <w:shd w:val="clear" w:color="auto" w:fill="C0FFFF"/>
          </w:tcPr>
          <w:p>
            <w:pPr>
              <w:jc w:val="right"/>
              <w:spacing w:after="0"/>
              <w:rPr>
                <w:sz w:val="20"/>
                <w:szCs w:val="20"/>
                <w:color w:val="auto"/>
              </w:rPr>
            </w:pPr>
            <w:r>
              <w:rPr>
                <w:rFonts w:ascii="Arial" w:cs="Arial" w:eastAsia="Arial" w:hAnsi="Arial"/>
                <w:sz w:val="15"/>
                <w:szCs w:val="15"/>
                <w:b w:val="1"/>
                <w:bCs w:val="1"/>
                <w:color w:val="auto"/>
                <w:w w:val="83"/>
              </w:rPr>
              <w:t>79</w:t>
            </w:r>
          </w:p>
        </w:tc>
        <w:tc>
          <w:tcPr>
            <w:tcW w:w="180" w:type="dxa"/>
            <w:vAlign w:val="bottom"/>
            <w:shd w:val="clear" w:color="auto" w:fill="C0FFFF"/>
          </w:tcPr>
          <w:p>
            <w:pPr>
              <w:spacing w:after="0"/>
              <w:rPr>
                <w:sz w:val="15"/>
                <w:szCs w:val="15"/>
                <w:color w:val="auto"/>
              </w:rPr>
            </w:pPr>
          </w:p>
        </w:tc>
        <w:tc>
          <w:tcPr>
            <w:tcW w:w="1280" w:type="dxa"/>
            <w:vAlign w:val="bottom"/>
            <w:gridSpan w:val="2"/>
            <w:shd w:val="clear" w:color="auto" w:fill="C0FFFF"/>
          </w:tcPr>
          <w:p>
            <w:pPr>
              <w:jc w:val="right"/>
              <w:ind w:right="100"/>
              <w:spacing w:after="0"/>
              <w:rPr>
                <w:sz w:val="20"/>
                <w:szCs w:val="20"/>
                <w:color w:val="auto"/>
              </w:rPr>
            </w:pPr>
            <w:r>
              <w:rPr>
                <w:rFonts w:ascii="Arial" w:cs="Arial" w:eastAsia="Arial" w:hAnsi="Arial"/>
                <w:sz w:val="15"/>
                <w:szCs w:val="15"/>
                <w:color w:val="auto"/>
              </w:rPr>
              <w:t>63</w:t>
            </w:r>
          </w:p>
        </w:tc>
      </w:tr>
      <w:tr>
        <w:trPr>
          <w:trHeight w:val="181"/>
        </w:trPr>
        <w:tc>
          <w:tcPr>
            <w:tcW w:w="7540" w:type="dxa"/>
            <w:vAlign w:val="bottom"/>
            <w:gridSpan w:val="2"/>
          </w:tcPr>
          <w:p>
            <w:pPr>
              <w:ind w:left="140"/>
              <w:spacing w:after="0"/>
              <w:rPr>
                <w:sz w:val="20"/>
                <w:szCs w:val="20"/>
                <w:color w:val="auto"/>
              </w:rPr>
            </w:pPr>
            <w:r>
              <w:rPr>
                <w:rFonts w:ascii="Arial" w:cs="Arial" w:eastAsia="Arial" w:hAnsi="Arial"/>
                <w:sz w:val="15"/>
                <w:szCs w:val="15"/>
                <w:color w:val="auto"/>
              </w:rPr>
              <w:t>Opened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6</w:t>
            </w:r>
          </w:p>
        </w:tc>
        <w:tc>
          <w:tcPr>
            <w:tcW w:w="18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10</w:t>
            </w:r>
          </w:p>
        </w:tc>
      </w:tr>
      <w:tr>
        <w:trPr>
          <w:trHeight w:val="181"/>
        </w:trPr>
        <w:tc>
          <w:tcPr>
            <w:tcW w:w="6520" w:type="dxa"/>
            <w:vAlign w:val="bottom"/>
            <w:shd w:val="clear" w:color="auto" w:fill="C0FFFF"/>
          </w:tcPr>
          <w:p>
            <w:pPr>
              <w:ind w:left="140"/>
              <w:spacing w:after="0"/>
              <w:rPr>
                <w:sz w:val="20"/>
                <w:szCs w:val="20"/>
                <w:color w:val="auto"/>
              </w:rPr>
            </w:pPr>
            <w:r>
              <w:rPr>
                <w:rFonts w:ascii="Arial" w:cs="Arial" w:eastAsia="Arial" w:hAnsi="Arial"/>
                <w:sz w:val="15"/>
                <w:szCs w:val="15"/>
                <w:color w:val="auto"/>
              </w:rPr>
              <w:t>Closed</w:t>
            </w:r>
          </w:p>
        </w:tc>
        <w:tc>
          <w:tcPr>
            <w:tcW w:w="1020" w:type="dxa"/>
            <w:vAlign w:val="bottom"/>
            <w:shd w:val="clear" w:color="auto" w:fill="C0FFFF"/>
          </w:tcPr>
          <w:p>
            <w:pPr>
              <w:spacing w:after="0"/>
              <w:rPr>
                <w:sz w:val="15"/>
                <w:szCs w:val="15"/>
                <w:color w:val="auto"/>
              </w:rPr>
            </w:pPr>
          </w:p>
        </w:tc>
        <w:tc>
          <w:tcPr>
            <w:tcW w:w="34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b w:val="1"/>
                <w:bCs w:val="1"/>
                <w:color w:val="auto"/>
              </w:rPr>
              <w:t>(1)</w:t>
            </w:r>
          </w:p>
        </w:tc>
        <w:tc>
          <w:tcPr>
            <w:tcW w:w="1280" w:type="dxa"/>
            <w:vAlign w:val="bottom"/>
            <w:gridSpan w:val="2"/>
            <w:shd w:val="clear" w:color="auto" w:fill="C0FFFF"/>
          </w:tcPr>
          <w:p>
            <w:pPr>
              <w:jc w:val="right"/>
              <w:ind w:right="40"/>
              <w:spacing w:after="0"/>
              <w:rPr>
                <w:sz w:val="20"/>
                <w:szCs w:val="20"/>
                <w:color w:val="auto"/>
              </w:rPr>
            </w:pPr>
            <w:r>
              <w:rPr>
                <w:rFonts w:ascii="Arial" w:cs="Arial" w:eastAsia="Arial" w:hAnsi="Arial"/>
                <w:sz w:val="15"/>
                <w:szCs w:val="15"/>
                <w:color w:val="auto"/>
              </w:rPr>
              <w:t>(3)</w:t>
            </w:r>
          </w:p>
        </w:tc>
      </w:tr>
      <w:tr>
        <w:trPr>
          <w:trHeight w:val="23"/>
        </w:trPr>
        <w:tc>
          <w:tcPr>
            <w:tcW w:w="6520" w:type="dxa"/>
            <w:vAlign w:val="bottom"/>
            <w:shd w:val="clear" w:color="auto" w:fill="C0FF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C0FF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0FFFF"/>
          </w:tcPr>
          <w:p>
            <w:pPr>
              <w:spacing w:after="0" w:line="20" w:lineRule="exact"/>
              <w:rPr>
                <w:sz w:val="1"/>
                <w:szCs w:val="1"/>
                <w:color w:val="auto"/>
              </w:rPr>
            </w:pPr>
          </w:p>
        </w:tc>
      </w:tr>
      <w:tr>
        <w:trPr>
          <w:trHeight w:val="181"/>
        </w:trPr>
        <w:tc>
          <w:tcPr>
            <w:tcW w:w="6520" w:type="dxa"/>
            <w:vAlign w:val="bottom"/>
          </w:tcPr>
          <w:p>
            <w:pPr>
              <w:spacing w:after="0"/>
              <w:rPr>
                <w:sz w:val="20"/>
                <w:szCs w:val="20"/>
                <w:color w:val="auto"/>
              </w:rPr>
            </w:pPr>
            <w:r>
              <w:rPr>
                <w:rFonts w:ascii="Arial" w:cs="Arial" w:eastAsia="Arial" w:hAnsi="Arial"/>
                <w:sz w:val="15"/>
                <w:szCs w:val="15"/>
                <w:color w:val="auto"/>
              </w:rPr>
              <w:t>End of period</w:t>
            </w:r>
          </w:p>
        </w:tc>
        <w:tc>
          <w:tcPr>
            <w:tcW w:w="10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83"/>
              </w:rPr>
              <w:t>84</w:t>
            </w:r>
          </w:p>
        </w:tc>
        <w:tc>
          <w:tcPr>
            <w:tcW w:w="18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70</w:t>
            </w:r>
          </w:p>
        </w:tc>
      </w:tr>
      <w:tr>
        <w:trPr>
          <w:trHeight w:val="20"/>
        </w:trPr>
        <w:tc>
          <w:tcPr>
            <w:tcW w:w="6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right="60" w:firstLine="408"/>
        <w:spacing w:after="0" w:line="260" w:lineRule="auto"/>
        <w:rPr>
          <w:sz w:val="20"/>
          <w:szCs w:val="20"/>
          <w:color w:val="auto"/>
        </w:rPr>
      </w:pPr>
      <w:r>
        <w:rPr>
          <w:rFonts w:ascii="Arial" w:cs="Arial" w:eastAsia="Arial" w:hAnsi="Arial"/>
          <w:sz w:val="15"/>
          <w:szCs w:val="15"/>
          <w:color w:val="auto"/>
        </w:rPr>
        <w:t>As of June 30, 2012, we had master franchise agreements, which typically grant franchise rights for a particular country or countries, covering an aggregate of 16 countries. In the ordinary course of business, we anticipate signing additional master franchise agreements in the future and terminating other such agreements. We expect our current and future franchisees to open ten to twelve stores in fiscal 2012, net of closures. We believe there is a market potential for approximately 300 franchised stores outside of the United States, Canada, Puerto Rico, the United Kingdom and Ireland.</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following table sets forth, for the periods indicated, selected statement of income data expressed as a percentage of total revenues, except where otherwise indicated:</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BUILD-A-BEAR WORKSHOP,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880" w:type="dxa"/>
            <w:vAlign w:val="bottom"/>
          </w:tcPr>
          <w:p>
            <w:pPr>
              <w:spacing w:after="0"/>
              <w:rPr>
                <w:sz w:val="17"/>
                <w:szCs w:val="17"/>
                <w:color w:val="auto"/>
              </w:rPr>
            </w:pPr>
          </w:p>
        </w:tc>
        <w:tc>
          <w:tcPr>
            <w:tcW w:w="2840" w:type="dxa"/>
            <w:vAlign w:val="bottom"/>
            <w:gridSpan w:val="4"/>
          </w:tcPr>
          <w:p>
            <w:pPr>
              <w:jc w:val="right"/>
              <w:ind w:right="860"/>
              <w:spacing w:after="0"/>
              <w:rPr>
                <w:sz w:val="20"/>
                <w:szCs w:val="20"/>
                <w:color w:val="auto"/>
              </w:rPr>
            </w:pPr>
            <w:r>
              <w:rPr>
                <w:rFonts w:ascii="Arial" w:cs="Arial" w:eastAsia="Arial" w:hAnsi="Arial"/>
                <w:sz w:val="15"/>
                <w:szCs w:val="15"/>
                <w:b w:val="1"/>
                <w:bCs w:val="1"/>
                <w:color w:val="auto"/>
              </w:rPr>
              <w:t>Thirteen weeks ended</w:t>
            </w:r>
          </w:p>
        </w:tc>
        <w:tc>
          <w:tcPr>
            <w:tcW w:w="2720" w:type="dxa"/>
            <w:vAlign w:val="bottom"/>
            <w:gridSpan w:val="4"/>
          </w:tcPr>
          <w:p>
            <w:pPr>
              <w:jc w:val="right"/>
              <w:ind w:right="680"/>
              <w:spacing w:after="0"/>
              <w:rPr>
                <w:sz w:val="20"/>
                <w:szCs w:val="20"/>
                <w:color w:val="auto"/>
              </w:rPr>
            </w:pPr>
            <w:r>
              <w:rPr>
                <w:rFonts w:ascii="Arial" w:cs="Arial" w:eastAsia="Arial" w:hAnsi="Arial"/>
                <w:sz w:val="15"/>
                <w:szCs w:val="15"/>
                <w:b w:val="1"/>
                <w:bCs w:val="1"/>
                <w:color w:val="auto"/>
              </w:rPr>
              <w:t>Twenty-six weeks ended</w:t>
            </w:r>
          </w:p>
        </w:tc>
      </w:tr>
      <w:tr>
        <w:trPr>
          <w:trHeight w:val="167"/>
        </w:trPr>
        <w:tc>
          <w:tcPr>
            <w:tcW w:w="5880" w:type="dxa"/>
            <w:vAlign w:val="bottom"/>
          </w:tcPr>
          <w:p>
            <w:pPr>
              <w:spacing w:after="0"/>
              <w:rPr>
                <w:sz w:val="14"/>
                <w:szCs w:val="14"/>
                <w:color w:val="auto"/>
              </w:rPr>
            </w:pPr>
          </w:p>
        </w:tc>
        <w:tc>
          <w:tcPr>
            <w:tcW w:w="1420" w:type="dxa"/>
            <w:vAlign w:val="bottom"/>
            <w:tcBorders>
              <w:top w:val="single" w:sz="8" w:color="auto"/>
            </w:tcBorders>
            <w:gridSpan w:val="2"/>
          </w:tcPr>
          <w:p>
            <w:pPr>
              <w:jc w:val="center"/>
              <w:ind w:right="280"/>
              <w:spacing w:after="0" w:line="167" w:lineRule="exact"/>
              <w:rPr>
                <w:sz w:val="20"/>
                <w:szCs w:val="20"/>
                <w:color w:val="auto"/>
              </w:rPr>
            </w:pPr>
            <w:r>
              <w:rPr>
                <w:rFonts w:ascii="Arial" w:cs="Arial" w:eastAsia="Arial" w:hAnsi="Arial"/>
                <w:sz w:val="15"/>
                <w:szCs w:val="15"/>
                <w:b w:val="1"/>
                <w:bCs w:val="1"/>
                <w:color w:val="auto"/>
                <w:w w:val="89"/>
              </w:rPr>
              <w:t>June 30,</w:t>
            </w:r>
          </w:p>
        </w:tc>
        <w:tc>
          <w:tcPr>
            <w:tcW w:w="1120" w:type="dxa"/>
            <w:vAlign w:val="bottom"/>
            <w:tcBorders>
              <w:top w:val="single" w:sz="8" w:color="auto"/>
            </w:tcBorders>
          </w:tcPr>
          <w:p>
            <w:pPr>
              <w:jc w:val="right"/>
              <w:ind w:right="264"/>
              <w:spacing w:after="0" w:line="167" w:lineRule="exact"/>
              <w:rPr>
                <w:sz w:val="20"/>
                <w:szCs w:val="20"/>
                <w:color w:val="auto"/>
              </w:rPr>
            </w:pPr>
            <w:r>
              <w:rPr>
                <w:rFonts w:ascii="Arial" w:cs="Arial" w:eastAsia="Arial" w:hAnsi="Arial"/>
                <w:sz w:val="15"/>
                <w:szCs w:val="15"/>
                <w:b w:val="1"/>
                <w:bCs w:val="1"/>
                <w:color w:val="auto"/>
              </w:rPr>
              <w:t>July 2,</w:t>
            </w:r>
          </w:p>
        </w:tc>
        <w:tc>
          <w:tcPr>
            <w:tcW w:w="300" w:type="dxa"/>
            <w:vAlign w:val="bottom"/>
          </w:tcPr>
          <w:p>
            <w:pPr>
              <w:spacing w:after="0"/>
              <w:rPr>
                <w:sz w:val="14"/>
                <w:szCs w:val="14"/>
                <w:color w:val="auto"/>
              </w:rPr>
            </w:pPr>
          </w:p>
        </w:tc>
        <w:tc>
          <w:tcPr>
            <w:tcW w:w="1420" w:type="dxa"/>
            <w:vAlign w:val="bottom"/>
            <w:tcBorders>
              <w:top w:val="single" w:sz="8" w:color="auto"/>
            </w:tcBorders>
            <w:gridSpan w:val="2"/>
          </w:tcPr>
          <w:p>
            <w:pPr>
              <w:jc w:val="right"/>
              <w:ind w:right="600"/>
              <w:spacing w:after="0" w:line="167" w:lineRule="exact"/>
              <w:rPr>
                <w:sz w:val="20"/>
                <w:szCs w:val="20"/>
                <w:color w:val="auto"/>
              </w:rPr>
            </w:pPr>
            <w:r>
              <w:rPr>
                <w:rFonts w:ascii="Arial" w:cs="Arial" w:eastAsia="Arial" w:hAnsi="Arial"/>
                <w:sz w:val="15"/>
                <w:szCs w:val="15"/>
                <w:b w:val="1"/>
                <w:bCs w:val="1"/>
                <w:color w:val="auto"/>
              </w:rPr>
              <w:t>June 30,</w:t>
            </w:r>
          </w:p>
        </w:tc>
        <w:tc>
          <w:tcPr>
            <w:tcW w:w="1120" w:type="dxa"/>
            <w:vAlign w:val="bottom"/>
            <w:tcBorders>
              <w:top w:val="single" w:sz="8" w:color="auto"/>
            </w:tcBorders>
          </w:tcPr>
          <w:p>
            <w:pPr>
              <w:jc w:val="right"/>
              <w:ind w:right="284"/>
              <w:spacing w:after="0" w:line="167" w:lineRule="exact"/>
              <w:rPr>
                <w:sz w:val="20"/>
                <w:szCs w:val="20"/>
                <w:color w:val="auto"/>
              </w:rPr>
            </w:pPr>
            <w:r>
              <w:rPr>
                <w:rFonts w:ascii="Arial" w:cs="Arial" w:eastAsia="Arial" w:hAnsi="Arial"/>
                <w:sz w:val="15"/>
                <w:szCs w:val="15"/>
                <w:b w:val="1"/>
                <w:bCs w:val="1"/>
                <w:color w:val="auto"/>
              </w:rPr>
              <w:t>July 2,</w:t>
            </w:r>
          </w:p>
        </w:tc>
        <w:tc>
          <w:tcPr>
            <w:tcW w:w="180" w:type="dxa"/>
            <w:vAlign w:val="bottom"/>
          </w:tcPr>
          <w:p>
            <w:pPr>
              <w:spacing w:after="0"/>
              <w:rPr>
                <w:sz w:val="14"/>
                <w:szCs w:val="14"/>
                <w:color w:val="auto"/>
              </w:rPr>
            </w:pPr>
          </w:p>
        </w:tc>
      </w:tr>
      <w:tr>
        <w:trPr>
          <w:trHeight w:val="199"/>
        </w:trPr>
        <w:tc>
          <w:tcPr>
            <w:tcW w:w="5880" w:type="dxa"/>
            <w:vAlign w:val="bottom"/>
          </w:tcPr>
          <w:p>
            <w:pPr>
              <w:spacing w:after="0"/>
              <w:rPr>
                <w:sz w:val="17"/>
                <w:szCs w:val="17"/>
                <w:color w:val="auto"/>
              </w:rPr>
            </w:pPr>
          </w:p>
        </w:tc>
        <w:tc>
          <w:tcPr>
            <w:tcW w:w="1120" w:type="dxa"/>
            <w:vAlign w:val="bottom"/>
            <w:tcBorders>
              <w:bottom w:val="single" w:sz="8" w:color="auto"/>
            </w:tcBorders>
          </w:tcPr>
          <w:p>
            <w:pPr>
              <w:jc w:val="right"/>
              <w:ind w:right="324"/>
              <w:spacing w:after="0"/>
              <w:rPr>
                <w:sz w:val="20"/>
                <w:szCs w:val="20"/>
                <w:color w:val="auto"/>
              </w:rPr>
            </w:pPr>
            <w:r>
              <w:rPr>
                <w:rFonts w:ascii="Arial" w:cs="Arial" w:eastAsia="Arial" w:hAnsi="Arial"/>
                <w:sz w:val="15"/>
                <w:szCs w:val="15"/>
                <w:b w:val="1"/>
                <w:bCs w:val="1"/>
                <w:color w:val="auto"/>
              </w:rPr>
              <w:t>2012</w:t>
            </w:r>
          </w:p>
        </w:tc>
        <w:tc>
          <w:tcPr>
            <w:tcW w:w="300" w:type="dxa"/>
            <w:vAlign w:val="bottom"/>
          </w:tcPr>
          <w:p>
            <w:pPr>
              <w:spacing w:after="0"/>
              <w:rPr>
                <w:sz w:val="17"/>
                <w:szCs w:val="17"/>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2011</w:t>
            </w:r>
          </w:p>
        </w:tc>
        <w:tc>
          <w:tcPr>
            <w:tcW w:w="300" w:type="dxa"/>
            <w:vAlign w:val="bottom"/>
          </w:tcPr>
          <w:p>
            <w:pPr>
              <w:spacing w:after="0"/>
              <w:rPr>
                <w:sz w:val="17"/>
                <w:szCs w:val="17"/>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2012</w:t>
            </w:r>
          </w:p>
        </w:tc>
        <w:tc>
          <w:tcPr>
            <w:tcW w:w="300" w:type="dxa"/>
            <w:vAlign w:val="bottom"/>
          </w:tcPr>
          <w:p>
            <w:pPr>
              <w:spacing w:after="0"/>
              <w:rPr>
                <w:sz w:val="17"/>
                <w:szCs w:val="17"/>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2011</w:t>
            </w:r>
          </w:p>
        </w:tc>
        <w:tc>
          <w:tcPr>
            <w:tcW w:w="180" w:type="dxa"/>
            <w:vAlign w:val="bottom"/>
          </w:tcPr>
          <w:p>
            <w:pPr>
              <w:spacing w:after="0"/>
              <w:rPr>
                <w:sz w:val="17"/>
                <w:szCs w:val="17"/>
                <w:color w:val="auto"/>
              </w:rPr>
            </w:pPr>
          </w:p>
        </w:tc>
      </w:tr>
      <w:tr>
        <w:trPr>
          <w:trHeight w:val="181"/>
        </w:trPr>
        <w:tc>
          <w:tcPr>
            <w:tcW w:w="5880" w:type="dxa"/>
            <w:vAlign w:val="bottom"/>
            <w:shd w:val="clear" w:color="auto" w:fill="C0FFFF"/>
          </w:tcPr>
          <w:p>
            <w:pPr>
              <w:ind w:left="20"/>
              <w:spacing w:after="0"/>
              <w:rPr>
                <w:sz w:val="20"/>
                <w:szCs w:val="20"/>
                <w:color w:val="auto"/>
              </w:rPr>
            </w:pPr>
            <w:r>
              <w:rPr>
                <w:rFonts w:ascii="Arial" w:cs="Arial" w:eastAsia="Arial" w:hAnsi="Arial"/>
                <w:sz w:val="15"/>
                <w:szCs w:val="15"/>
                <w:color w:val="auto"/>
              </w:rPr>
              <w:t>Revenues:</w:t>
            </w:r>
          </w:p>
        </w:tc>
        <w:tc>
          <w:tcPr>
            <w:tcW w:w="1120" w:type="dxa"/>
            <w:vAlign w:val="bottom"/>
            <w:shd w:val="clear" w:color="auto" w:fill="C0FFFF"/>
          </w:tcPr>
          <w:p>
            <w:pPr>
              <w:spacing w:after="0"/>
              <w:rPr>
                <w:sz w:val="15"/>
                <w:szCs w:val="15"/>
                <w:color w:val="auto"/>
              </w:rPr>
            </w:pPr>
          </w:p>
        </w:tc>
        <w:tc>
          <w:tcPr>
            <w:tcW w:w="30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30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30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r>
      <w:tr>
        <w:trPr>
          <w:trHeight w:val="181"/>
        </w:trPr>
        <w:tc>
          <w:tcPr>
            <w:tcW w:w="5880" w:type="dxa"/>
            <w:vAlign w:val="bottom"/>
          </w:tcPr>
          <w:p>
            <w:pPr>
              <w:ind w:left="380"/>
              <w:spacing w:after="0"/>
              <w:rPr>
                <w:sz w:val="20"/>
                <w:szCs w:val="20"/>
                <w:color w:val="auto"/>
              </w:rPr>
            </w:pPr>
            <w:r>
              <w:rPr>
                <w:rFonts w:ascii="Arial" w:cs="Arial" w:eastAsia="Arial" w:hAnsi="Arial"/>
                <w:sz w:val="15"/>
                <w:szCs w:val="15"/>
                <w:color w:val="auto"/>
              </w:rPr>
              <w:t>Net retail sales</w:t>
            </w: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98.2%</w:t>
            </w: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98.2%</w:t>
            </w: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98.5%</w:t>
            </w: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98.2%</w:t>
            </w:r>
          </w:p>
        </w:tc>
      </w:tr>
      <w:tr>
        <w:trPr>
          <w:trHeight w:val="181"/>
        </w:trPr>
        <w:tc>
          <w:tcPr>
            <w:tcW w:w="5880" w:type="dxa"/>
            <w:vAlign w:val="bottom"/>
            <w:shd w:val="clear" w:color="auto" w:fill="C0FFFF"/>
          </w:tcPr>
          <w:p>
            <w:pPr>
              <w:ind w:left="380"/>
              <w:spacing w:after="0"/>
              <w:rPr>
                <w:sz w:val="20"/>
                <w:szCs w:val="20"/>
                <w:color w:val="auto"/>
              </w:rPr>
            </w:pPr>
            <w:r>
              <w:rPr>
                <w:rFonts w:ascii="Arial" w:cs="Arial" w:eastAsia="Arial" w:hAnsi="Arial"/>
                <w:sz w:val="15"/>
                <w:szCs w:val="15"/>
                <w:color w:val="auto"/>
              </w:rPr>
              <w:t>Commercial revenue</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0.9</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0.9</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0.6</w:t>
            </w:r>
          </w:p>
        </w:tc>
        <w:tc>
          <w:tcPr>
            <w:tcW w:w="130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1.0</w:t>
            </w:r>
          </w:p>
        </w:tc>
      </w:tr>
      <w:tr>
        <w:trPr>
          <w:trHeight w:val="181"/>
        </w:trPr>
        <w:tc>
          <w:tcPr>
            <w:tcW w:w="5880" w:type="dxa"/>
            <w:vAlign w:val="bottom"/>
          </w:tcPr>
          <w:p>
            <w:pPr>
              <w:ind w:left="380"/>
              <w:spacing w:after="0"/>
              <w:rPr>
                <w:sz w:val="20"/>
                <w:szCs w:val="20"/>
                <w:color w:val="auto"/>
              </w:rPr>
            </w:pPr>
            <w:r>
              <w:rPr>
                <w:rFonts w:ascii="Arial" w:cs="Arial" w:eastAsia="Arial" w:hAnsi="Arial"/>
                <w:sz w:val="15"/>
                <w:szCs w:val="15"/>
                <w:color w:val="auto"/>
              </w:rPr>
              <w:t>Franchise fees</w:t>
            </w: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0.9</w:t>
            </w: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0.9</w:t>
            </w: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0.9</w:t>
            </w: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0.8</w:t>
            </w:r>
          </w:p>
        </w:tc>
      </w:tr>
      <w:tr>
        <w:trPr>
          <w:trHeight w:val="23"/>
        </w:trPr>
        <w:tc>
          <w:tcPr>
            <w:tcW w:w="5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4"/>
        </w:trPr>
        <w:tc>
          <w:tcPr>
            <w:tcW w:w="5880" w:type="dxa"/>
            <w:vAlign w:val="bottom"/>
            <w:shd w:val="clear" w:color="auto" w:fill="C0FFFF"/>
          </w:tcPr>
          <w:p>
            <w:pPr>
              <w:ind w:left="720"/>
              <w:spacing w:after="0"/>
              <w:rPr>
                <w:sz w:val="20"/>
                <w:szCs w:val="20"/>
                <w:color w:val="auto"/>
              </w:rPr>
            </w:pPr>
            <w:r>
              <w:rPr>
                <w:rFonts w:ascii="Arial" w:cs="Arial" w:eastAsia="Arial" w:hAnsi="Arial"/>
                <w:sz w:val="15"/>
                <w:szCs w:val="15"/>
                <w:color w:val="auto"/>
              </w:rPr>
              <w:t>Total revenues</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100.0</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100.0</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100.0</w:t>
            </w:r>
          </w:p>
        </w:tc>
        <w:tc>
          <w:tcPr>
            <w:tcW w:w="130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100.0</w:t>
            </w:r>
          </w:p>
        </w:tc>
      </w:tr>
      <w:tr>
        <w:trPr>
          <w:trHeight w:val="181"/>
        </w:trPr>
        <w:tc>
          <w:tcPr>
            <w:tcW w:w="5880" w:type="dxa"/>
            <w:vAlign w:val="bottom"/>
            <w:tcBorders>
              <w:top w:val="single" w:sz="8" w:color="C0FF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00" w:type="dxa"/>
            <w:vAlign w:val="bottom"/>
            <w:tcBorders>
              <w:top w:val="single" w:sz="8" w:color="C0FF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00" w:type="dxa"/>
            <w:vAlign w:val="bottom"/>
            <w:tcBorders>
              <w:top w:val="single" w:sz="8" w:color="C0FF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00" w:type="dxa"/>
            <w:vAlign w:val="bottom"/>
            <w:tcBorders>
              <w:top w:val="single" w:sz="8" w:color="C0FF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80" w:type="dxa"/>
            <w:vAlign w:val="bottom"/>
            <w:tcBorders>
              <w:top w:val="single" w:sz="8" w:color="C0FFFF"/>
            </w:tcBorders>
          </w:tcPr>
          <w:p>
            <w:pPr>
              <w:spacing w:after="0"/>
              <w:rPr>
                <w:sz w:val="15"/>
                <w:szCs w:val="15"/>
                <w:color w:val="auto"/>
              </w:rPr>
            </w:pPr>
          </w:p>
        </w:tc>
      </w:tr>
      <w:tr>
        <w:trPr>
          <w:trHeight w:val="181"/>
        </w:trPr>
        <w:tc>
          <w:tcPr>
            <w:tcW w:w="5880" w:type="dxa"/>
            <w:vAlign w:val="bottom"/>
            <w:shd w:val="clear" w:color="auto" w:fill="C0FFFF"/>
          </w:tcPr>
          <w:p>
            <w:pPr>
              <w:ind w:left="20"/>
              <w:spacing w:after="0"/>
              <w:rPr>
                <w:sz w:val="20"/>
                <w:szCs w:val="20"/>
                <w:color w:val="auto"/>
              </w:rPr>
            </w:pPr>
            <w:r>
              <w:rPr>
                <w:rFonts w:ascii="Arial" w:cs="Arial" w:eastAsia="Arial" w:hAnsi="Arial"/>
                <w:sz w:val="15"/>
                <w:szCs w:val="15"/>
                <w:color w:val="auto"/>
              </w:rPr>
              <w:t>Costs and expenses:</w:t>
            </w:r>
          </w:p>
        </w:tc>
        <w:tc>
          <w:tcPr>
            <w:tcW w:w="1120" w:type="dxa"/>
            <w:vAlign w:val="bottom"/>
            <w:shd w:val="clear" w:color="auto" w:fill="C0FFFF"/>
          </w:tcPr>
          <w:p>
            <w:pPr>
              <w:spacing w:after="0"/>
              <w:rPr>
                <w:sz w:val="15"/>
                <w:szCs w:val="15"/>
                <w:color w:val="auto"/>
              </w:rPr>
            </w:pPr>
          </w:p>
        </w:tc>
        <w:tc>
          <w:tcPr>
            <w:tcW w:w="30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30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30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r>
      <w:tr>
        <w:trPr>
          <w:trHeight w:val="181"/>
        </w:trPr>
        <w:tc>
          <w:tcPr>
            <w:tcW w:w="5880" w:type="dxa"/>
            <w:vAlign w:val="bottom"/>
          </w:tcPr>
          <w:p>
            <w:pPr>
              <w:ind w:left="380"/>
              <w:spacing w:after="0" w:line="182" w:lineRule="exact"/>
              <w:rPr>
                <w:sz w:val="20"/>
                <w:szCs w:val="20"/>
                <w:color w:val="auto"/>
              </w:rPr>
            </w:pPr>
            <w:r>
              <w:rPr>
                <w:rFonts w:ascii="Arial" w:cs="Arial" w:eastAsia="Arial" w:hAnsi="Arial"/>
                <w:sz w:val="15"/>
                <w:szCs w:val="15"/>
                <w:color w:val="auto"/>
              </w:rPr>
              <w:t xml:space="preserve">Cost of merchandise sold </w:t>
            </w:r>
            <w:r>
              <w:rPr>
                <w:rFonts w:ascii="Arial" w:cs="Arial" w:eastAsia="Arial" w:hAnsi="Arial"/>
                <w:sz w:val="21"/>
                <w:szCs w:val="21"/>
                <w:color w:val="auto"/>
                <w:vertAlign w:val="superscript"/>
              </w:rPr>
              <w:t>(1)</w:t>
            </w: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64.9</w:t>
            </w: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64.0</w:t>
            </w:r>
          </w:p>
        </w:tc>
        <w:tc>
          <w:tcPr>
            <w:tcW w:w="1420" w:type="dxa"/>
            <w:vAlign w:val="bottom"/>
            <w:gridSpan w:val="2"/>
          </w:tcPr>
          <w:p>
            <w:pPr>
              <w:jc w:val="right"/>
              <w:ind w:right="300"/>
              <w:spacing w:after="0"/>
              <w:rPr>
                <w:sz w:val="20"/>
                <w:szCs w:val="20"/>
                <w:color w:val="auto"/>
              </w:rPr>
            </w:pPr>
            <w:r>
              <w:rPr>
                <w:rFonts w:ascii="Arial" w:cs="Arial" w:eastAsia="Arial" w:hAnsi="Arial"/>
                <w:sz w:val="15"/>
                <w:szCs w:val="15"/>
                <w:color w:val="auto"/>
              </w:rPr>
              <w:t>62.3</w:t>
            </w:r>
          </w:p>
        </w:tc>
        <w:tc>
          <w:tcPr>
            <w:tcW w:w="1300" w:type="dxa"/>
            <w:vAlign w:val="bottom"/>
            <w:gridSpan w:val="2"/>
          </w:tcPr>
          <w:p>
            <w:pPr>
              <w:jc w:val="right"/>
              <w:ind w:right="180"/>
              <w:spacing w:after="0"/>
              <w:rPr>
                <w:sz w:val="20"/>
                <w:szCs w:val="20"/>
                <w:color w:val="auto"/>
              </w:rPr>
            </w:pPr>
            <w:r>
              <w:rPr>
                <w:rFonts w:ascii="Arial" w:cs="Arial" w:eastAsia="Arial" w:hAnsi="Arial"/>
                <w:sz w:val="15"/>
                <w:szCs w:val="15"/>
                <w:color w:val="auto"/>
              </w:rPr>
              <w:t>62.4</w:t>
            </w:r>
          </w:p>
        </w:tc>
      </w:tr>
      <w:tr>
        <w:trPr>
          <w:trHeight w:val="181"/>
        </w:trPr>
        <w:tc>
          <w:tcPr>
            <w:tcW w:w="5880" w:type="dxa"/>
            <w:vAlign w:val="bottom"/>
            <w:shd w:val="clear" w:color="auto" w:fill="C0FFFF"/>
          </w:tcPr>
          <w:p>
            <w:pPr>
              <w:ind w:left="380"/>
              <w:spacing w:after="0"/>
              <w:rPr>
                <w:sz w:val="20"/>
                <w:szCs w:val="20"/>
                <w:color w:val="auto"/>
              </w:rPr>
            </w:pPr>
            <w:r>
              <w:rPr>
                <w:rFonts w:ascii="Arial" w:cs="Arial" w:eastAsia="Arial" w:hAnsi="Arial"/>
                <w:sz w:val="15"/>
                <w:szCs w:val="15"/>
                <w:color w:val="auto"/>
              </w:rPr>
              <w:t>Selling, general and administrative</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46.1</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49.7</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43.7</w:t>
            </w:r>
          </w:p>
        </w:tc>
        <w:tc>
          <w:tcPr>
            <w:tcW w:w="130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46.1</w:t>
            </w:r>
          </w:p>
        </w:tc>
      </w:tr>
      <w:tr>
        <w:trPr>
          <w:trHeight w:val="181"/>
        </w:trPr>
        <w:tc>
          <w:tcPr>
            <w:tcW w:w="5880" w:type="dxa"/>
            <w:vAlign w:val="bottom"/>
          </w:tcPr>
          <w:p>
            <w:pPr>
              <w:ind w:left="380"/>
              <w:spacing w:after="0"/>
              <w:rPr>
                <w:sz w:val="20"/>
                <w:szCs w:val="20"/>
                <w:color w:val="auto"/>
              </w:rPr>
            </w:pPr>
            <w:r>
              <w:rPr>
                <w:rFonts w:ascii="Arial" w:cs="Arial" w:eastAsia="Arial" w:hAnsi="Arial"/>
                <w:sz w:val="15"/>
                <w:szCs w:val="15"/>
                <w:color w:val="auto"/>
              </w:rPr>
              <w:t>Interest expense (income), net</w:t>
            </w:r>
          </w:p>
        </w:tc>
        <w:tc>
          <w:tcPr>
            <w:tcW w:w="1420" w:type="dxa"/>
            <w:vAlign w:val="bottom"/>
            <w:gridSpan w:val="2"/>
          </w:tcPr>
          <w:p>
            <w:pPr>
              <w:jc w:val="right"/>
              <w:ind w:right="240"/>
              <w:spacing w:after="0"/>
              <w:rPr>
                <w:sz w:val="20"/>
                <w:szCs w:val="20"/>
                <w:color w:val="auto"/>
              </w:rPr>
            </w:pPr>
            <w:r>
              <w:rPr>
                <w:rFonts w:ascii="Arial" w:cs="Arial" w:eastAsia="Arial" w:hAnsi="Arial"/>
                <w:sz w:val="15"/>
                <w:szCs w:val="15"/>
                <w:color w:val="auto"/>
              </w:rPr>
              <w:t>(0.1)</w:t>
            </w:r>
          </w:p>
        </w:tc>
        <w:tc>
          <w:tcPr>
            <w:tcW w:w="1420" w:type="dxa"/>
            <w:vAlign w:val="bottom"/>
            <w:gridSpan w:val="2"/>
          </w:tcPr>
          <w:p>
            <w:pPr>
              <w:jc w:val="right"/>
              <w:ind w:right="240"/>
              <w:spacing w:after="0"/>
              <w:rPr>
                <w:sz w:val="20"/>
                <w:szCs w:val="20"/>
                <w:color w:val="auto"/>
              </w:rPr>
            </w:pPr>
            <w:r>
              <w:rPr>
                <w:rFonts w:ascii="Arial" w:cs="Arial" w:eastAsia="Arial" w:hAnsi="Arial"/>
                <w:sz w:val="15"/>
                <w:szCs w:val="15"/>
                <w:color w:val="auto"/>
              </w:rPr>
              <w:t>(0.1)</w:t>
            </w:r>
          </w:p>
        </w:tc>
        <w:tc>
          <w:tcPr>
            <w:tcW w:w="1420" w:type="dxa"/>
            <w:vAlign w:val="bottom"/>
            <w:gridSpan w:val="2"/>
          </w:tcPr>
          <w:p>
            <w:pPr>
              <w:jc w:val="right"/>
              <w:ind w:right="260"/>
              <w:spacing w:after="0"/>
              <w:rPr>
                <w:sz w:val="20"/>
                <w:szCs w:val="20"/>
                <w:color w:val="auto"/>
              </w:rPr>
            </w:pPr>
            <w:r>
              <w:rPr>
                <w:rFonts w:ascii="Arial" w:cs="Arial" w:eastAsia="Arial" w:hAnsi="Arial"/>
                <w:sz w:val="15"/>
                <w:szCs w:val="15"/>
                <w:color w:val="auto"/>
              </w:rPr>
              <w:t>(0.1)</w:t>
            </w: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(0.0)</w:t>
            </w:r>
          </w:p>
        </w:tc>
      </w:tr>
      <w:tr>
        <w:trPr>
          <w:trHeight w:val="23"/>
        </w:trPr>
        <w:tc>
          <w:tcPr>
            <w:tcW w:w="5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4"/>
        </w:trPr>
        <w:tc>
          <w:tcPr>
            <w:tcW w:w="5880" w:type="dxa"/>
            <w:vAlign w:val="bottom"/>
            <w:shd w:val="clear" w:color="auto" w:fill="C0FFFF"/>
          </w:tcPr>
          <w:p>
            <w:pPr>
              <w:ind w:left="720"/>
              <w:spacing w:after="0"/>
              <w:rPr>
                <w:sz w:val="20"/>
                <w:szCs w:val="20"/>
                <w:color w:val="auto"/>
              </w:rPr>
            </w:pPr>
            <w:r>
              <w:rPr>
                <w:rFonts w:ascii="Arial" w:cs="Arial" w:eastAsia="Arial" w:hAnsi="Arial"/>
                <w:sz w:val="15"/>
                <w:szCs w:val="15"/>
                <w:color w:val="auto"/>
              </w:rPr>
              <w:t>Total costs and expenses</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110.3</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113.0</w:t>
            </w:r>
          </w:p>
        </w:tc>
        <w:tc>
          <w:tcPr>
            <w:tcW w:w="1420" w:type="dxa"/>
            <w:vAlign w:val="bottom"/>
            <w:gridSpan w:val="2"/>
            <w:shd w:val="clear" w:color="auto" w:fill="C0FFFF"/>
          </w:tcPr>
          <w:p>
            <w:pPr>
              <w:jc w:val="right"/>
              <w:ind w:right="300"/>
              <w:spacing w:after="0"/>
              <w:rPr>
                <w:sz w:val="20"/>
                <w:szCs w:val="20"/>
                <w:color w:val="auto"/>
              </w:rPr>
            </w:pPr>
            <w:r>
              <w:rPr>
                <w:rFonts w:ascii="Arial" w:cs="Arial" w:eastAsia="Arial" w:hAnsi="Arial"/>
                <w:sz w:val="15"/>
                <w:szCs w:val="15"/>
                <w:color w:val="auto"/>
              </w:rPr>
              <w:t>105.3</w:t>
            </w:r>
          </w:p>
        </w:tc>
        <w:tc>
          <w:tcPr>
            <w:tcW w:w="1300" w:type="dxa"/>
            <w:vAlign w:val="bottom"/>
            <w:gridSpan w:val="2"/>
            <w:shd w:val="clear" w:color="auto" w:fill="C0FFFF"/>
          </w:tcPr>
          <w:p>
            <w:pPr>
              <w:jc w:val="right"/>
              <w:ind w:right="180"/>
              <w:spacing w:after="0"/>
              <w:rPr>
                <w:sz w:val="20"/>
                <w:szCs w:val="20"/>
                <w:color w:val="auto"/>
              </w:rPr>
            </w:pPr>
            <w:r>
              <w:rPr>
                <w:rFonts w:ascii="Arial" w:cs="Arial" w:eastAsia="Arial" w:hAnsi="Arial"/>
                <w:sz w:val="15"/>
                <w:szCs w:val="15"/>
                <w:color w:val="auto"/>
              </w:rPr>
              <w:t>108.0</w:t>
            </w:r>
          </w:p>
        </w:tc>
      </w:tr>
      <w:tr>
        <w:trPr>
          <w:trHeight w:val="181"/>
        </w:trPr>
        <w:tc>
          <w:tcPr>
            <w:tcW w:w="5880" w:type="dxa"/>
            <w:vAlign w:val="bottom"/>
            <w:tcBorders>
              <w:top w:val="single" w:sz="8" w:color="C0FF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00" w:type="dxa"/>
            <w:vAlign w:val="bottom"/>
            <w:tcBorders>
              <w:top w:val="single" w:sz="8" w:color="C0FF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00" w:type="dxa"/>
            <w:vAlign w:val="bottom"/>
            <w:tcBorders>
              <w:top w:val="single" w:sz="8" w:color="C0FF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00" w:type="dxa"/>
            <w:vAlign w:val="bottom"/>
            <w:tcBorders>
              <w:top w:val="single" w:sz="8" w:color="C0FF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80" w:type="dxa"/>
            <w:vAlign w:val="bottom"/>
            <w:tcBorders>
              <w:top w:val="single" w:sz="8" w:color="C0FFFF"/>
            </w:tcBorders>
          </w:tcPr>
          <w:p>
            <w:pPr>
              <w:spacing w:after="0"/>
              <w:rPr>
                <w:sz w:val="15"/>
                <w:szCs w:val="15"/>
                <w:color w:val="auto"/>
              </w:rPr>
            </w:pPr>
          </w:p>
        </w:tc>
      </w:tr>
      <w:tr>
        <w:trPr>
          <w:trHeight w:val="181"/>
        </w:trPr>
        <w:tc>
          <w:tcPr>
            <w:tcW w:w="5880" w:type="dxa"/>
            <w:vAlign w:val="bottom"/>
            <w:shd w:val="clear" w:color="auto" w:fill="C0FFFF"/>
          </w:tcPr>
          <w:p>
            <w:pPr>
              <w:ind w:left="720"/>
              <w:spacing w:after="0"/>
              <w:rPr>
                <w:sz w:val="20"/>
                <w:szCs w:val="20"/>
                <w:color w:val="auto"/>
              </w:rPr>
            </w:pPr>
            <w:r>
              <w:rPr>
                <w:rFonts w:ascii="Arial" w:cs="Arial" w:eastAsia="Arial" w:hAnsi="Arial"/>
                <w:sz w:val="15"/>
                <w:szCs w:val="15"/>
                <w:color w:val="auto"/>
              </w:rPr>
              <w:t>Income (loss) before income taxes</w:t>
            </w:r>
          </w:p>
        </w:tc>
        <w:tc>
          <w:tcPr>
            <w:tcW w:w="142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(10.3)</w:t>
            </w:r>
          </w:p>
        </w:tc>
        <w:tc>
          <w:tcPr>
            <w:tcW w:w="142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(13.0)</w:t>
            </w:r>
          </w:p>
        </w:tc>
        <w:tc>
          <w:tcPr>
            <w:tcW w:w="1420" w:type="dxa"/>
            <w:vAlign w:val="bottom"/>
            <w:gridSpan w:val="2"/>
            <w:shd w:val="clear" w:color="auto" w:fill="C0FFFF"/>
          </w:tcPr>
          <w:p>
            <w:pPr>
              <w:jc w:val="right"/>
              <w:ind w:right="260"/>
              <w:spacing w:after="0"/>
              <w:rPr>
                <w:sz w:val="20"/>
                <w:szCs w:val="20"/>
                <w:color w:val="auto"/>
              </w:rPr>
            </w:pPr>
            <w:r>
              <w:rPr>
                <w:rFonts w:ascii="Arial" w:cs="Arial" w:eastAsia="Arial" w:hAnsi="Arial"/>
                <w:sz w:val="15"/>
                <w:szCs w:val="15"/>
                <w:color w:val="auto"/>
              </w:rPr>
              <w:t>(5.3)</w:t>
            </w:r>
          </w:p>
        </w:tc>
        <w:tc>
          <w:tcPr>
            <w:tcW w:w="1300" w:type="dxa"/>
            <w:vAlign w:val="bottom"/>
            <w:gridSpan w:val="2"/>
            <w:shd w:val="clear" w:color="auto" w:fill="C0FFFF"/>
          </w:tcPr>
          <w:p>
            <w:pPr>
              <w:jc w:val="right"/>
              <w:ind w:right="140"/>
              <w:spacing w:after="0"/>
              <w:rPr>
                <w:sz w:val="20"/>
                <w:szCs w:val="20"/>
                <w:color w:val="auto"/>
              </w:rPr>
            </w:pPr>
            <w:r>
              <w:rPr>
                <w:rFonts w:ascii="Arial" w:cs="Arial" w:eastAsia="Arial" w:hAnsi="Arial"/>
                <w:sz w:val="15"/>
                <w:szCs w:val="15"/>
                <w:color w:val="auto"/>
              </w:rPr>
              <w:t>(8.0)</w:t>
            </w:r>
          </w:p>
        </w:tc>
      </w:tr>
      <w:tr>
        <w:trPr>
          <w:trHeight w:val="181"/>
        </w:trPr>
        <w:tc>
          <w:tcPr>
            <w:tcW w:w="5880" w:type="dxa"/>
            <w:vAlign w:val="bottom"/>
          </w:tcPr>
          <w:p>
            <w:pPr>
              <w:ind w:left="20"/>
              <w:spacing w:after="0"/>
              <w:rPr>
                <w:sz w:val="20"/>
                <w:szCs w:val="20"/>
                <w:color w:val="auto"/>
              </w:rPr>
            </w:pPr>
            <w:r>
              <w:rPr>
                <w:rFonts w:ascii="Arial" w:cs="Arial" w:eastAsia="Arial" w:hAnsi="Arial"/>
                <w:sz w:val="15"/>
                <w:szCs w:val="15"/>
                <w:color w:val="auto"/>
              </w:rPr>
              <w:t>Income tax (benefit) expense</w:t>
            </w:r>
          </w:p>
        </w:tc>
        <w:tc>
          <w:tcPr>
            <w:tcW w:w="1420" w:type="dxa"/>
            <w:vAlign w:val="bottom"/>
            <w:gridSpan w:val="2"/>
          </w:tcPr>
          <w:p>
            <w:pPr>
              <w:jc w:val="right"/>
              <w:ind w:right="240"/>
              <w:spacing w:after="0"/>
              <w:rPr>
                <w:sz w:val="20"/>
                <w:szCs w:val="20"/>
                <w:color w:val="auto"/>
              </w:rPr>
            </w:pPr>
            <w:r>
              <w:rPr>
                <w:rFonts w:ascii="Arial" w:cs="Arial" w:eastAsia="Arial" w:hAnsi="Arial"/>
                <w:sz w:val="15"/>
                <w:szCs w:val="15"/>
                <w:color w:val="auto"/>
              </w:rPr>
              <w:t>(0.9)</w:t>
            </w:r>
          </w:p>
        </w:tc>
        <w:tc>
          <w:tcPr>
            <w:tcW w:w="1420" w:type="dxa"/>
            <w:vAlign w:val="bottom"/>
            <w:gridSpan w:val="2"/>
          </w:tcPr>
          <w:p>
            <w:pPr>
              <w:jc w:val="right"/>
              <w:ind w:right="240"/>
              <w:spacing w:after="0"/>
              <w:rPr>
                <w:sz w:val="20"/>
                <w:szCs w:val="20"/>
                <w:color w:val="auto"/>
              </w:rPr>
            </w:pPr>
            <w:r>
              <w:rPr>
                <w:rFonts w:ascii="Arial" w:cs="Arial" w:eastAsia="Arial" w:hAnsi="Arial"/>
                <w:sz w:val="15"/>
                <w:szCs w:val="15"/>
                <w:color w:val="auto"/>
              </w:rPr>
              <w:t>(4.9)</w:t>
            </w:r>
          </w:p>
        </w:tc>
        <w:tc>
          <w:tcPr>
            <w:tcW w:w="1420" w:type="dxa"/>
            <w:vAlign w:val="bottom"/>
            <w:gridSpan w:val="2"/>
          </w:tcPr>
          <w:p>
            <w:pPr>
              <w:jc w:val="right"/>
              <w:ind w:right="260"/>
              <w:spacing w:after="0"/>
              <w:rPr>
                <w:sz w:val="20"/>
                <w:szCs w:val="20"/>
                <w:color w:val="auto"/>
              </w:rPr>
            </w:pPr>
            <w:r>
              <w:rPr>
                <w:rFonts w:ascii="Arial" w:cs="Arial" w:eastAsia="Arial" w:hAnsi="Arial"/>
                <w:sz w:val="15"/>
                <w:szCs w:val="15"/>
                <w:color w:val="auto"/>
              </w:rPr>
              <w:t>(0.5)</w:t>
            </w: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(3.0)</w:t>
            </w:r>
          </w:p>
        </w:tc>
      </w:tr>
      <w:tr>
        <w:trPr>
          <w:trHeight w:val="23"/>
        </w:trPr>
        <w:tc>
          <w:tcPr>
            <w:tcW w:w="58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1"/>
        </w:trPr>
        <w:tc>
          <w:tcPr>
            <w:tcW w:w="5880" w:type="dxa"/>
            <w:vAlign w:val="bottom"/>
            <w:shd w:val="clear" w:color="auto" w:fill="C0FFFF"/>
          </w:tcPr>
          <w:p>
            <w:pPr>
              <w:ind w:left="720"/>
              <w:spacing w:after="0"/>
              <w:rPr>
                <w:sz w:val="20"/>
                <w:szCs w:val="20"/>
                <w:color w:val="auto"/>
              </w:rPr>
            </w:pPr>
            <w:r>
              <w:rPr>
                <w:rFonts w:ascii="Arial" w:cs="Arial" w:eastAsia="Arial" w:hAnsi="Arial"/>
                <w:sz w:val="15"/>
                <w:szCs w:val="15"/>
                <w:color w:val="auto"/>
              </w:rPr>
              <w:t>Net income (loss)</w:t>
            </w:r>
          </w:p>
        </w:tc>
        <w:tc>
          <w:tcPr>
            <w:tcW w:w="14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(9.4)%</w:t>
            </w:r>
          </w:p>
        </w:tc>
        <w:tc>
          <w:tcPr>
            <w:tcW w:w="14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(8.2)%</w:t>
            </w:r>
          </w:p>
        </w:tc>
        <w:tc>
          <w:tcPr>
            <w:tcW w:w="142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(4.8)%</w:t>
            </w:r>
          </w:p>
        </w:tc>
        <w:tc>
          <w:tcPr>
            <w:tcW w:w="1300" w:type="dxa"/>
            <w:vAlign w:val="bottom"/>
            <w:gridSpan w:val="2"/>
            <w:shd w:val="clear" w:color="auto" w:fill="C0FFFF"/>
          </w:tcPr>
          <w:p>
            <w:pPr>
              <w:jc w:val="right"/>
              <w:spacing w:after="0"/>
              <w:rPr>
                <w:sz w:val="20"/>
                <w:szCs w:val="20"/>
                <w:color w:val="auto"/>
              </w:rPr>
            </w:pPr>
            <w:r>
              <w:rPr>
                <w:rFonts w:ascii="Arial" w:cs="Arial" w:eastAsia="Arial" w:hAnsi="Arial"/>
                <w:sz w:val="15"/>
                <w:szCs w:val="15"/>
                <w:color w:val="auto"/>
              </w:rPr>
              <w:t>(5.0)%</w:t>
            </w:r>
          </w:p>
        </w:tc>
      </w:tr>
      <w:tr>
        <w:trPr>
          <w:trHeight w:val="167"/>
        </w:trPr>
        <w:tc>
          <w:tcPr>
            <w:tcW w:w="5880" w:type="dxa"/>
            <w:vAlign w:val="bottom"/>
            <w:tcBorders>
              <w:top w:val="single" w:sz="8" w:color="C0FF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00" w:type="dxa"/>
            <w:vAlign w:val="bottom"/>
            <w:tcBorders>
              <w:top w:val="single" w:sz="8" w:color="C0FF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00" w:type="dxa"/>
            <w:vAlign w:val="bottom"/>
            <w:tcBorders>
              <w:top w:val="single" w:sz="8" w:color="C0FF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300" w:type="dxa"/>
            <w:vAlign w:val="bottom"/>
            <w:tcBorders>
              <w:top w:val="single" w:sz="8" w:color="C0FF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80" w:type="dxa"/>
            <w:vAlign w:val="bottom"/>
            <w:tcBorders>
              <w:top w:val="single" w:sz="8" w:color="C0FFFF"/>
            </w:tcBorders>
          </w:tcPr>
          <w:p>
            <w:pPr>
              <w:spacing w:after="0"/>
              <w:rPr>
                <w:sz w:val="14"/>
                <w:szCs w:val="14"/>
                <w:color w:val="auto"/>
              </w:rPr>
            </w:pPr>
          </w:p>
        </w:tc>
      </w:tr>
      <w:tr>
        <w:trPr>
          <w:trHeight w:val="181"/>
        </w:trPr>
        <w:tc>
          <w:tcPr>
            <w:tcW w:w="588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30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30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300" w:type="dxa"/>
            <w:vAlign w:val="bottom"/>
            <w:shd w:val="clear" w:color="auto" w:fill="C0FFFF"/>
          </w:tcPr>
          <w:p>
            <w:pPr>
              <w:spacing w:after="0"/>
              <w:rPr>
                <w:sz w:val="15"/>
                <w:szCs w:val="15"/>
                <w:color w:val="auto"/>
              </w:rPr>
            </w:pPr>
          </w:p>
        </w:tc>
        <w:tc>
          <w:tcPr>
            <w:tcW w:w="1120" w:type="dxa"/>
            <w:vAlign w:val="bottom"/>
            <w:shd w:val="clear" w:color="auto" w:fill="C0FFFF"/>
          </w:tcPr>
          <w:p>
            <w:pPr>
              <w:spacing w:after="0"/>
              <w:rPr>
                <w:sz w:val="15"/>
                <w:szCs w:val="15"/>
                <w:color w:val="auto"/>
              </w:rPr>
            </w:pPr>
          </w:p>
        </w:tc>
        <w:tc>
          <w:tcPr>
            <w:tcW w:w="180" w:type="dxa"/>
            <w:vAlign w:val="bottom"/>
            <w:shd w:val="clear" w:color="auto" w:fill="C0FFFF"/>
          </w:tcPr>
          <w:p>
            <w:pPr>
              <w:spacing w:after="0"/>
              <w:rPr>
                <w:sz w:val="15"/>
                <w:szCs w:val="15"/>
                <w:color w:val="auto"/>
              </w:rPr>
            </w:pPr>
          </w:p>
        </w:tc>
      </w:tr>
      <w:tr>
        <w:trPr>
          <w:trHeight w:val="274"/>
        </w:trPr>
        <w:tc>
          <w:tcPr>
            <w:tcW w:w="5880" w:type="dxa"/>
            <w:vAlign w:val="bottom"/>
          </w:tcPr>
          <w:p>
            <w:pPr>
              <w:ind w:left="20"/>
              <w:spacing w:after="0"/>
              <w:rPr>
                <w:sz w:val="20"/>
                <w:szCs w:val="20"/>
                <w:color w:val="auto"/>
              </w:rPr>
            </w:pPr>
            <w:r>
              <w:rPr>
                <w:rFonts w:ascii="Arial" w:cs="Arial" w:eastAsia="Arial" w:hAnsi="Arial"/>
                <w:sz w:val="15"/>
                <w:szCs w:val="15"/>
                <w:color w:val="auto"/>
              </w:rPr>
              <w:t xml:space="preserve">Retail Gross Margin % </w:t>
            </w:r>
            <w:r>
              <w:rPr>
                <w:rFonts w:ascii="Arial" w:cs="Arial" w:eastAsia="Arial" w:hAnsi="Arial"/>
                <w:sz w:val="21"/>
                <w:szCs w:val="21"/>
                <w:color w:val="auto"/>
                <w:vertAlign w:val="superscript"/>
              </w:rPr>
              <w:t>(2)</w:t>
            </w:r>
          </w:p>
        </w:tc>
        <w:tc>
          <w:tcPr>
            <w:tcW w:w="1420" w:type="dxa"/>
            <w:vAlign w:val="bottom"/>
            <w:gridSpan w:val="2"/>
          </w:tcPr>
          <w:p>
            <w:pPr>
              <w:jc w:val="right"/>
              <w:ind w:right="160"/>
              <w:spacing w:after="0"/>
              <w:rPr>
                <w:sz w:val="20"/>
                <w:szCs w:val="20"/>
                <w:color w:val="auto"/>
              </w:rPr>
            </w:pPr>
            <w:r>
              <w:rPr>
                <w:rFonts w:ascii="Arial" w:cs="Arial" w:eastAsia="Arial" w:hAnsi="Arial"/>
                <w:sz w:val="15"/>
                <w:szCs w:val="15"/>
                <w:color w:val="auto"/>
              </w:rPr>
              <w:t>35.0%</w:t>
            </w: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35.8%</w:t>
            </w:r>
          </w:p>
        </w:tc>
        <w:tc>
          <w:tcPr>
            <w:tcW w:w="1420" w:type="dxa"/>
            <w:vAlign w:val="bottom"/>
            <w:gridSpan w:val="2"/>
          </w:tcPr>
          <w:p>
            <w:pPr>
              <w:jc w:val="right"/>
              <w:ind w:right="180"/>
              <w:spacing w:after="0"/>
              <w:rPr>
                <w:sz w:val="20"/>
                <w:szCs w:val="20"/>
                <w:color w:val="auto"/>
              </w:rPr>
            </w:pPr>
            <w:r>
              <w:rPr>
                <w:rFonts w:ascii="Arial" w:cs="Arial" w:eastAsia="Arial" w:hAnsi="Arial"/>
                <w:sz w:val="15"/>
                <w:szCs w:val="15"/>
                <w:color w:val="auto"/>
              </w:rPr>
              <w:t>37.7%</w:t>
            </w:r>
          </w:p>
        </w:tc>
        <w:tc>
          <w:tcPr>
            <w:tcW w:w="1300" w:type="dxa"/>
            <w:vAlign w:val="bottom"/>
            <w:gridSpan w:val="2"/>
          </w:tcPr>
          <w:p>
            <w:pPr>
              <w:jc w:val="right"/>
              <w:ind w:right="60"/>
              <w:spacing w:after="0"/>
              <w:rPr>
                <w:sz w:val="20"/>
                <w:szCs w:val="20"/>
                <w:color w:val="auto"/>
              </w:rPr>
            </w:pPr>
            <w:r>
              <w:rPr>
                <w:rFonts w:ascii="Arial" w:cs="Arial" w:eastAsia="Arial" w:hAnsi="Arial"/>
                <w:sz w:val="15"/>
                <w:szCs w:val="15"/>
                <w:color w:val="auto"/>
              </w:rPr>
              <w:t>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146812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8120" cy="698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260" w:hanging="249"/>
        <w:spacing w:after="0"/>
        <w:tabs>
          <w:tab w:leader="none" w:pos="260" w:val="left"/>
        </w:tabs>
        <w:numPr>
          <w:ilvl w:val="0"/>
          <w:numId w:val="8"/>
        </w:numPr>
        <w:rPr>
          <w:rFonts w:ascii="Arial" w:cs="Arial" w:eastAsia="Arial" w:hAnsi="Arial"/>
          <w:sz w:val="15"/>
          <w:szCs w:val="15"/>
          <w:color w:val="auto"/>
        </w:rPr>
      </w:pPr>
      <w:r>
        <w:rPr>
          <w:rFonts w:ascii="Arial" w:cs="Arial" w:eastAsia="Arial" w:hAnsi="Arial"/>
          <w:sz w:val="15"/>
          <w:szCs w:val="15"/>
          <w:color w:val="auto"/>
        </w:rPr>
        <w:t>Cost of merchandise sold is expressed as a percentage of net retail sales and commercial revenue.</w:t>
      </w:r>
    </w:p>
    <w:p>
      <w:pPr>
        <w:spacing w:after="0" w:line="235" w:lineRule="exact"/>
        <w:rPr>
          <w:rFonts w:ascii="Arial" w:cs="Arial" w:eastAsia="Arial" w:hAnsi="Arial"/>
          <w:sz w:val="15"/>
          <w:szCs w:val="15"/>
          <w:color w:val="auto"/>
        </w:rPr>
      </w:pPr>
    </w:p>
    <w:p>
      <w:pPr>
        <w:jc w:val="both"/>
        <w:ind w:left="260" w:hanging="249"/>
        <w:spacing w:after="0" w:line="264" w:lineRule="auto"/>
        <w:tabs>
          <w:tab w:leader="none" w:pos="2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Retail gross margin represents net retail sales less cost of retail merchandise sold, which excludes cost of wholesale merchandise sold. Retail gross margin was $27.7 million and $65.7 million for the thirteen and twenty-six weeks ended June 30, 2012, respectively, and $28.8 million and $65.4 million for the thirteen and twenty-six weeks ended July 2, 2011, respectively. Retail gross margin percentage represents retail gross margin divided by net retail sales.</w:t>
      </w:r>
    </w:p>
    <w:p>
      <w:pPr>
        <w:spacing w:after="0" w:line="2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Thirteen weeks ended June 30, 2012 compared to thirteen weeks ended July 2, 2011</w:t>
      </w:r>
    </w:p>
    <w:p>
      <w:pPr>
        <w:spacing w:after="0" w:line="236" w:lineRule="exact"/>
        <w:rPr>
          <w:sz w:val="20"/>
          <w:szCs w:val="20"/>
          <w:color w:val="auto"/>
        </w:rPr>
      </w:pPr>
    </w:p>
    <w:p>
      <w:pPr>
        <w:ind w:right="60" w:firstLine="408"/>
        <w:spacing w:after="0" w:line="258" w:lineRule="auto"/>
        <w:rPr>
          <w:sz w:val="20"/>
          <w:szCs w:val="20"/>
          <w:color w:val="auto"/>
        </w:rPr>
      </w:pPr>
      <w:r>
        <w:rPr>
          <w:rFonts w:ascii="Arial" w:cs="Arial" w:eastAsia="Arial" w:hAnsi="Arial"/>
          <w:sz w:val="15"/>
          <w:szCs w:val="15"/>
          <w:i w:val="1"/>
          <w:iCs w:val="1"/>
          <w:color w:val="auto"/>
        </w:rPr>
        <w:t xml:space="preserve">Total revenues. </w:t>
      </w:r>
      <w:r>
        <w:rPr>
          <w:rFonts w:ascii="Arial" w:cs="Arial" w:eastAsia="Arial" w:hAnsi="Arial"/>
          <w:sz w:val="15"/>
          <w:szCs w:val="15"/>
          <w:color w:val="auto"/>
        </w:rPr>
        <w:t>Total revenues were $80.4 million for the thirteen weeks ended June 30, 2012 compared to $81.8 million for the thirteen weeks ended July 2, 2011, a decrease of $1.4</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or 1.7%. Net retail sales were $79.0 million for the thirteen weeks ended June 30, 2012 compared to $80.4 million for the thirteen weeks ended July 2, 2011, a decrease of $1.4 million, or 1.7%. This decrease was primarily attributable to a $1.3 million decrease in comparable store sales and a $1.2 million decline in sales from non-comparable store locations, primarily closures and relocations. This was partially offset by a $1.5 million increase in sales from new stores and a $0.2 million increase in sales from pop-up and other non-store locations. Other changes in net retail sales, which included the impact of foreign currency, totaled $0.6 million.</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435" w:right="219" w:bottom="1440" w:gutter="0" w:footer="0" w:header="0"/>
        </w:sectPr>
      </w:pPr>
    </w:p>
    <w:bookmarkStart w:id="13" w:name="page14"/>
    <w:bookmarkEnd w:id="13"/>
    <w:p>
      <w:pPr>
        <w:ind w:left="400"/>
        <w:spacing w:after="0"/>
        <w:rPr>
          <w:sz w:val="20"/>
          <w:szCs w:val="20"/>
          <w:color w:val="auto"/>
        </w:rPr>
      </w:pPr>
      <w:r>
        <w:rPr>
          <w:rFonts w:ascii="Arial" w:cs="Arial" w:eastAsia="Arial" w:hAnsi="Arial"/>
          <w:sz w:val="15"/>
          <w:szCs w:val="15"/>
          <w:color w:val="auto"/>
        </w:rPr>
        <w:t>We believe the decrease in comparable store sales was attributed primarily to the following factors:</w:t>
      </w:r>
    </w:p>
    <w:p>
      <w:pPr>
        <w:spacing w:after="0" w:line="236" w:lineRule="exact"/>
        <w:rPr>
          <w:sz w:val="20"/>
          <w:szCs w:val="20"/>
          <w:color w:val="auto"/>
        </w:rPr>
      </w:pPr>
    </w:p>
    <w:p>
      <w:pPr>
        <w:ind w:left="800" w:hanging="401"/>
        <w:spacing w:after="0"/>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North America, we believe that an earlier Easter and the corresponding shift in school breaks had a negative impact on the 2012 second quarter;</w:t>
      </w:r>
    </w:p>
    <w:p>
      <w:pPr>
        <w:spacing w:after="0" w:line="190" w:lineRule="exact"/>
        <w:rPr>
          <w:rFonts w:ascii="Arial" w:cs="Arial" w:eastAsia="Arial" w:hAnsi="Arial"/>
          <w:sz w:val="15"/>
          <w:szCs w:val="15"/>
          <w:color w:val="auto"/>
        </w:rPr>
      </w:pPr>
    </w:p>
    <w:p>
      <w:pPr>
        <w:ind w:left="800" w:right="40" w:hanging="401"/>
        <w:spacing w:after="0" w:line="277"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the 2012 second quarter, we increased average transaction value through higher redemption rates of our holiday gift cards and through a promotion in the United States with McDonald’s Happy Meals® in North America that drove awareness of our brand and brought traffic to our stores; and</w:t>
      </w:r>
    </w:p>
    <w:p>
      <w:pPr>
        <w:spacing w:after="0" w:line="145" w:lineRule="exact"/>
        <w:rPr>
          <w:rFonts w:ascii="Arial" w:cs="Arial" w:eastAsia="Arial" w:hAnsi="Arial"/>
          <w:sz w:val="15"/>
          <w:szCs w:val="15"/>
          <w:color w:val="auto"/>
        </w:rPr>
      </w:pPr>
    </w:p>
    <w:p>
      <w:pPr>
        <w:ind w:left="800" w:right="180" w:hanging="401"/>
        <w:spacing w:after="0" w:line="277"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 the United Kingdom, we believe the negative economic conditions contributed to a continued decline in consumer sentiment and a corresponding decline in spending that negatively impacted our comparable store sales.</w:t>
      </w:r>
    </w:p>
    <w:p>
      <w:pPr>
        <w:spacing w:after="0" w:line="146" w:lineRule="exact"/>
        <w:rPr>
          <w:sz w:val="20"/>
          <w:szCs w:val="20"/>
          <w:color w:val="auto"/>
        </w:rPr>
      </w:pPr>
    </w:p>
    <w:p>
      <w:pPr>
        <w:ind w:right="120" w:firstLine="408"/>
        <w:spacing w:after="0" w:line="277" w:lineRule="auto"/>
        <w:rPr>
          <w:sz w:val="20"/>
          <w:szCs w:val="20"/>
          <w:color w:val="auto"/>
        </w:rPr>
      </w:pPr>
      <w:r>
        <w:rPr>
          <w:rFonts w:ascii="Arial" w:cs="Arial" w:eastAsia="Arial" w:hAnsi="Arial"/>
          <w:sz w:val="15"/>
          <w:szCs w:val="15"/>
          <w:color w:val="auto"/>
        </w:rPr>
        <w:t>Commercial revenue was $0.7 million for the thirteen weeks ended June 30, 2012 and July 2, 2011. Revenue from franchise fees was also $0.7 million for the thirteen weeks ended June 30, 2012 and July 2, 2011.</w:t>
      </w:r>
    </w:p>
    <w:p>
      <w:pPr>
        <w:spacing w:after="0" w:line="191" w:lineRule="exact"/>
        <w:rPr>
          <w:sz w:val="20"/>
          <w:szCs w:val="20"/>
          <w:color w:val="auto"/>
        </w:rPr>
      </w:pPr>
    </w:p>
    <w:p>
      <w:pPr>
        <w:ind w:firstLine="408"/>
        <w:spacing w:after="0" w:line="257"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Total gross margin was $28.0 million for the thirteen weeks ended June 30, 2012, compared to $29.2 million for the thirteen weeks ended July 2, 2011, a decrease of</w:t>
      </w:r>
      <w:r>
        <w:rPr>
          <w:rFonts w:ascii="Arial" w:cs="Arial" w:eastAsia="Arial" w:hAnsi="Arial"/>
          <w:sz w:val="15"/>
          <w:szCs w:val="15"/>
          <w:i w:val="1"/>
          <w:iCs w:val="1"/>
          <w:color w:val="auto"/>
        </w:rPr>
        <w:t xml:space="preserve"> </w:t>
      </w:r>
      <w:r>
        <w:rPr>
          <w:rFonts w:ascii="Arial" w:cs="Arial" w:eastAsia="Arial" w:hAnsi="Arial"/>
          <w:sz w:val="15"/>
          <w:szCs w:val="15"/>
          <w:color w:val="auto"/>
        </w:rPr>
        <w:t>$1.2 million, or 4.1%. Retail gross margin was $27.7 million for the thirteen weeks ended June 30, 2012 compared to $28.8 million for the thirteen weeks ended July 2, 2011, a decrease of $1.1 million, or 3.9%. As a percentage of net retail sales, retail gross margin decreased to 35.0% for the thirteen weeks ended June 30, 2012 from 35.8% for the thirteen weeks ended July 2, 2011. This 80 basis points as a percentage of net retail sales (bps) decrease was primarily attributable to 130 bps decline in merchandise margin, resulting primarily from promotional activity to sell through the inventory of certain seasonal product and 30 bps of deleverage on fixed occupancy costs. The declines were partially offset by improvements of 40 bps in warehousing and distribution and 40 bps in packaging and other buying.</w:t>
      </w:r>
    </w:p>
    <w:p>
      <w:pPr>
        <w:spacing w:after="0" w:line="206" w:lineRule="exact"/>
        <w:rPr>
          <w:sz w:val="20"/>
          <w:szCs w:val="20"/>
          <w:color w:val="auto"/>
        </w:rPr>
      </w:pPr>
    </w:p>
    <w:p>
      <w:pPr>
        <w:ind w:firstLine="408"/>
        <w:spacing w:after="0" w:line="279" w:lineRule="auto"/>
        <w:rPr>
          <w:sz w:val="20"/>
          <w:szCs w:val="20"/>
          <w:color w:val="auto"/>
        </w:rPr>
      </w:pPr>
      <w:r>
        <w:rPr>
          <w:rFonts w:ascii="Arial" w:cs="Arial" w:eastAsia="Arial" w:hAnsi="Arial"/>
          <w:sz w:val="14"/>
          <w:szCs w:val="14"/>
          <w:i w:val="1"/>
          <w:iCs w:val="1"/>
          <w:color w:val="auto"/>
        </w:rPr>
        <w:t xml:space="preserve">Selling, general and administrative. </w:t>
      </w:r>
      <w:r>
        <w:rPr>
          <w:rFonts w:ascii="Arial" w:cs="Arial" w:eastAsia="Arial" w:hAnsi="Arial"/>
          <w:sz w:val="14"/>
          <w:szCs w:val="14"/>
          <w:color w:val="auto"/>
        </w:rPr>
        <w:t>Selling, general and administrative expenses were $37.1 million for the thirteen weeks ended June 30, 2012 as compared to $40.7 million for the</w:t>
      </w:r>
      <w:r>
        <w:rPr>
          <w:rFonts w:ascii="Arial" w:cs="Arial" w:eastAsia="Arial" w:hAnsi="Arial"/>
          <w:sz w:val="14"/>
          <w:szCs w:val="14"/>
          <w:i w:val="1"/>
          <w:iCs w:val="1"/>
          <w:color w:val="auto"/>
        </w:rPr>
        <w:t xml:space="preserve"> </w:t>
      </w:r>
      <w:r>
        <w:rPr>
          <w:rFonts w:ascii="Arial" w:cs="Arial" w:eastAsia="Arial" w:hAnsi="Arial"/>
          <w:sz w:val="14"/>
          <w:szCs w:val="14"/>
          <w:color w:val="auto"/>
        </w:rPr>
        <w:t>thirteen weeks ended July 2, 2011, a decrease of $3.6 million, or 8.9%. As a percentage of total revenues, selling, general and administrative expenses decreased to 46.1% for the thirteen weeks ended June 30, 2012 as compared to 49.7% for the thirteen weeks ended July 2, 2011, a decrease of 360 bps. The dollar decrease was primarily attributable to lower store payroll costs and other operational cost savings resulting from our cost reduction efforts, partially offset by higher incentive compensation. Advertising expenses also decreased in the quarter as the majority of the expenditures for Easter shifted to the first quarter in 2012. The 2011 second quarter included $1.5 million in consulting costs related to the cost reduction project. Excluding these costs, selling, general and administrative expenses as a percent of revenue decreased 180 bps, primarily due to the overall decrease in expenses.</w:t>
      </w:r>
    </w:p>
    <w:p>
      <w:pPr>
        <w:spacing w:after="0" w:line="192" w:lineRule="exact"/>
        <w:rPr>
          <w:sz w:val="20"/>
          <w:szCs w:val="20"/>
          <w:color w:val="auto"/>
        </w:rPr>
      </w:pPr>
    </w:p>
    <w:p>
      <w:pPr>
        <w:ind w:firstLine="408"/>
        <w:spacing w:after="0" w:line="277" w:lineRule="auto"/>
        <w:rPr>
          <w:sz w:val="20"/>
          <w:szCs w:val="20"/>
          <w:color w:val="auto"/>
        </w:rPr>
      </w:pPr>
      <w:r>
        <w:rPr>
          <w:rFonts w:ascii="Arial" w:cs="Arial" w:eastAsia="Arial" w:hAnsi="Arial"/>
          <w:sz w:val="15"/>
          <w:szCs w:val="15"/>
          <w:i w:val="1"/>
          <w:iCs w:val="1"/>
          <w:color w:val="auto"/>
        </w:rPr>
        <w:t xml:space="preserve">Interest expense (income), net. </w:t>
      </w:r>
      <w:r>
        <w:rPr>
          <w:rFonts w:ascii="Arial" w:cs="Arial" w:eastAsia="Arial" w:hAnsi="Arial"/>
          <w:sz w:val="15"/>
          <w:szCs w:val="15"/>
          <w:color w:val="auto"/>
        </w:rPr>
        <w:t>Interest income, net of interest expense, was $63,000 for the thirteen weeks ended June 30, 2012 as compared to $105,000 for the thirteen weeks ended</w:t>
      </w:r>
      <w:r>
        <w:rPr>
          <w:rFonts w:ascii="Arial" w:cs="Arial" w:eastAsia="Arial" w:hAnsi="Arial"/>
          <w:sz w:val="15"/>
          <w:szCs w:val="15"/>
          <w:i w:val="1"/>
          <w:iCs w:val="1"/>
          <w:color w:val="auto"/>
        </w:rPr>
        <w:t xml:space="preserve"> </w:t>
      </w:r>
      <w:r>
        <w:rPr>
          <w:rFonts w:ascii="Arial" w:cs="Arial" w:eastAsia="Arial" w:hAnsi="Arial"/>
          <w:sz w:val="15"/>
          <w:szCs w:val="15"/>
          <w:color w:val="auto"/>
        </w:rPr>
        <w:t>July 2, 2011.</w:t>
      </w:r>
    </w:p>
    <w:p>
      <w:pPr>
        <w:spacing w:after="0" w:line="191" w:lineRule="exact"/>
        <w:rPr>
          <w:sz w:val="20"/>
          <w:szCs w:val="20"/>
          <w:color w:val="auto"/>
        </w:rPr>
      </w:pPr>
    </w:p>
    <w:p>
      <w:pPr>
        <w:ind w:right="40" w:firstLine="408"/>
        <w:spacing w:after="0" w:line="292" w:lineRule="auto"/>
        <w:rPr>
          <w:sz w:val="20"/>
          <w:szCs w:val="20"/>
          <w:color w:val="auto"/>
        </w:rPr>
      </w:pPr>
      <w:r>
        <w:rPr>
          <w:rFonts w:ascii="Arial" w:cs="Arial" w:eastAsia="Arial" w:hAnsi="Arial"/>
          <w:sz w:val="14"/>
          <w:szCs w:val="14"/>
          <w:i w:val="1"/>
          <w:iCs w:val="1"/>
          <w:color w:val="auto"/>
        </w:rPr>
        <w:t xml:space="preserve">Provision for income taxes. </w:t>
      </w:r>
      <w:r>
        <w:rPr>
          <w:rFonts w:ascii="Arial" w:cs="Arial" w:eastAsia="Arial" w:hAnsi="Arial"/>
          <w:sz w:val="14"/>
          <w:szCs w:val="14"/>
          <w:color w:val="auto"/>
        </w:rPr>
        <w:t>The income tax benefit was $0.8 million for the thirteen weeks ended June 30, 2012 as compared to the income tax benefit of $4.0 million for the thirteen</w:t>
      </w:r>
      <w:r>
        <w:rPr>
          <w:rFonts w:ascii="Arial" w:cs="Arial" w:eastAsia="Arial" w:hAnsi="Arial"/>
          <w:sz w:val="14"/>
          <w:szCs w:val="14"/>
          <w:i w:val="1"/>
          <w:iCs w:val="1"/>
          <w:color w:val="auto"/>
        </w:rPr>
        <w:t xml:space="preserve"> </w:t>
      </w:r>
      <w:r>
        <w:rPr>
          <w:rFonts w:ascii="Arial" w:cs="Arial" w:eastAsia="Arial" w:hAnsi="Arial"/>
          <w:sz w:val="14"/>
          <w:szCs w:val="14"/>
          <w:color w:val="auto"/>
        </w:rPr>
        <w:t>weeks ended July 2, 2011. The effective tax rate was 9.1% for the thirteen weeks ended June 30, 2012 compared to 37.4% for the thirteen weeks ended July 2, 2011. The decrease in the effective tax rate was primarily attributable to the fluctuation in the valuation allowance recorded in the 2012 second quarter on the US deferred tax assets.</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15"/>
          <w:szCs w:val="15"/>
          <w:b w:val="1"/>
          <w:bCs w:val="1"/>
          <w:i w:val="1"/>
          <w:iCs w:val="1"/>
          <w:color w:val="auto"/>
        </w:rPr>
        <w:t>Twenty-six weeks ended June 30, 2012 compared to twenty-six weeks ended July 2, 2011</w:t>
      </w:r>
    </w:p>
    <w:p>
      <w:pPr>
        <w:spacing w:after="0" w:line="236" w:lineRule="exact"/>
        <w:rPr>
          <w:sz w:val="20"/>
          <w:szCs w:val="20"/>
          <w:color w:val="auto"/>
        </w:rPr>
      </w:pPr>
    </w:p>
    <w:p>
      <w:pPr>
        <w:ind w:right="20" w:firstLine="408"/>
        <w:spacing w:after="0" w:line="258" w:lineRule="auto"/>
        <w:rPr>
          <w:sz w:val="20"/>
          <w:szCs w:val="20"/>
          <w:color w:val="auto"/>
        </w:rPr>
      </w:pPr>
      <w:r>
        <w:rPr>
          <w:rFonts w:ascii="Arial" w:cs="Arial" w:eastAsia="Arial" w:hAnsi="Arial"/>
          <w:sz w:val="15"/>
          <w:szCs w:val="15"/>
          <w:i w:val="1"/>
          <w:iCs w:val="1"/>
          <w:color w:val="auto"/>
        </w:rPr>
        <w:t xml:space="preserve">Total revenues. </w:t>
      </w:r>
      <w:r>
        <w:rPr>
          <w:rFonts w:ascii="Arial" w:cs="Arial" w:eastAsia="Arial" w:hAnsi="Arial"/>
          <w:sz w:val="15"/>
          <w:szCs w:val="15"/>
          <w:color w:val="auto"/>
        </w:rPr>
        <w:t>Total revenues were $176.8 million for the twenty-six weeks ended June 30, 2012 compared to $177.8 million for the twenty-six weeks ended July 2, 2011. Net retail</w:t>
      </w:r>
      <w:r>
        <w:rPr>
          <w:rFonts w:ascii="Arial" w:cs="Arial" w:eastAsia="Arial" w:hAnsi="Arial"/>
          <w:sz w:val="15"/>
          <w:szCs w:val="15"/>
          <w:i w:val="1"/>
          <w:iCs w:val="1"/>
          <w:color w:val="auto"/>
        </w:rPr>
        <w:t xml:space="preserve"> </w:t>
      </w:r>
      <w:r>
        <w:rPr>
          <w:rFonts w:ascii="Arial" w:cs="Arial" w:eastAsia="Arial" w:hAnsi="Arial"/>
          <w:sz w:val="15"/>
          <w:szCs w:val="15"/>
          <w:color w:val="auto"/>
        </w:rPr>
        <w:t>sales were $174.2 million for the twenty-six weeks ended June 30, 2012 compared to $174.6 million for the twenty-six weeks ended July 2, 2011, a decrease of $0.4 million, or 0.2%. This decrease was primarily attributable to a $1.1 million decline in sales from non-comparable store locations, primarily closures and relocations, a $0.8 million decrease in sales from pop-up and other non-store locations and a $0.2 million decrease in comparable store sales. These were partially offset by a $2.8 million increase in sales from new stores. Other changes in net retail sales, which included the impact of foreign currency, totaled $1.1 million.</w:t>
      </w:r>
    </w:p>
    <w:p>
      <w:pPr>
        <w:spacing w:after="0" w:line="206"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believe our comparable store sales were impacted by the following factors:</w:t>
      </w:r>
    </w:p>
    <w:p>
      <w:pPr>
        <w:spacing w:after="0" w:line="190" w:lineRule="exact"/>
        <w:rPr>
          <w:sz w:val="20"/>
          <w:szCs w:val="20"/>
          <w:color w:val="auto"/>
        </w:rPr>
      </w:pPr>
    </w:p>
    <w:p>
      <w:pPr>
        <w:ind w:left="800" w:right="120" w:hanging="401"/>
        <w:spacing w:after="0" w:line="277" w:lineRule="auto"/>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For the first twenty-six weeks of fiscal 2012, we increased average transaction value through higher redemption rates of our holiday gift cards and through a promotion in the United States with McDonald’s Happy Meals® in North America that drove awareness of our brand and brought traffic to our stores; and</w:t>
      </w:r>
    </w:p>
    <w:p>
      <w:pPr>
        <w:spacing w:after="0" w:line="145" w:lineRule="exact"/>
        <w:rPr>
          <w:rFonts w:ascii="Arial" w:cs="Arial" w:eastAsia="Arial" w:hAnsi="Arial"/>
          <w:sz w:val="15"/>
          <w:szCs w:val="15"/>
          <w:color w:val="auto"/>
        </w:rPr>
      </w:pPr>
    </w:p>
    <w:p>
      <w:pPr>
        <w:ind w:left="800" w:right="180" w:hanging="401"/>
        <w:spacing w:after="0" w:line="277" w:lineRule="auto"/>
        <w:tabs>
          <w:tab w:leader="none" w:pos="800"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 the United Kingdom, we believe the negative economic conditions contributed to a continued decline in consumer sentiment and a corresponding decline in spending that negatively impacted our comparable store sales.</w:t>
      </w:r>
    </w:p>
    <w:p>
      <w:pPr>
        <w:spacing w:after="0" w:line="373" w:lineRule="exact"/>
        <w:rPr>
          <w:sz w:val="20"/>
          <w:szCs w:val="20"/>
          <w:color w:val="auto"/>
        </w:rPr>
      </w:pPr>
    </w:p>
    <w:p>
      <w:pPr>
        <w:ind w:right="240" w:firstLine="408"/>
        <w:spacing w:after="0" w:line="264" w:lineRule="auto"/>
        <w:rPr>
          <w:sz w:val="20"/>
          <w:szCs w:val="20"/>
          <w:color w:val="auto"/>
        </w:rPr>
      </w:pPr>
      <w:r>
        <w:rPr>
          <w:rFonts w:ascii="Arial" w:cs="Arial" w:eastAsia="Arial" w:hAnsi="Arial"/>
          <w:sz w:val="15"/>
          <w:szCs w:val="15"/>
          <w:color w:val="auto"/>
        </w:rPr>
        <w:t>Commercial revenue was $1.1 million for the twenty-six weeks ended June 30, 2012 compared to $1.8 million for the twenty-six weeks ended July 2, 2011. This decrease of $0.8 million was primarily due to an overall decrease in licensing activity in fiscal 2012. Revenue from franchise fees increased to $1.5 million for the twenty-six weeks ended June 30, 2012 from $1.4 million for the twenty-six weeks ended July 2, 2011, an increase of $0.1 million.</w:t>
      </w:r>
    </w:p>
    <w:p>
      <w:pPr>
        <w:spacing w:after="0" w:line="201" w:lineRule="exact"/>
        <w:rPr>
          <w:sz w:val="20"/>
          <w:szCs w:val="20"/>
          <w:color w:val="auto"/>
        </w:rPr>
      </w:pPr>
    </w:p>
    <w:p>
      <w:pPr>
        <w:ind w:right="160" w:firstLine="408"/>
        <w:spacing w:after="0" w:line="257" w:lineRule="auto"/>
        <w:rPr>
          <w:sz w:val="20"/>
          <w:szCs w:val="20"/>
          <w:color w:val="auto"/>
        </w:rPr>
      </w:pPr>
      <w:r>
        <w:rPr>
          <w:rFonts w:ascii="Arial" w:cs="Arial" w:eastAsia="Arial" w:hAnsi="Arial"/>
          <w:sz w:val="15"/>
          <w:szCs w:val="15"/>
          <w:i w:val="1"/>
          <w:iCs w:val="1"/>
          <w:color w:val="auto"/>
        </w:rPr>
        <w:t xml:space="preserve">Gross margin. </w:t>
      </w:r>
      <w:r>
        <w:rPr>
          <w:rFonts w:ascii="Arial" w:cs="Arial" w:eastAsia="Arial" w:hAnsi="Arial"/>
          <w:sz w:val="15"/>
          <w:szCs w:val="15"/>
          <w:color w:val="auto"/>
        </w:rPr>
        <w:t>Total gross margin decreased to $66.1 million for the twenty-six weeks ended June 30, 2012 from $66.2 million for the twenty-six weeks ended July 2, 2011, a</w:t>
      </w:r>
      <w:r>
        <w:rPr>
          <w:rFonts w:ascii="Arial" w:cs="Arial" w:eastAsia="Arial" w:hAnsi="Arial"/>
          <w:sz w:val="15"/>
          <w:szCs w:val="15"/>
          <w:i w:val="1"/>
          <w:iCs w:val="1"/>
          <w:color w:val="auto"/>
        </w:rPr>
        <w:t xml:space="preserve"> </w:t>
      </w:r>
      <w:r>
        <w:rPr>
          <w:rFonts w:ascii="Arial" w:cs="Arial" w:eastAsia="Arial" w:hAnsi="Arial"/>
          <w:sz w:val="15"/>
          <w:szCs w:val="15"/>
          <w:color w:val="auto"/>
        </w:rPr>
        <w:t>decrease of $0.1 million, or 0.2%. Retail gross margin increased to $65.7 million for the twenty-six weeks ended June 30, 2012 from $65.4 million for the twenty-six weeks ended July 2, 2011, an increase of $0.3 million, or 0.5%. As a percentage of net retail sales, retail gross margin increased to 37.7% for the twenty-six weeks ended June 30, 2012 from 37.4% for the twenty-six weeks ended July 2, 2011. This 30 bps increase resulted primarily from a 50 bps improvement in warehousing and distribution, a 40 bps improvement resulting from reduced packaging and other buying costs and in 20 bps increase in leverage occupancy costs partially offset by a decrease in merchandise margin resulting primarily from increased promotional activity and higher product costs.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20"/>
          </w:cols>
          <w:pgMar w:left="240" w:top="435" w:right="239" w:bottom="1440" w:gutter="0" w:footer="0" w:header="0"/>
        </w:sectPr>
      </w:pPr>
    </w:p>
    <w:bookmarkStart w:id="14" w:name="page15"/>
    <w:bookmarkEnd w:id="14"/>
    <w:p>
      <w:pPr>
        <w:ind w:left="9" w:right="80" w:firstLine="408"/>
        <w:spacing w:after="0" w:line="304" w:lineRule="auto"/>
        <w:rPr>
          <w:sz w:val="20"/>
          <w:szCs w:val="20"/>
          <w:color w:val="auto"/>
        </w:rPr>
      </w:pPr>
      <w:r>
        <w:rPr>
          <w:rFonts w:ascii="Arial" w:cs="Arial" w:eastAsia="Arial" w:hAnsi="Arial"/>
          <w:sz w:val="13"/>
          <w:szCs w:val="13"/>
          <w:i w:val="1"/>
          <w:iCs w:val="1"/>
          <w:color w:val="auto"/>
        </w:rPr>
        <w:t xml:space="preserve">Selling, general and administrative. </w:t>
      </w:r>
      <w:r>
        <w:rPr>
          <w:rFonts w:ascii="Arial" w:cs="Arial" w:eastAsia="Arial" w:hAnsi="Arial"/>
          <w:sz w:val="13"/>
          <w:szCs w:val="13"/>
          <w:color w:val="auto"/>
        </w:rPr>
        <w:t>Selling, general and administrative expenses were $77.2 million for the twenty-six weeks ended June 30, 2012 as compared to $82.0 million for</w:t>
      </w:r>
      <w:r>
        <w:rPr>
          <w:rFonts w:ascii="Arial" w:cs="Arial" w:eastAsia="Arial" w:hAnsi="Arial"/>
          <w:sz w:val="13"/>
          <w:szCs w:val="13"/>
          <w:i w:val="1"/>
          <w:iCs w:val="1"/>
          <w:color w:val="auto"/>
        </w:rPr>
        <w:t xml:space="preserve"> </w:t>
      </w:r>
      <w:r>
        <w:rPr>
          <w:rFonts w:ascii="Arial" w:cs="Arial" w:eastAsia="Arial" w:hAnsi="Arial"/>
          <w:sz w:val="13"/>
          <w:szCs w:val="13"/>
          <w:color w:val="auto"/>
        </w:rPr>
        <w:t>the twenty-six weeks ended July 2, 2011, a decrease of $4.8 million, or 5.8%. As a percentage of total revenues, selling, general and administrative expenses decreased to 43.7% for the twenty-six weeks ended June 30, 2012 as compared to 46.1% for the twenty-six weeks ended July 2, 2011, a decrease of 240 bps. The dollar decrease was primarily attributable to lower store payroll costs and other operational cost savings resulting from our cost reduction efforts, partially offset by increased incentive compensation. Advertising expenses also decreased in the first half of 2012 as the timing of expenditures will be more heavily weighted in the fourth quarter in 2012. The first half of 2011 included $3.0 million in consulting costs related to the cost reduction project. Excluding these costs, selling, general and administrative expenses as a percent of revenue decreased 70 bps, primarily due to the overall decrease in expenses.</w:t>
      </w:r>
    </w:p>
    <w:p>
      <w:pPr>
        <w:spacing w:after="0" w:line="179" w:lineRule="exact"/>
        <w:rPr>
          <w:sz w:val="20"/>
          <w:szCs w:val="20"/>
          <w:color w:val="auto"/>
        </w:rPr>
      </w:pPr>
    </w:p>
    <w:p>
      <w:pPr>
        <w:ind w:left="9" w:right="140" w:firstLine="408"/>
        <w:spacing w:after="0" w:line="277" w:lineRule="auto"/>
        <w:rPr>
          <w:sz w:val="20"/>
          <w:szCs w:val="20"/>
          <w:color w:val="auto"/>
        </w:rPr>
      </w:pPr>
      <w:r>
        <w:rPr>
          <w:rFonts w:ascii="Arial" w:cs="Arial" w:eastAsia="Arial" w:hAnsi="Arial"/>
          <w:sz w:val="15"/>
          <w:szCs w:val="15"/>
          <w:i w:val="1"/>
          <w:iCs w:val="1"/>
          <w:color w:val="auto"/>
        </w:rPr>
        <w:t xml:space="preserve">Interest expense (income), net. </w:t>
      </w:r>
      <w:r>
        <w:rPr>
          <w:rFonts w:ascii="Arial" w:cs="Arial" w:eastAsia="Arial" w:hAnsi="Arial"/>
          <w:sz w:val="15"/>
          <w:szCs w:val="15"/>
          <w:color w:val="auto"/>
        </w:rPr>
        <w:t>Interest income, net of interest expense, was $149,000 for the twenty-six weeks ended June 30, 2012 as compared to $1,000 for the twenty-six weeks</w:t>
      </w:r>
      <w:r>
        <w:rPr>
          <w:rFonts w:ascii="Arial" w:cs="Arial" w:eastAsia="Arial" w:hAnsi="Arial"/>
          <w:sz w:val="15"/>
          <w:szCs w:val="15"/>
          <w:i w:val="1"/>
          <w:iCs w:val="1"/>
          <w:color w:val="auto"/>
        </w:rPr>
        <w:t xml:space="preserve"> </w:t>
      </w:r>
      <w:r>
        <w:rPr>
          <w:rFonts w:ascii="Arial" w:cs="Arial" w:eastAsia="Arial" w:hAnsi="Arial"/>
          <w:sz w:val="15"/>
          <w:szCs w:val="15"/>
          <w:color w:val="auto"/>
        </w:rPr>
        <w:t>ended July 2, 2011. The first half of 2011 was negatively impacted by interest costs related to a sales and use tax audit.</w:t>
      </w:r>
    </w:p>
    <w:p>
      <w:pPr>
        <w:spacing w:after="0" w:line="191" w:lineRule="exact"/>
        <w:rPr>
          <w:sz w:val="20"/>
          <w:szCs w:val="20"/>
          <w:color w:val="auto"/>
        </w:rPr>
      </w:pPr>
    </w:p>
    <w:p>
      <w:pPr>
        <w:ind w:left="9" w:right="140" w:firstLine="408"/>
        <w:spacing w:after="0" w:line="324" w:lineRule="auto"/>
        <w:rPr>
          <w:sz w:val="20"/>
          <w:szCs w:val="20"/>
          <w:color w:val="auto"/>
        </w:rPr>
      </w:pPr>
      <w:r>
        <w:rPr>
          <w:rFonts w:ascii="Arial" w:cs="Arial" w:eastAsia="Arial" w:hAnsi="Arial"/>
          <w:sz w:val="13"/>
          <w:szCs w:val="13"/>
          <w:i w:val="1"/>
          <w:iCs w:val="1"/>
          <w:color w:val="auto"/>
        </w:rPr>
        <w:t xml:space="preserve">Provision for income taxes. </w:t>
      </w:r>
      <w:r>
        <w:rPr>
          <w:rFonts w:ascii="Arial" w:cs="Arial" w:eastAsia="Arial" w:hAnsi="Arial"/>
          <w:sz w:val="13"/>
          <w:szCs w:val="13"/>
          <w:color w:val="auto"/>
        </w:rPr>
        <w:t>The income tax benefit was $0.9 million for the twenty-six weeks ended June 30, 2012 as compared to the income tax benefit of $5.4 million for the</w:t>
      </w:r>
      <w:r>
        <w:rPr>
          <w:rFonts w:ascii="Arial" w:cs="Arial" w:eastAsia="Arial" w:hAnsi="Arial"/>
          <w:sz w:val="13"/>
          <w:szCs w:val="13"/>
          <w:i w:val="1"/>
          <w:iCs w:val="1"/>
          <w:color w:val="auto"/>
        </w:rPr>
        <w:t xml:space="preserve"> </w:t>
      </w:r>
      <w:r>
        <w:rPr>
          <w:rFonts w:ascii="Arial" w:cs="Arial" w:eastAsia="Arial" w:hAnsi="Arial"/>
          <w:sz w:val="13"/>
          <w:szCs w:val="13"/>
          <w:color w:val="auto"/>
        </w:rPr>
        <w:t>twenty-six weeks ended July 2, 2011. The effective tax rate was 9.2% for the twenty-six weeks ended June 30, 2012 compared to 37.6% for the twenty-six weeks ended July 2, 2011. The decrease in the effective tax rate was primarily attributable to the fluctuation in the valuation allowance recorded in the first twenty-six weeks of 2012 on the US deferred tax assets.</w:t>
      </w:r>
    </w:p>
    <w:p>
      <w:pPr>
        <w:spacing w:after="0" w:line="388"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Seasonality and Quarterly Results</w:t>
      </w:r>
    </w:p>
    <w:p>
      <w:pPr>
        <w:spacing w:after="0" w:line="240" w:lineRule="exact"/>
        <w:rPr>
          <w:sz w:val="20"/>
          <w:szCs w:val="20"/>
          <w:color w:val="auto"/>
        </w:rPr>
      </w:pPr>
    </w:p>
    <w:p>
      <w:pPr>
        <w:ind w:left="409"/>
        <w:spacing w:after="0"/>
        <w:rPr>
          <w:sz w:val="20"/>
          <w:szCs w:val="20"/>
          <w:color w:val="auto"/>
        </w:rPr>
      </w:pPr>
      <w:r>
        <w:rPr>
          <w:rFonts w:ascii="Arial" w:cs="Arial" w:eastAsia="Arial" w:hAnsi="Arial"/>
          <w:sz w:val="14"/>
          <w:szCs w:val="14"/>
          <w:color w:val="auto"/>
        </w:rPr>
        <w:t>Our operating results for one period may not be indicative of results for other periods, and may fluctuate significantly because of a variety of factors, including, but not limited to:</w:t>
      </w:r>
    </w:p>
    <w:p>
      <w:pPr>
        <w:spacing w:after="0" w:line="30" w:lineRule="exact"/>
        <w:rPr>
          <w:sz w:val="20"/>
          <w:szCs w:val="20"/>
          <w:color w:val="auto"/>
        </w:rPr>
      </w:pPr>
    </w:p>
    <w:p>
      <w:pPr>
        <w:ind w:left="209" w:hanging="209"/>
        <w:spacing w:after="0"/>
        <w:tabs>
          <w:tab w:leader="none" w:pos="209" w:val="left"/>
        </w:tabs>
        <w:numPr>
          <w:ilvl w:val="0"/>
          <w:numId w:val="11"/>
        </w:numPr>
        <w:rPr>
          <w:rFonts w:ascii="Arial" w:cs="Arial" w:eastAsia="Arial" w:hAnsi="Arial"/>
          <w:sz w:val="14"/>
          <w:szCs w:val="14"/>
          <w:color w:val="auto"/>
        </w:rPr>
      </w:pPr>
      <w:r>
        <w:rPr>
          <w:rFonts w:ascii="Arial" w:cs="Arial" w:eastAsia="Arial" w:hAnsi="Arial"/>
          <w:sz w:val="14"/>
          <w:szCs w:val="14"/>
          <w:color w:val="auto"/>
        </w:rPr>
        <w:t>changes in general economic conditions and consumer spending patterns; (2) increases or decreases in our comparable store sales; (3) fluctuations in the profitability of our stores;</w:t>
      </w:r>
    </w:p>
    <w:p>
      <w:pPr>
        <w:spacing w:after="0" w:line="20" w:lineRule="exact"/>
        <w:rPr>
          <w:rFonts w:ascii="Arial" w:cs="Arial" w:eastAsia="Arial" w:hAnsi="Arial"/>
          <w:sz w:val="14"/>
          <w:szCs w:val="14"/>
          <w:color w:val="auto"/>
        </w:rPr>
      </w:pPr>
    </w:p>
    <w:p>
      <w:pPr>
        <w:ind w:left="9" w:right="240" w:hanging="9"/>
        <w:spacing w:after="0" w:line="258" w:lineRule="auto"/>
        <w:tabs>
          <w:tab w:leader="none" w:pos="223" w:val="left"/>
        </w:tabs>
        <w:numPr>
          <w:ilvl w:val="0"/>
          <w:numId w:val="12"/>
        </w:numPr>
        <w:rPr>
          <w:rFonts w:ascii="Arial" w:cs="Arial" w:eastAsia="Arial" w:hAnsi="Arial"/>
          <w:sz w:val="15"/>
          <w:szCs w:val="15"/>
          <w:color w:val="auto"/>
        </w:rPr>
      </w:pPr>
      <w:r>
        <w:rPr>
          <w:rFonts w:ascii="Arial" w:cs="Arial" w:eastAsia="Arial" w:hAnsi="Arial"/>
          <w:sz w:val="15"/>
          <w:szCs w:val="15"/>
          <w:color w:val="auto"/>
        </w:rPr>
        <w:t>changes in foreign currency exchange rates; (5) the timing and frequency of our marketing initiatives, including national media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205" w:lineRule="exact"/>
        <w:rPr>
          <w:sz w:val="20"/>
          <w:szCs w:val="20"/>
          <w:color w:val="auto"/>
        </w:rPr>
      </w:pPr>
    </w:p>
    <w:p>
      <w:pPr>
        <w:ind w:left="9" w:right="240" w:firstLine="408"/>
        <w:spacing w:after="0" w:line="264" w:lineRule="auto"/>
        <w:rPr>
          <w:sz w:val="20"/>
          <w:szCs w:val="20"/>
          <w:color w:val="auto"/>
        </w:rPr>
      </w:pPr>
      <w:r>
        <w:rPr>
          <w:rFonts w:ascii="Arial" w:cs="Arial" w:eastAsia="Arial" w:hAnsi="Arial"/>
          <w:sz w:val="15"/>
          <w:szCs w:val="15"/>
          <w:color w:val="auto"/>
        </w:rPr>
        <w:t>The timing of store openings, closures and remodels may result in fluctuations in quarterly results as a result of the revenues and expenses associated with each store location. We typically incur most preopening costs for a new store in the three months immediately preceding the store’s opening. Expenses related to store closings are typically incurred in stages: when the decision is made to close the store, when the closure is communicated to store associates and at the time of closure.</w:t>
      </w:r>
    </w:p>
    <w:p>
      <w:pPr>
        <w:spacing w:after="0" w:line="201" w:lineRule="exact"/>
        <w:rPr>
          <w:sz w:val="20"/>
          <w:szCs w:val="20"/>
          <w:color w:val="auto"/>
        </w:rPr>
      </w:pPr>
    </w:p>
    <w:p>
      <w:pPr>
        <w:ind w:left="9" w:right="260" w:firstLine="408"/>
        <w:spacing w:after="0" w:line="264" w:lineRule="auto"/>
        <w:rPr>
          <w:sz w:val="20"/>
          <w:szCs w:val="20"/>
          <w:color w:val="auto"/>
        </w:rPr>
      </w:pPr>
      <w:r>
        <w:rPr>
          <w:rFonts w:ascii="Arial" w:cs="Arial" w:eastAsia="Arial" w:hAnsi="Arial"/>
          <w:sz w:val="15"/>
          <w:szCs w:val="15"/>
          <w:color w:val="auto"/>
        </w:rPr>
        <w:t>As a toy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2008 fiscal fourth quarter had 14 weeks.</w:t>
      </w:r>
    </w:p>
    <w:p>
      <w:pPr>
        <w:spacing w:after="0" w:line="200" w:lineRule="exact"/>
        <w:rPr>
          <w:sz w:val="20"/>
          <w:szCs w:val="20"/>
          <w:color w:val="auto"/>
        </w:rPr>
      </w:pPr>
    </w:p>
    <w:p>
      <w:pPr>
        <w:spacing w:after="0" w:line="224"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Liquidity and Capital Resources</w:t>
      </w:r>
    </w:p>
    <w:p>
      <w:pPr>
        <w:spacing w:after="0" w:line="240" w:lineRule="exact"/>
        <w:rPr>
          <w:sz w:val="20"/>
          <w:szCs w:val="20"/>
          <w:color w:val="auto"/>
        </w:rPr>
      </w:pPr>
    </w:p>
    <w:p>
      <w:pPr>
        <w:ind w:left="9" w:right="320" w:firstLine="408"/>
        <w:spacing w:after="0" w:line="264" w:lineRule="auto"/>
        <w:rPr>
          <w:sz w:val="20"/>
          <w:szCs w:val="20"/>
          <w:color w:val="auto"/>
        </w:rPr>
      </w:pPr>
      <w:r>
        <w:rPr>
          <w:rFonts w:ascii="Arial" w:cs="Arial" w:eastAsia="Arial" w:hAnsi="Arial"/>
          <w:sz w:val="15"/>
          <w:szCs w:val="15"/>
          <w:color w:val="auto"/>
        </w:rPr>
        <w:t>Our cash requirements are primarily for the opening of new stores, information systems, including Web site enhancements and maintenance and working capital. Historically, we have been able to meet these requirements through cash flow provided by operations. In the past, we have also generated capital from the sale and issuance of our securities to private investors and through our initial public offering, and our revolving line of credit.</w:t>
      </w:r>
    </w:p>
    <w:p>
      <w:pPr>
        <w:spacing w:after="0" w:line="201" w:lineRule="exact"/>
        <w:rPr>
          <w:sz w:val="20"/>
          <w:szCs w:val="20"/>
          <w:color w:val="auto"/>
        </w:rPr>
      </w:pPr>
    </w:p>
    <w:p>
      <w:pPr>
        <w:ind w:left="9" w:right="40" w:firstLine="408"/>
        <w:spacing w:after="0" w:line="258" w:lineRule="auto"/>
        <w:rPr>
          <w:sz w:val="20"/>
          <w:szCs w:val="20"/>
          <w:color w:val="auto"/>
        </w:rPr>
      </w:pPr>
      <w:r>
        <w:rPr>
          <w:rFonts w:ascii="Arial" w:cs="Arial" w:eastAsia="Arial" w:hAnsi="Arial"/>
          <w:sz w:val="15"/>
          <w:szCs w:val="15"/>
          <w:i w:val="1"/>
          <w:iCs w:val="1"/>
          <w:color w:val="auto"/>
        </w:rPr>
        <w:t xml:space="preserve">Operating Activities. </w:t>
      </w:r>
      <w:r>
        <w:rPr>
          <w:rFonts w:ascii="Arial" w:cs="Arial" w:eastAsia="Arial" w:hAnsi="Arial"/>
          <w:sz w:val="15"/>
          <w:szCs w:val="15"/>
          <w:color w:val="auto"/>
        </w:rPr>
        <w:t>Cash used in operating activities was $15.0 million for the twenty-six weeks ended June 30, 2012 as compared with $12.9 million for the twenty-six weeks</w:t>
      </w:r>
      <w:r>
        <w:rPr>
          <w:rFonts w:ascii="Arial" w:cs="Arial" w:eastAsia="Arial" w:hAnsi="Arial"/>
          <w:sz w:val="15"/>
          <w:szCs w:val="15"/>
          <w:i w:val="1"/>
          <w:iCs w:val="1"/>
          <w:color w:val="auto"/>
        </w:rPr>
        <w:t xml:space="preserve"> </w:t>
      </w:r>
      <w:r>
        <w:rPr>
          <w:rFonts w:ascii="Arial" w:cs="Arial" w:eastAsia="Arial" w:hAnsi="Arial"/>
          <w:sz w:val="15"/>
          <w:szCs w:val="15"/>
          <w:color w:val="auto"/>
        </w:rPr>
        <w:t>ended July 2, 2011, an increase of $2.1 million. Generally, changes in cash from operating activities are driven by changes in net income or loss and changes in operating assets and liabilities. In 2012, the use of cash resulting from the change in operating assets and liabilities decreased as compared to the year ago period, driven primarily by decreases and accounts payable and accrued expenses, partially offset by decreases in inventory. In 2011, the use of cash was driven primarily by decreases in accounts payable and accrued expenses and increases in receivables, partially offset by decreases in inventory.</w:t>
      </w:r>
    </w:p>
    <w:p>
      <w:pPr>
        <w:spacing w:after="0" w:line="206" w:lineRule="exact"/>
        <w:rPr>
          <w:sz w:val="20"/>
          <w:szCs w:val="20"/>
          <w:color w:val="auto"/>
        </w:rPr>
      </w:pPr>
    </w:p>
    <w:p>
      <w:pPr>
        <w:ind w:left="9" w:firstLine="408"/>
        <w:spacing w:after="0" w:line="258"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Cash used in investing activities was $6.1 million for the twenty-six weeks ended June 30, 2012 as compared to $7.2 million for the twenty-six weeks ended July</w:t>
      </w:r>
      <w:r>
        <w:rPr>
          <w:rFonts w:ascii="Arial" w:cs="Arial" w:eastAsia="Arial" w:hAnsi="Arial"/>
          <w:sz w:val="15"/>
          <w:szCs w:val="15"/>
          <w:i w:val="1"/>
          <w:iCs w:val="1"/>
          <w:color w:val="auto"/>
        </w:rPr>
        <w:t xml:space="preserve"> </w:t>
      </w:r>
      <w:r>
        <w:rPr>
          <w:rFonts w:ascii="Arial" w:cs="Arial" w:eastAsia="Arial" w:hAnsi="Arial"/>
          <w:sz w:val="15"/>
          <w:szCs w:val="15"/>
          <w:color w:val="auto"/>
        </w:rPr>
        <w:t>2, 2011, a decrease of $1.0 million. Cash used in investing activities during the twenty-six weeks ended June 30, 2012 primarily related to construction costs for new and remodeled stores, investments in central office information technology systems and the acquisition of trademarks and other intellectual property, offset by the maturity of short-term investments. Cash used in investing activities during the twenty-six weeks ended July 2, 2011 primarily related to investments in central office information technology systems and new store construction costs as well as the purchase of short term investments, net of maturities.</w:t>
      </w:r>
    </w:p>
    <w:p>
      <w:pPr>
        <w:spacing w:after="0" w:line="33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435" w:right="219" w:bottom="1440" w:gutter="0" w:footer="0" w:header="0"/>
        </w:sectPr>
      </w:pPr>
    </w:p>
    <w:bookmarkStart w:id="15" w:name="page16"/>
    <w:bookmarkEnd w:id="15"/>
    <w:p>
      <w:pPr>
        <w:ind w:right="40" w:firstLine="408"/>
        <w:spacing w:after="0" w:line="264" w:lineRule="auto"/>
        <w:rPr>
          <w:sz w:val="20"/>
          <w:szCs w:val="20"/>
          <w:color w:val="auto"/>
        </w:rPr>
      </w:pPr>
      <w:r>
        <w:rPr>
          <w:rFonts w:ascii="Arial" w:cs="Arial" w:eastAsia="Arial" w:hAnsi="Arial"/>
          <w:sz w:val="15"/>
          <w:szCs w:val="15"/>
          <w:i w:val="1"/>
          <w:iCs w:val="1"/>
          <w:color w:val="auto"/>
        </w:rPr>
        <w:t xml:space="preserve">Financing Activities. </w:t>
      </w:r>
      <w:r>
        <w:rPr>
          <w:rFonts w:ascii="Arial" w:cs="Arial" w:eastAsia="Arial" w:hAnsi="Arial"/>
          <w:sz w:val="15"/>
          <w:szCs w:val="15"/>
          <w:color w:val="auto"/>
        </w:rPr>
        <w:t>Cash used in financing activities was $-0- in the twenty-six weeks ended June 30, 2012 and $4.7 million in the twenty-six weeks ended July 2, 2011, which</w:t>
      </w:r>
      <w:r>
        <w:rPr>
          <w:rFonts w:ascii="Arial" w:cs="Arial" w:eastAsia="Arial" w:hAnsi="Arial"/>
          <w:sz w:val="15"/>
          <w:szCs w:val="15"/>
          <w:i w:val="1"/>
          <w:iCs w:val="1"/>
          <w:color w:val="auto"/>
        </w:rPr>
        <w:t xml:space="preserve"> </w:t>
      </w:r>
      <w:r>
        <w:rPr>
          <w:rFonts w:ascii="Arial" w:cs="Arial" w:eastAsia="Arial" w:hAnsi="Arial"/>
          <w:sz w:val="15"/>
          <w:szCs w:val="15"/>
          <w:color w:val="auto"/>
        </w:rPr>
        <w:t>consisted primarily of cash used for repurchases of the Company’s common stock. No borrowings were made under our line of credit in either the twenty-six weeks ended June 30, 2012 or July 2, 2011.</w:t>
      </w:r>
    </w:p>
    <w:p>
      <w:pPr>
        <w:spacing w:after="0" w:line="201" w:lineRule="exact"/>
        <w:rPr>
          <w:sz w:val="20"/>
          <w:szCs w:val="20"/>
          <w:color w:val="auto"/>
        </w:rPr>
      </w:pPr>
    </w:p>
    <w:p>
      <w:pPr>
        <w:ind w:right="100" w:firstLine="408"/>
        <w:spacing w:after="0" w:line="260" w:lineRule="auto"/>
        <w:rPr>
          <w:sz w:val="20"/>
          <w:szCs w:val="20"/>
          <w:color w:val="auto"/>
        </w:rPr>
      </w:pPr>
      <w:r>
        <w:rPr>
          <w:rFonts w:ascii="Arial" w:cs="Arial" w:eastAsia="Arial" w:hAnsi="Arial"/>
          <w:sz w:val="15"/>
          <w:szCs w:val="15"/>
          <w:i w:val="1"/>
          <w:iCs w:val="1"/>
          <w:color w:val="auto"/>
        </w:rPr>
        <w:t xml:space="preserve">Capital Resources. </w:t>
      </w:r>
      <w:r>
        <w:rPr>
          <w:rFonts w:ascii="Arial" w:cs="Arial" w:eastAsia="Arial" w:hAnsi="Arial"/>
          <w:sz w:val="15"/>
          <w:szCs w:val="15"/>
          <w:color w:val="auto"/>
        </w:rPr>
        <w:t>As of June 30, 2012, we had a consolidated cash balance of $26.5 million, the majority of which was held outside of the United States. We also have a line of</w:t>
      </w:r>
      <w:r>
        <w:rPr>
          <w:rFonts w:ascii="Arial" w:cs="Arial" w:eastAsia="Arial" w:hAnsi="Arial"/>
          <w:sz w:val="15"/>
          <w:szCs w:val="15"/>
          <w:i w:val="1"/>
          <w:iCs w:val="1"/>
          <w:color w:val="auto"/>
        </w:rPr>
        <w:t xml:space="preserve"> </w:t>
      </w:r>
      <w:r>
        <w:rPr>
          <w:rFonts w:ascii="Arial" w:cs="Arial" w:eastAsia="Arial" w:hAnsi="Arial"/>
          <w:sz w:val="15"/>
          <w:szCs w:val="15"/>
          <w:color w:val="auto"/>
        </w:rPr>
        <w:t>credit, which we can use to finance capital expenditures and working capital needs throughout the year. The credit agreement is with U.S. Bank, National Association and was amended effective June 30, 2012 to decrease the minimum tangible net worth covenant as of the end of the second and third fiscal quarters of 2012. Except for this change, the terms and conditions of the line of credit remain unchanged.</w:t>
      </w:r>
    </w:p>
    <w:p>
      <w:pPr>
        <w:spacing w:after="0" w:line="205" w:lineRule="exact"/>
        <w:rPr>
          <w:sz w:val="20"/>
          <w:szCs w:val="20"/>
          <w:color w:val="auto"/>
        </w:rPr>
      </w:pPr>
    </w:p>
    <w:p>
      <w:pPr>
        <w:ind w:firstLine="408"/>
        <w:spacing w:after="0" w:line="275" w:lineRule="auto"/>
        <w:rPr>
          <w:sz w:val="20"/>
          <w:szCs w:val="20"/>
          <w:color w:val="auto"/>
        </w:rPr>
      </w:pPr>
      <w:r>
        <w:rPr>
          <w:rFonts w:ascii="Arial" w:cs="Arial" w:eastAsia="Arial" w:hAnsi="Arial"/>
          <w:sz w:val="14"/>
          <w:szCs w:val="14"/>
          <w:color w:val="auto"/>
        </w:rPr>
        <w:t>The bank line continues to provide availability of $40 million for the first half of the fiscal year and a seasonal overline of $50 million. The seasonal overline is in effect from July 1 to December 31 each year. Borrowings under the credit agreement are secured by our assets and a pledge of 65% of our ownership interest in our foreign subsidiaries. The credit agreement expires on December 31, 2013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June 30, 2012: (i) we were in compliance with these covenants; (ii) there were no borrowings under our line of credit; (iii) there was a standby letter of credit of approximately $1.1 million outstanding under the credit agreement; and (iv) there was approximately $38.9 million available for borrowing under the line of credit.</w:t>
      </w:r>
    </w:p>
    <w:p>
      <w:pPr>
        <w:spacing w:after="0" w:line="153" w:lineRule="exact"/>
        <w:rPr>
          <w:sz w:val="20"/>
          <w:szCs w:val="20"/>
          <w:color w:val="auto"/>
        </w:rPr>
      </w:pPr>
    </w:p>
    <w:p>
      <w:pPr>
        <w:ind w:right="20" w:firstLine="408"/>
        <w:spacing w:after="0" w:line="258" w:lineRule="auto"/>
        <w:rPr>
          <w:sz w:val="20"/>
          <w:szCs w:val="20"/>
          <w:color w:val="auto"/>
        </w:rPr>
      </w:pPr>
      <w:r>
        <w:rPr>
          <w:rFonts w:ascii="Arial" w:cs="Arial" w:eastAsia="Arial" w:hAnsi="Arial"/>
          <w:sz w:val="15"/>
          <w:szCs w:val="15"/>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206" w:lineRule="exact"/>
        <w:rPr>
          <w:sz w:val="20"/>
          <w:szCs w:val="20"/>
          <w:color w:val="auto"/>
        </w:rPr>
      </w:pPr>
    </w:p>
    <w:p>
      <w:pPr>
        <w:ind w:right="120" w:firstLine="408"/>
        <w:spacing w:after="0" w:line="260" w:lineRule="auto"/>
        <w:rPr>
          <w:sz w:val="20"/>
          <w:szCs w:val="20"/>
          <w:color w:val="auto"/>
        </w:rPr>
      </w:pPr>
      <w:r>
        <w:rPr>
          <w:rFonts w:ascii="Arial" w:cs="Arial" w:eastAsia="Arial" w:hAnsi="Arial"/>
          <w:sz w:val="15"/>
          <w:szCs w:val="15"/>
          <w:color w:val="auto"/>
        </w:rPr>
        <w:t>Our leases in the U.K. and Ireland typically have terms of 10 to 15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relocate existing stores and open new stores. Real estate taxes also change according to government time schedules to reflect current market rental rates for the locations we lease. Rents are charged quarterly and paid in advance.</w:t>
      </w:r>
    </w:p>
    <w:p>
      <w:pPr>
        <w:spacing w:after="0" w:line="205" w:lineRule="exact"/>
        <w:rPr>
          <w:sz w:val="20"/>
          <w:szCs w:val="20"/>
          <w:color w:val="auto"/>
        </w:rPr>
      </w:pPr>
    </w:p>
    <w:p>
      <w:pPr>
        <w:jc w:val="both"/>
        <w:ind w:right="100" w:firstLine="408"/>
        <w:spacing w:after="0" w:line="264" w:lineRule="auto"/>
        <w:rPr>
          <w:sz w:val="20"/>
          <w:szCs w:val="20"/>
          <w:color w:val="auto"/>
        </w:rPr>
      </w:pPr>
      <w:r>
        <w:rPr>
          <w:rFonts w:ascii="Arial" w:cs="Arial" w:eastAsia="Arial" w:hAnsi="Arial"/>
          <w:sz w:val="15"/>
          <w:szCs w:val="15"/>
          <w:color w:val="auto"/>
        </w:rPr>
        <w:t>In fiscal 2012, we expect to spend a total of $20 to $23 million on capital expenditures. Capital spending through the twenty-six weeks ended June 30, 2012 totaled $8.3 million, on track with our full year plans. Capital spending in fiscal 2012 is primarily for the remodeling of approximately 15 stores and opening of five new stores, with six of these stores in our new design and the continued installation and upgrades of central office information technology systems.</w:t>
      </w:r>
    </w:p>
    <w:p>
      <w:pPr>
        <w:spacing w:after="0" w:line="156" w:lineRule="exact"/>
        <w:rPr>
          <w:sz w:val="20"/>
          <w:szCs w:val="20"/>
          <w:color w:val="auto"/>
        </w:rPr>
      </w:pPr>
    </w:p>
    <w:p>
      <w:pPr>
        <w:ind w:right="120" w:firstLine="408"/>
        <w:spacing w:after="0" w:line="277" w:lineRule="auto"/>
        <w:rPr>
          <w:sz w:val="20"/>
          <w:szCs w:val="20"/>
          <w:color w:val="auto"/>
        </w:rPr>
      </w:pPr>
      <w:r>
        <w:rPr>
          <w:rFonts w:ascii="Arial" w:cs="Arial" w:eastAsia="Arial" w:hAnsi="Arial"/>
          <w:sz w:val="15"/>
          <w:szCs w:val="15"/>
          <w:color w:val="auto"/>
        </w:rPr>
        <w:t>We believe that cash generated from operations and available borrowings under our credit agreement will be sufficient to fund our working capital and other cash flow requirements for the near future. Our credit agreement expires on December 31, 2013.</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6" w:name="page17"/>
    <w:bookmarkEnd w:id="16"/>
    <w:p>
      <w:pPr>
        <w:ind w:right="20" w:firstLine="408"/>
        <w:spacing w:after="0" w:line="302" w:lineRule="auto"/>
        <w:rPr>
          <w:sz w:val="20"/>
          <w:szCs w:val="20"/>
          <w:color w:val="auto"/>
        </w:rPr>
      </w:pPr>
      <w:r>
        <w:rPr>
          <w:rFonts w:ascii="Arial" w:cs="Arial" w:eastAsia="Arial" w:hAnsi="Arial"/>
          <w:sz w:val="13"/>
          <w:szCs w:val="13"/>
          <w:color w:val="auto"/>
        </w:rPr>
        <w:t>On February 20, 2007, we announced that our board of directors had authorized a $25 million share repurchase program of our outstanding common stock. On March 10, 2008, we announced an expansion of our share repurchase program to $50 million. On February 23, 2012, we announced that our share repurchase program had been extended to March 31, 2013. We currently intend to purchase up to an aggregate of $50 million of our common stock in the open market (including through 10b5-1 plans), through privately negotiated transactions or through an accelerated repurchase transaction. The primary source of funding for the program is expected to be cash on hand. The timing and amount of share repurchases, if any, will depend on price, market conditions, applicable regulatory requirements, and other factors. The program does not require us to repurchase any specific number of shares and may be modified, suspended or terminated at any time without prior notice. Shares repurchased under the program are subsequently retired. As of August 6, 2012, approximately 5.5 million shares at an average price of $7.47 per share have been repurchased under this program for an aggregate amount of $41.3 million, leaving $8.7 million of availability under the program.</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240" w:lineRule="exact"/>
        <w:rPr>
          <w:sz w:val="20"/>
          <w:szCs w:val="20"/>
          <w:color w:val="auto"/>
        </w:rPr>
      </w:pPr>
    </w:p>
    <w:p>
      <w:pPr>
        <w:ind w:firstLine="544"/>
        <w:spacing w:after="0" w:line="258" w:lineRule="auto"/>
        <w:rPr>
          <w:sz w:val="20"/>
          <w:szCs w:val="20"/>
          <w:color w:val="auto"/>
        </w:rPr>
      </w:pPr>
      <w:r>
        <w:rPr>
          <w:rFonts w:ascii="Arial" w:cs="Arial" w:eastAsia="Arial" w:hAnsi="Arial"/>
          <w:sz w:val="15"/>
          <w:szCs w:val="15"/>
          <w:color w:val="auto"/>
        </w:rPr>
        <w:t>We hold a minority interest in Ridemakerz, which is accounted for under the equity method. In 2006, we granted a put option to a group of investors for 1.25 million common units at an exercise price of $0.50 per unit. As previously disclosed in our annual report on Form 10-K as filed with the SEC on March 15, 2012, the put option on all 1.25 million shares was exercised on February 13, 2012. As of June 30, 2012, the book value of our investment in Ridemakerz had been reduced to zero. We still retain an ownership interest of approximately 25%. Under the current agreements, we may, at our option, own up to approximately 33% of fully diluted equity in Ridemakerz. We have no material remaining obligations under the current agreements related to our interest in Ridemakerz.</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Estimates</w:t>
      </w:r>
    </w:p>
    <w:p>
      <w:pPr>
        <w:spacing w:after="0" w:line="240" w:lineRule="exact"/>
        <w:rPr>
          <w:sz w:val="20"/>
          <w:szCs w:val="20"/>
          <w:color w:val="auto"/>
        </w:rPr>
      </w:pPr>
    </w:p>
    <w:p>
      <w:pPr>
        <w:ind w:firstLine="408"/>
        <w:spacing w:after="0" w:line="264" w:lineRule="auto"/>
        <w:rPr>
          <w:sz w:val="20"/>
          <w:szCs w:val="20"/>
          <w:color w:val="auto"/>
        </w:rPr>
      </w:pPr>
      <w:r>
        <w:rPr>
          <w:rFonts w:ascii="Arial" w:cs="Arial" w:eastAsia="Arial" w:hAnsi="Arial"/>
          <w:sz w:val="15"/>
          <w:szCs w:val="15"/>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56" w:lineRule="exact"/>
        <w:rPr>
          <w:sz w:val="20"/>
          <w:szCs w:val="20"/>
          <w:color w:val="auto"/>
        </w:rPr>
      </w:pPr>
    </w:p>
    <w:p>
      <w:pPr>
        <w:ind w:right="120" w:firstLine="408"/>
        <w:spacing w:after="0" w:line="324" w:lineRule="auto"/>
        <w:rPr>
          <w:sz w:val="20"/>
          <w:szCs w:val="20"/>
          <w:color w:val="auto"/>
        </w:rPr>
      </w:pPr>
      <w:r>
        <w:rPr>
          <w:rFonts w:ascii="Arial" w:cs="Arial" w:eastAsia="Arial" w:hAnsi="Arial"/>
          <w:sz w:val="13"/>
          <w:szCs w:val="13"/>
          <w:color w:val="auto"/>
        </w:rPr>
        <w:t>We believe the application of accounting policies, and the estimates inherently required therein, are reasonable. These accounting policies and estimates, including those related to inventory, long-lived assets, goodwill and revenue recognition,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65" w:lineRule="exact"/>
        <w:rPr>
          <w:sz w:val="20"/>
          <w:szCs w:val="20"/>
          <w:color w:val="auto"/>
        </w:rPr>
      </w:pPr>
    </w:p>
    <w:p>
      <w:pPr>
        <w:ind w:right="40" w:firstLine="408"/>
        <w:spacing w:after="0" w:line="264" w:lineRule="auto"/>
        <w:rPr>
          <w:sz w:val="20"/>
          <w:szCs w:val="20"/>
          <w:color w:val="auto"/>
        </w:rPr>
      </w:pPr>
      <w:r>
        <w:rPr>
          <w:rFonts w:ascii="Arial" w:cs="Arial" w:eastAsia="Arial" w:hAnsi="Arial"/>
          <w:sz w:val="15"/>
          <w:szCs w:val="15"/>
          <w:color w:val="auto"/>
        </w:rPr>
        <w:t>Our critical accounting policies and estimates are discussed in and should be read in conjunction with our annual report on Form 10-K, as filed with the SEC on March 15, 2012, which includes audited consolidated financial statements for our 2011, 2010 and 2009 fiscal years. There have been no material changes to the critical accounting estimates disclosed in the 2011 Form 10-K, except as follows:</w:t>
      </w:r>
    </w:p>
    <w:p>
      <w:pPr>
        <w:spacing w:after="0" w:line="201" w:lineRule="exact"/>
        <w:rPr>
          <w:sz w:val="20"/>
          <w:szCs w:val="20"/>
          <w:color w:val="auto"/>
        </w:rPr>
      </w:pPr>
    </w:p>
    <w:p>
      <w:pPr>
        <w:ind w:right="100" w:firstLine="408"/>
        <w:spacing w:after="0" w:line="260" w:lineRule="auto"/>
        <w:rPr>
          <w:sz w:val="20"/>
          <w:szCs w:val="20"/>
          <w:color w:val="auto"/>
        </w:rPr>
      </w:pPr>
      <w:r>
        <w:rPr>
          <w:rFonts w:ascii="Arial" w:cs="Arial" w:eastAsia="Arial" w:hAnsi="Arial"/>
          <w:sz w:val="15"/>
          <w:szCs w:val="15"/>
          <w:color w:val="auto"/>
        </w:rPr>
        <w:t>In February 2012, we refreshed our Stuff Fur Stuff program. Changes included earlier point expiration and more frequent awards in North America. We also introduced reward certificates in the United Kingdom. These changes added additional elements to the estimate, but the calculation will continue to use similar inputs and historical data to those described in the Form 10-K. While these changes did not have a material net impact to the reserve in the current period, any one of the new or changed elements could have a material effect in future periods. We will continue to evaluate point accumulation and redemption patterns as trends develop over time.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There are no new accounting pronouncements for which adoption is expected to have a material effect on the Company’s financial statements in future accounting periods.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Quantitative and Qualitative Disclosures About Market Risk.</w:t>
      </w:r>
    </w:p>
    <w:p>
      <w:pPr>
        <w:spacing w:after="0" w:line="240" w:lineRule="exact"/>
        <w:rPr>
          <w:sz w:val="20"/>
          <w:szCs w:val="20"/>
          <w:color w:val="auto"/>
        </w:rPr>
      </w:pPr>
    </w:p>
    <w:p>
      <w:pPr>
        <w:ind w:firstLine="408"/>
        <w:spacing w:after="0" w:line="279" w:lineRule="auto"/>
        <w:rPr>
          <w:sz w:val="20"/>
          <w:szCs w:val="20"/>
          <w:color w:val="auto"/>
        </w:rPr>
      </w:pPr>
      <w:r>
        <w:rPr>
          <w:rFonts w:ascii="Arial" w:cs="Arial" w:eastAsia="Arial" w:hAnsi="Arial"/>
          <w:sz w:val="14"/>
          <w:szCs w:val="14"/>
          <w:color w:val="auto"/>
        </w:rPr>
        <w:t>Our market risks relate primarily to changes in interest rates, and we bear this risk in two specific ways. First, our revolving credit facility carries a variable interest rate that is tied to market indices and, therefore, our results of operations and our cash flows can be impacted by changes in interest rates. Outstanding balances under our credit facility bear interest at LIBOR plus 1.8%. We had no borrowings outstanding during the first half of fiscal 2012. Accordingly, a 100 basis point change in interest rates would result in no material change to our annual interest expense. The second component of interest rate risk involves the investment of excess cash in short term, investment grade interest-bearing securities. These investments are considered to be cash equivalents or short-term investments, based on their original maturity and are classified accordingly on our balance sheet. If there are changes in interest rates, those changes would affect the investment income we earn on these investments and, therefore, impact our cash flows and results of operations.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7" w:name="page18"/>
    <w:bookmarkEnd w:id="17"/>
    <w:p>
      <w:pPr>
        <w:ind w:right="20" w:firstLine="408"/>
        <w:spacing w:after="0" w:line="260" w:lineRule="auto"/>
        <w:rPr>
          <w:sz w:val="20"/>
          <w:szCs w:val="20"/>
          <w:color w:val="auto"/>
        </w:rPr>
      </w:pPr>
      <w:r>
        <w:rPr>
          <w:rFonts w:ascii="Arial" w:cs="Arial" w:eastAsia="Arial" w:hAnsi="Arial"/>
          <w:sz w:val="15"/>
          <w:szCs w:val="15"/>
          <w:color w:val="auto"/>
        </w:rPr>
        <w:t>We conduct operations in various countries, which expose us to changes in foreign exchange rates. The financial results of our foreign subsidiaries and franchisees may be materially impacted by exposure to fluctuating exchange rates. Reported sales, costs and expenses at our foreign subsidiaries, when translated into U.S. dollars for financial reporting purposes, can fluctuate due to exchange rate movement. While exchange rate fluctuations can have a material impact on reported revenues, costs and expenses, and earnings, this impact is principally the result of the translation effect and does not materially impact our short-term cash flows.</w:t>
      </w:r>
    </w:p>
    <w:p>
      <w:pPr>
        <w:spacing w:after="0" w:line="205" w:lineRule="exact"/>
        <w:rPr>
          <w:sz w:val="20"/>
          <w:szCs w:val="20"/>
          <w:color w:val="auto"/>
        </w:rPr>
      </w:pPr>
    </w:p>
    <w:p>
      <w:pPr>
        <w:jc w:val="both"/>
        <w:ind w:right="40" w:firstLine="408"/>
        <w:spacing w:after="0" w:line="264" w:lineRule="auto"/>
        <w:rPr>
          <w:sz w:val="20"/>
          <w:szCs w:val="20"/>
          <w:color w:val="auto"/>
        </w:rPr>
      </w:pPr>
      <w:r>
        <w:rPr>
          <w:rFonts w:ascii="Arial" w:cs="Arial" w:eastAsia="Arial" w:hAnsi="Arial"/>
          <w:sz w:val="15"/>
          <w:szCs w:val="15"/>
          <w:color w:val="auto"/>
        </w:rPr>
        <w:t>Although we enter into a significant amount of purchase obligations outside of the U.S., these obligations are settled primarily in U.S. dollars and, therefore, we believe we have only minimal exposure at present to foreign currency exchange risks for our purchase obligations. Historically, we have not hedged our currency risk and do not currently anticipate doing so in the future.</w:t>
      </w:r>
    </w:p>
    <w:p>
      <w:pPr>
        <w:spacing w:after="0" w:line="201"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do not engage in financial transactions for trading or speculative purposes.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Controls and Procedures.</w:t>
      </w:r>
    </w:p>
    <w:p>
      <w:pPr>
        <w:spacing w:after="0" w:line="181" w:lineRule="exact"/>
        <w:rPr>
          <w:sz w:val="20"/>
          <w:szCs w:val="20"/>
          <w:color w:val="auto"/>
        </w:rPr>
      </w:pPr>
    </w:p>
    <w:p>
      <w:pPr>
        <w:ind w:right="200" w:firstLine="408"/>
        <w:spacing w:after="0" w:line="281" w:lineRule="auto"/>
        <w:rPr>
          <w:sz w:val="20"/>
          <w:szCs w:val="20"/>
          <w:color w:val="auto"/>
        </w:rPr>
      </w:pPr>
      <w:r>
        <w:rPr>
          <w:rFonts w:ascii="Arial" w:cs="Arial" w:eastAsia="Arial" w:hAnsi="Arial"/>
          <w:sz w:val="14"/>
          <w:szCs w:val="14"/>
          <w:i w:val="1"/>
          <w:iCs w:val="1"/>
          <w:color w:val="auto"/>
        </w:rPr>
        <w:t xml:space="preserve">Disclosure Controls and Procedures. </w:t>
      </w:r>
      <w:r>
        <w:rPr>
          <w:rFonts w:ascii="Arial" w:cs="Arial" w:eastAsia="Arial" w:hAnsi="Arial"/>
          <w:sz w:val="14"/>
          <w:szCs w:val="14"/>
          <w:color w:val="auto"/>
        </w:rPr>
        <w:t>The Company’s management, with the participation of the Company’s Chief Executive Bear and Chief Operations and Financial Bear, has</w:t>
      </w:r>
      <w:r>
        <w:rPr>
          <w:rFonts w:ascii="Arial" w:cs="Arial" w:eastAsia="Arial" w:hAnsi="Arial"/>
          <w:sz w:val="14"/>
          <w:szCs w:val="14"/>
          <w:i w:val="1"/>
          <w:iCs w:val="1"/>
          <w:color w:val="auto"/>
        </w:rPr>
        <w:t xml:space="preserve"> </w:t>
      </w:r>
      <w:r>
        <w:rPr>
          <w:rFonts w:ascii="Arial" w:cs="Arial" w:eastAsia="Arial" w:hAnsi="Arial"/>
          <w:sz w:val="14"/>
          <w:szCs w:val="14"/>
          <w:color w:val="auto"/>
        </w:rPr>
        <w:t>evaluated the effectiveness of the Company’s disclosure controls and procedures (as such term is defined in Rules 13a-15(e) and 15d-15(e) under the Securities Exchange Act of 1934, as amended (the Exchange Act)), as of the end of the period covered by this report. Our disclosure controls are designed to provide reasonable assurance of achieving their objectives and based on the aforementioned evaluation, the Company’s management, including the Chief Executive Bear and Chief Operations and Financial Bear, have concluded that the Company’s disclosure controls and procedures were effective at the reasonable assurance level as of June 30, 2012, the end of the period covered by this quarterly report.</w:t>
      </w:r>
    </w:p>
    <w:p>
      <w:pPr>
        <w:spacing w:after="0" w:line="146" w:lineRule="exact"/>
        <w:rPr>
          <w:sz w:val="20"/>
          <w:szCs w:val="20"/>
          <w:color w:val="auto"/>
        </w:rPr>
      </w:pPr>
    </w:p>
    <w:p>
      <w:pPr>
        <w:ind w:firstLine="408"/>
        <w:spacing w:after="0" w:line="299" w:lineRule="auto"/>
        <w:rPr>
          <w:sz w:val="20"/>
          <w:szCs w:val="20"/>
          <w:color w:val="auto"/>
        </w:rPr>
      </w:pPr>
      <w:r>
        <w:rPr>
          <w:rFonts w:ascii="Arial" w:cs="Arial" w:eastAsia="Arial" w:hAnsi="Arial"/>
          <w:sz w:val="13"/>
          <w:szCs w:val="13"/>
          <w:color w:val="auto"/>
        </w:rPr>
        <w:t>It should be noted that our management, including the Chief Executive Bear and the Chief Operations and Financial Bear, does not expect that the Company’s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37" w:lineRule="exact"/>
        <w:rPr>
          <w:sz w:val="20"/>
          <w:szCs w:val="20"/>
          <w:color w:val="auto"/>
        </w:rPr>
      </w:pPr>
    </w:p>
    <w:p>
      <w:pPr>
        <w:ind w:right="200" w:firstLine="408"/>
        <w:spacing w:after="0" w:line="260" w:lineRule="auto"/>
        <w:rPr>
          <w:sz w:val="20"/>
          <w:szCs w:val="20"/>
          <w:color w:val="auto"/>
        </w:rPr>
      </w:pPr>
      <w:r>
        <w:rPr>
          <w:rFonts w:ascii="Arial" w:cs="Arial" w:eastAsia="Arial" w:hAnsi="Arial"/>
          <w:sz w:val="15"/>
          <w:szCs w:val="15"/>
          <w:i w:val="1"/>
          <w:iCs w:val="1"/>
          <w:color w:val="auto"/>
        </w:rPr>
        <w:t xml:space="preserve">Changes in Internal Control Over Financial Reporting. </w:t>
      </w:r>
      <w:r>
        <w:rPr>
          <w:rFonts w:ascii="Arial" w:cs="Arial" w:eastAsia="Arial" w:hAnsi="Arial"/>
          <w:sz w:val="15"/>
          <w:szCs w:val="15"/>
          <w:color w:val="auto"/>
        </w:rPr>
        <w:t>The Company’s management, with the participation of the Company’s Chief Executive Bear and Chief Operations and</w:t>
      </w:r>
      <w:r>
        <w:rPr>
          <w:rFonts w:ascii="Arial" w:cs="Arial" w:eastAsia="Arial" w:hAnsi="Arial"/>
          <w:sz w:val="15"/>
          <w:szCs w:val="15"/>
          <w:i w:val="1"/>
          <w:iCs w:val="1"/>
          <w:color w:val="auto"/>
        </w:rPr>
        <w:t xml:space="preserve"> </w:t>
      </w:r>
      <w:r>
        <w:rPr>
          <w:rFonts w:ascii="Arial" w:cs="Arial" w:eastAsia="Arial" w:hAnsi="Arial"/>
          <w:sz w:val="15"/>
          <w:szCs w:val="15"/>
          <w:color w:val="auto"/>
        </w:rPr>
        <w:t>Financial Bear,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20"/>
          </w:cols>
          <w:pgMar w:left="240" w:top="480" w:right="239" w:bottom="1440" w:gutter="0" w:footer="0" w:header="0"/>
        </w:sectPr>
      </w:pPr>
    </w:p>
    <w:bookmarkStart w:id="18" w:name="page19"/>
    <w:bookmarkEnd w:id="18"/>
    <w:p>
      <w:pPr>
        <w:jc w:val="center"/>
        <w:ind w:right="-8"/>
        <w:spacing w:after="0"/>
        <w:rPr>
          <w:sz w:val="20"/>
          <w:szCs w:val="20"/>
          <w:color w:val="auto"/>
        </w:rPr>
      </w:pPr>
      <w:r>
        <w:rPr>
          <w:rFonts w:ascii="Arial" w:cs="Arial" w:eastAsia="Arial" w:hAnsi="Arial"/>
          <w:sz w:val="15"/>
          <w:szCs w:val="15"/>
          <w:b w:val="1"/>
          <w:bCs w:val="1"/>
          <w:color w:val="auto"/>
        </w:rPr>
        <w:t>PART II – OTHER INFORMATION</w:t>
      </w:r>
    </w:p>
    <w:p>
      <w:pPr>
        <w:spacing w:after="0" w:line="236"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Item 1A. Risk Factors</w:t>
      </w:r>
    </w:p>
    <w:p>
      <w:pPr>
        <w:spacing w:after="0" w:line="240" w:lineRule="exact"/>
        <w:rPr>
          <w:sz w:val="20"/>
          <w:szCs w:val="20"/>
          <w:color w:val="auto"/>
        </w:rPr>
      </w:pPr>
    </w:p>
    <w:p>
      <w:pPr>
        <w:ind w:left="409"/>
        <w:spacing w:after="0"/>
        <w:rPr>
          <w:sz w:val="20"/>
          <w:szCs w:val="20"/>
          <w:color w:val="auto"/>
        </w:rPr>
      </w:pPr>
      <w:r>
        <w:rPr>
          <w:rFonts w:ascii="Arial" w:cs="Arial" w:eastAsia="Arial" w:hAnsi="Arial"/>
          <w:sz w:val="13"/>
          <w:szCs w:val="13"/>
          <w:color w:val="auto"/>
        </w:rPr>
        <w:t>There have been no material changes to our Risk Factors as disclosed in our Annual Report on Form 10-K for the year ended December 31, 2011 as filed with the SEC on March 15,</w:t>
      </w:r>
    </w:p>
    <w:p>
      <w:pPr>
        <w:spacing w:after="0" w:line="41" w:lineRule="exact"/>
        <w:rPr>
          <w:sz w:val="20"/>
          <w:szCs w:val="20"/>
          <w:color w:val="auto"/>
        </w:rPr>
      </w:pPr>
    </w:p>
    <w:p>
      <w:pPr>
        <w:ind w:left="9"/>
        <w:spacing w:after="0"/>
        <w:rPr>
          <w:sz w:val="20"/>
          <w:szCs w:val="20"/>
          <w:color w:val="auto"/>
        </w:rPr>
      </w:pPr>
      <w:r>
        <w:rPr>
          <w:rFonts w:ascii="Arial" w:cs="Arial" w:eastAsia="Arial" w:hAnsi="Arial"/>
          <w:sz w:val="15"/>
          <w:szCs w:val="15"/>
          <w:color w:val="auto"/>
        </w:rPr>
        <w:t>2012.</w:t>
      </w:r>
    </w:p>
    <w:p>
      <w:pPr>
        <w:spacing w:after="0" w:line="200" w:lineRule="exact"/>
        <w:rPr>
          <w:sz w:val="20"/>
          <w:szCs w:val="20"/>
          <w:color w:val="auto"/>
        </w:rPr>
      </w:pPr>
    </w:p>
    <w:p>
      <w:pPr>
        <w:spacing w:after="0" w:line="249" w:lineRule="exact"/>
        <w:rPr>
          <w:sz w:val="20"/>
          <w:szCs w:val="20"/>
          <w:color w:val="auto"/>
        </w:rPr>
      </w:pPr>
    </w:p>
    <w:tbl>
      <w:tblPr>
        <w:tblLayout w:type="fixed"/>
        <w:tblInd w:w="9" w:type="dxa"/>
        <w:tblCellMar>
          <w:top w:w="0" w:type="dxa"/>
          <w:left w:w="0" w:type="dxa"/>
          <w:bottom w:w="0" w:type="dxa"/>
          <w:right w:w="0" w:type="dxa"/>
        </w:tblCellMar>
      </w:tblPr>
      <w:tr>
        <w:trPr>
          <w:trHeight w:val="195"/>
        </w:trPr>
        <w:tc>
          <w:tcPr>
            <w:tcW w:w="7480" w:type="dxa"/>
            <w:vAlign w:val="bottom"/>
            <w:gridSpan w:val="6"/>
          </w:tcPr>
          <w:p>
            <w:pPr>
              <w:spacing w:after="0"/>
              <w:rPr>
                <w:sz w:val="20"/>
                <w:szCs w:val="20"/>
                <w:color w:val="auto"/>
              </w:rPr>
            </w:pPr>
            <w:r>
              <w:rPr>
                <w:rFonts w:ascii="Arial" w:cs="Arial" w:eastAsia="Arial" w:hAnsi="Arial"/>
                <w:sz w:val="15"/>
                <w:szCs w:val="15"/>
                <w:b w:val="1"/>
                <w:bCs w:val="1"/>
                <w:color w:val="auto"/>
              </w:rPr>
              <w:t>Item 2. Unregistered Sales of Equity Securities and Use of Proceeds</w:t>
            </w: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75"/>
        </w:trPr>
        <w:tc>
          <w:tcPr>
            <w:tcW w:w="3020" w:type="dxa"/>
            <w:vAlign w:val="bottom"/>
          </w:tcPr>
          <w:p>
            <w:pPr>
              <w:spacing w:after="0"/>
              <w:rPr>
                <w:sz w:val="24"/>
                <w:szCs w:val="24"/>
                <w:color w:val="auto"/>
              </w:rPr>
            </w:pPr>
          </w:p>
        </w:tc>
        <w:tc>
          <w:tcPr>
            <w:tcW w:w="4460" w:type="dxa"/>
            <w:vAlign w:val="bottom"/>
            <w:gridSpan w:val="5"/>
          </w:tcPr>
          <w:p>
            <w:pPr>
              <w:ind w:left="1020"/>
              <w:spacing w:after="0"/>
              <w:rPr>
                <w:sz w:val="20"/>
                <w:szCs w:val="20"/>
                <w:color w:val="auto"/>
              </w:rPr>
            </w:pPr>
            <w:r>
              <w:rPr>
                <w:rFonts w:ascii="Arial" w:cs="Arial" w:eastAsia="Arial" w:hAnsi="Arial"/>
                <w:sz w:val="15"/>
                <w:szCs w:val="15"/>
                <w:b w:val="1"/>
                <w:bCs w:val="1"/>
                <w:color w:val="auto"/>
              </w:rPr>
              <w:t>ISSUER PURCHASES OF EQUITY SECURITIES</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2"/>
        </w:trPr>
        <w:tc>
          <w:tcPr>
            <w:tcW w:w="3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3"/>
              </w:rPr>
              <w:t>(d)</w:t>
            </w:r>
          </w:p>
        </w:tc>
      </w:tr>
      <w:tr>
        <w:trPr>
          <w:trHeight w:val="181"/>
        </w:trPr>
        <w:tc>
          <w:tcPr>
            <w:tcW w:w="3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8"/>
              </w:rPr>
              <w:t>Maximum</w:t>
            </w:r>
          </w:p>
        </w:tc>
      </w:tr>
      <w:tr>
        <w:trPr>
          <w:trHeight w:val="181"/>
        </w:trPr>
        <w:tc>
          <w:tcPr>
            <w:tcW w:w="3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Number (or</w:t>
            </w:r>
          </w:p>
        </w:tc>
      </w:tr>
      <w:tr>
        <w:trPr>
          <w:trHeight w:val="181"/>
        </w:trPr>
        <w:tc>
          <w:tcPr>
            <w:tcW w:w="3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7"/>
              </w:rPr>
              <w:t>(c)</w:t>
            </w:r>
          </w:p>
        </w:tc>
        <w:tc>
          <w:tcPr>
            <w:tcW w:w="18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1"/>
              </w:rPr>
              <w:t>Approximate</w:t>
            </w:r>
          </w:p>
        </w:tc>
      </w:tr>
      <w:tr>
        <w:trPr>
          <w:trHeight w:val="181"/>
        </w:trPr>
        <w:tc>
          <w:tcPr>
            <w:tcW w:w="3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3"/>
              </w:rPr>
              <w:t>Total Number of</w:t>
            </w:r>
          </w:p>
        </w:tc>
        <w:tc>
          <w:tcPr>
            <w:tcW w:w="18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2"/>
              </w:rPr>
              <w:t>Dollar Value) of</w:t>
            </w:r>
          </w:p>
        </w:tc>
      </w:tr>
      <w:tr>
        <w:trPr>
          <w:trHeight w:val="181"/>
        </w:trPr>
        <w:tc>
          <w:tcPr>
            <w:tcW w:w="3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0"/>
              </w:rPr>
              <w:t>Shares (or Units)</w:t>
            </w:r>
          </w:p>
        </w:tc>
        <w:tc>
          <w:tcPr>
            <w:tcW w:w="180" w:type="dxa"/>
            <w:vAlign w:val="bottom"/>
          </w:tcPr>
          <w:p>
            <w:pPr>
              <w:spacing w:after="0"/>
              <w:rPr>
                <w:sz w:val="15"/>
                <w:szCs w:val="15"/>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86"/>
              </w:rPr>
              <w:t>Shares (or Units)</w:t>
            </w:r>
          </w:p>
        </w:tc>
      </w:tr>
      <w:tr>
        <w:trPr>
          <w:trHeight w:val="181"/>
        </w:trPr>
        <w:tc>
          <w:tcPr>
            <w:tcW w:w="3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97"/>
              </w:rPr>
              <w:t>(a)</w:t>
            </w: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6"/>
              </w:rPr>
              <w:t>Purchased as</w:t>
            </w:r>
          </w:p>
        </w:tc>
        <w:tc>
          <w:tcPr>
            <w:tcW w:w="18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93"/>
              </w:rPr>
              <w:t>the May Yet Be</w:t>
            </w:r>
          </w:p>
        </w:tc>
      </w:tr>
      <w:tr>
        <w:trPr>
          <w:trHeight w:val="181"/>
        </w:trPr>
        <w:tc>
          <w:tcPr>
            <w:tcW w:w="3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92"/>
              </w:rPr>
              <w:t>Total Number of</w:t>
            </w:r>
          </w:p>
        </w:tc>
        <w:tc>
          <w:tcPr>
            <w:tcW w:w="1360" w:type="dxa"/>
            <w:vAlign w:val="bottom"/>
            <w:gridSpan w:val="3"/>
          </w:tcPr>
          <w:p>
            <w:pPr>
              <w:spacing w:after="0"/>
              <w:rPr>
                <w:sz w:val="20"/>
                <w:szCs w:val="20"/>
                <w:color w:val="auto"/>
              </w:rPr>
            </w:pPr>
            <w:r>
              <w:rPr>
                <w:rFonts w:ascii="Arial" w:cs="Arial" w:eastAsia="Arial" w:hAnsi="Arial"/>
                <w:sz w:val="15"/>
                <w:szCs w:val="15"/>
                <w:b w:val="1"/>
                <w:bCs w:val="1"/>
                <w:color w:val="auto"/>
              </w:rPr>
              <w:t>(b) Average Price</w:t>
            </w:r>
          </w:p>
        </w:tc>
        <w:tc>
          <w:tcPr>
            <w:tcW w:w="124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3"/>
              </w:rPr>
              <w:t>Part of Publicly</w:t>
            </w:r>
          </w:p>
        </w:tc>
        <w:tc>
          <w:tcPr>
            <w:tcW w:w="180" w:type="dxa"/>
            <w:vAlign w:val="bottom"/>
          </w:tcPr>
          <w:p>
            <w:pPr>
              <w:spacing w:after="0"/>
              <w:rPr>
                <w:sz w:val="15"/>
                <w:szCs w:val="15"/>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5"/>
              </w:rPr>
              <w:t>Purchased Under</w:t>
            </w:r>
          </w:p>
        </w:tc>
      </w:tr>
      <w:tr>
        <w:trPr>
          <w:trHeight w:val="181"/>
        </w:trPr>
        <w:tc>
          <w:tcPr>
            <w:tcW w:w="30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5"/>
                <w:szCs w:val="15"/>
                <w:b w:val="1"/>
                <w:bCs w:val="1"/>
                <w:color w:val="auto"/>
                <w:w w:val="90"/>
              </w:rPr>
              <w:t>Shares (or Units)</w:t>
            </w:r>
          </w:p>
        </w:tc>
        <w:tc>
          <w:tcPr>
            <w:tcW w:w="60" w:type="dxa"/>
            <w:vAlign w:val="bottom"/>
          </w:tcPr>
          <w:p>
            <w:pPr>
              <w:spacing w:after="0"/>
              <w:rPr>
                <w:sz w:val="15"/>
                <w:szCs w:val="15"/>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0"/>
              </w:rPr>
              <w:t>Paid Per Share</w:t>
            </w:r>
          </w:p>
        </w:tc>
        <w:tc>
          <w:tcPr>
            <w:tcW w:w="12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88"/>
              </w:rPr>
              <w:t>Announced Plans</w:t>
            </w:r>
          </w:p>
        </w:tc>
        <w:tc>
          <w:tcPr>
            <w:tcW w:w="180" w:type="dxa"/>
            <w:vAlign w:val="bottom"/>
          </w:tcPr>
          <w:p>
            <w:pPr>
              <w:spacing w:after="0"/>
              <w:rPr>
                <w:sz w:val="15"/>
                <w:szCs w:val="15"/>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5"/>
                <w:szCs w:val="15"/>
                <w:b w:val="1"/>
                <w:bCs w:val="1"/>
                <w:color w:val="auto"/>
                <w:w w:val="88"/>
              </w:rPr>
              <w:t>the Plans or</w:t>
            </w:r>
          </w:p>
        </w:tc>
      </w:tr>
      <w:tr>
        <w:trPr>
          <w:trHeight w:val="199"/>
        </w:trPr>
        <w:tc>
          <w:tcPr>
            <w:tcW w:w="3020" w:type="dxa"/>
            <w:vAlign w:val="bottom"/>
          </w:tcPr>
          <w:p>
            <w:pPr>
              <w:spacing w:after="0"/>
              <w:rPr>
                <w:sz w:val="20"/>
                <w:szCs w:val="20"/>
                <w:color w:val="auto"/>
              </w:rPr>
            </w:pPr>
            <w:r>
              <w:rPr>
                <w:rFonts w:ascii="Arial" w:cs="Arial" w:eastAsia="Arial" w:hAnsi="Arial"/>
                <w:sz w:val="15"/>
                <w:szCs w:val="15"/>
                <w:b w:val="1"/>
                <w:bCs w:val="1"/>
                <w:color w:val="auto"/>
              </w:rPr>
              <w:t>Period</w:t>
            </w:r>
          </w:p>
        </w:tc>
        <w:tc>
          <w:tcPr>
            <w:tcW w:w="10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Purchased (1)</w:t>
            </w:r>
          </w:p>
        </w:tc>
        <w:tc>
          <w:tcPr>
            <w:tcW w:w="240" w:type="dxa"/>
            <w:vAlign w:val="bottom"/>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5"/>
              </w:rPr>
              <w:t>(or Unit)</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or Programs (2)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Programs</w:t>
            </w:r>
          </w:p>
        </w:tc>
        <w:tc>
          <w:tcPr>
            <w:tcW w:w="120" w:type="dxa"/>
            <w:vAlign w:val="bottom"/>
          </w:tcPr>
          <w:p>
            <w:pPr>
              <w:spacing w:after="0"/>
              <w:rPr>
                <w:sz w:val="17"/>
                <w:szCs w:val="17"/>
                <w:color w:val="auto"/>
              </w:rPr>
            </w:pPr>
          </w:p>
        </w:tc>
      </w:tr>
      <w:tr>
        <w:trPr>
          <w:trHeight w:val="181"/>
        </w:trPr>
        <w:tc>
          <w:tcPr>
            <w:tcW w:w="3020" w:type="dxa"/>
            <w:vAlign w:val="bottom"/>
            <w:shd w:val="clear" w:color="auto" w:fill="C0FFFF"/>
          </w:tcPr>
          <w:p>
            <w:pPr>
              <w:ind w:left="120"/>
              <w:spacing w:after="0"/>
              <w:rPr>
                <w:sz w:val="20"/>
                <w:szCs w:val="20"/>
                <w:color w:val="auto"/>
              </w:rPr>
            </w:pPr>
            <w:r>
              <w:rPr>
                <w:rFonts w:ascii="Arial" w:cs="Arial" w:eastAsia="Arial" w:hAnsi="Arial"/>
                <w:sz w:val="15"/>
                <w:szCs w:val="15"/>
                <w:b w:val="1"/>
                <w:bCs w:val="1"/>
                <w:color w:val="auto"/>
              </w:rPr>
              <w:t>Apr. 1, 2012 – Apr. 28, 2012</w:t>
            </w:r>
          </w:p>
        </w:tc>
        <w:tc>
          <w:tcPr>
            <w:tcW w:w="4220" w:type="dxa"/>
            <w:vAlign w:val="bottom"/>
            <w:gridSpan w:val="3"/>
            <w:shd w:val="clear" w:color="auto" w:fill="C0FFFF"/>
          </w:tcPr>
          <w:p>
            <w:pPr>
              <w:jc w:val="right"/>
              <w:spacing w:after="0"/>
              <w:rPr>
                <w:sz w:val="20"/>
                <w:szCs w:val="20"/>
                <w:color w:val="auto"/>
              </w:rPr>
            </w:pPr>
            <w:r>
              <w:rPr>
                <w:rFonts w:ascii="Arial" w:cs="Arial" w:eastAsia="Arial" w:hAnsi="Arial"/>
                <w:sz w:val="15"/>
                <w:szCs w:val="15"/>
                <w:color w:val="auto"/>
              </w:rPr>
              <w:t>60</w:t>
            </w:r>
          </w:p>
        </w:tc>
        <w:tc>
          <w:tcPr>
            <w:tcW w:w="140" w:type="dxa"/>
            <w:vAlign w:val="bottom"/>
            <w:shd w:val="clear" w:color="auto" w:fill="C0FFFF"/>
          </w:tcPr>
          <w:p>
            <w:pPr>
              <w:spacing w:after="0"/>
              <w:rPr>
                <w:sz w:val="15"/>
                <w:szCs w:val="15"/>
                <w:color w:val="auto"/>
              </w:rPr>
            </w:pPr>
          </w:p>
        </w:tc>
        <w:tc>
          <w:tcPr>
            <w:tcW w:w="100" w:type="dxa"/>
            <w:vAlign w:val="bottom"/>
            <w:tcBorders>
              <w:right w:val="single" w:sz="8" w:color="C0FFFF"/>
            </w:tcBorders>
            <w:shd w:val="clear" w:color="auto" w:fill="C0FFFF"/>
          </w:tcPr>
          <w:p>
            <w:pPr>
              <w:spacing w:after="0"/>
              <w:rPr>
                <w:sz w:val="15"/>
                <w:szCs w:val="15"/>
                <w:color w:val="auto"/>
              </w:rPr>
            </w:pPr>
          </w:p>
        </w:tc>
        <w:tc>
          <w:tcPr>
            <w:tcW w:w="60" w:type="dxa"/>
            <w:vAlign w:val="bottom"/>
            <w:shd w:val="clear" w:color="auto" w:fill="C0FFFF"/>
          </w:tcPr>
          <w:p>
            <w:pPr>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5.27</w:t>
            </w:r>
          </w:p>
        </w:tc>
        <w:tc>
          <w:tcPr>
            <w:tcW w:w="124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8,711,999</w:t>
            </w:r>
          </w:p>
        </w:tc>
      </w:tr>
      <w:tr>
        <w:trPr>
          <w:trHeight w:val="181"/>
        </w:trPr>
        <w:tc>
          <w:tcPr>
            <w:tcW w:w="3020" w:type="dxa"/>
            <w:vAlign w:val="bottom"/>
          </w:tcPr>
          <w:p>
            <w:pPr>
              <w:ind w:left="120"/>
              <w:spacing w:after="0"/>
              <w:rPr>
                <w:sz w:val="20"/>
                <w:szCs w:val="20"/>
                <w:color w:val="auto"/>
              </w:rPr>
            </w:pPr>
            <w:r>
              <w:rPr>
                <w:rFonts w:ascii="Arial" w:cs="Arial" w:eastAsia="Arial" w:hAnsi="Arial"/>
                <w:sz w:val="15"/>
                <w:szCs w:val="15"/>
                <w:b w:val="1"/>
                <w:bCs w:val="1"/>
                <w:color w:val="auto"/>
              </w:rPr>
              <w:t>Apr. 29, 2012 – May 26, 2012</w:t>
            </w:r>
          </w:p>
        </w:tc>
        <w:tc>
          <w:tcPr>
            <w:tcW w:w="4220" w:type="dxa"/>
            <w:vAlign w:val="bottom"/>
            <w:gridSpan w:val="3"/>
          </w:tcPr>
          <w:p>
            <w:pPr>
              <w:jc w:val="right"/>
              <w:spacing w:after="0"/>
              <w:rPr>
                <w:sz w:val="20"/>
                <w:szCs w:val="20"/>
                <w:color w:val="auto"/>
              </w:rPr>
            </w:pPr>
            <w:r>
              <w:rPr>
                <w:rFonts w:ascii="Arial" w:cs="Arial" w:eastAsia="Arial" w:hAnsi="Arial"/>
                <w:sz w:val="15"/>
                <w:szCs w:val="15"/>
                <w:color w:val="auto"/>
              </w:rPr>
              <w:t>206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4.89</w:t>
            </w: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8,711,999</w:t>
            </w:r>
          </w:p>
        </w:tc>
      </w:tr>
      <w:tr>
        <w:trPr>
          <w:trHeight w:val="181"/>
        </w:trPr>
        <w:tc>
          <w:tcPr>
            <w:tcW w:w="3020" w:type="dxa"/>
            <w:vAlign w:val="bottom"/>
            <w:shd w:val="clear" w:color="auto" w:fill="C0FFFF"/>
          </w:tcPr>
          <w:p>
            <w:pPr>
              <w:ind w:left="120"/>
              <w:spacing w:after="0"/>
              <w:rPr>
                <w:sz w:val="20"/>
                <w:szCs w:val="20"/>
                <w:color w:val="auto"/>
              </w:rPr>
            </w:pPr>
            <w:r>
              <w:rPr>
                <w:rFonts w:ascii="Arial" w:cs="Arial" w:eastAsia="Arial" w:hAnsi="Arial"/>
                <w:sz w:val="15"/>
                <w:szCs w:val="15"/>
                <w:b w:val="1"/>
                <w:bCs w:val="1"/>
                <w:color w:val="auto"/>
              </w:rPr>
              <w:t>May 28, 2012 – Jun. 30, 2012</w:t>
            </w:r>
          </w:p>
        </w:tc>
        <w:tc>
          <w:tcPr>
            <w:tcW w:w="3060" w:type="dxa"/>
            <w:vAlign w:val="bottom"/>
            <w:gridSpan w:val="2"/>
            <w:shd w:val="clear" w:color="auto" w:fill="C0FFFF"/>
          </w:tcPr>
          <w:p>
            <w:pPr>
              <w:spacing w:after="0"/>
              <w:rPr>
                <w:sz w:val="15"/>
                <w:szCs w:val="15"/>
                <w:color w:val="auto"/>
              </w:rPr>
            </w:pPr>
          </w:p>
        </w:tc>
        <w:tc>
          <w:tcPr>
            <w:tcW w:w="1160" w:type="dxa"/>
            <w:vAlign w:val="bottom"/>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0FFFF"/>
          </w:tcPr>
          <w:p>
            <w:pPr>
              <w:spacing w:after="0"/>
              <w:rPr>
                <w:sz w:val="15"/>
                <w:szCs w:val="15"/>
                <w:color w:val="auto"/>
              </w:rPr>
            </w:pPr>
          </w:p>
        </w:tc>
        <w:tc>
          <w:tcPr>
            <w:tcW w:w="100" w:type="dxa"/>
            <w:vAlign w:val="bottom"/>
            <w:tcBorders>
              <w:right w:val="single" w:sz="8" w:color="C0FFFF"/>
            </w:tcBorders>
            <w:shd w:val="clear" w:color="auto" w:fill="C0FFFF"/>
          </w:tcPr>
          <w:p>
            <w:pPr>
              <w:spacing w:after="0"/>
              <w:rPr>
                <w:sz w:val="15"/>
                <w:szCs w:val="15"/>
                <w:color w:val="auto"/>
              </w:rPr>
            </w:pPr>
          </w:p>
        </w:tc>
        <w:tc>
          <w:tcPr>
            <w:tcW w:w="60" w:type="dxa"/>
            <w:vAlign w:val="bottom"/>
            <w:shd w:val="clear" w:color="auto" w:fill="C0FFFF"/>
          </w:tcPr>
          <w:p>
            <w:pPr>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0FFFF"/>
          </w:tcPr>
          <w:p>
            <w:pPr>
              <w:jc w:val="right"/>
              <w:ind w:right="24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tcBorders>
              <w:right w:val="single" w:sz="8" w:color="C0FFFF"/>
            </w:tcBorders>
            <w:shd w:val="clear" w:color="auto" w:fill="C0FFFF"/>
          </w:tcPr>
          <w:p>
            <w:pPr>
              <w:jc w:val="right"/>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0FFFF"/>
          </w:tcPr>
          <w:p>
            <w:pPr>
              <w:jc w:val="right"/>
              <w:ind w:right="120"/>
              <w:spacing w:after="0"/>
              <w:rPr>
                <w:sz w:val="20"/>
                <w:szCs w:val="20"/>
                <w:color w:val="auto"/>
              </w:rPr>
            </w:pPr>
            <w:r>
              <w:rPr>
                <w:rFonts w:ascii="Arial" w:cs="Arial" w:eastAsia="Arial" w:hAnsi="Arial"/>
                <w:sz w:val="15"/>
                <w:szCs w:val="15"/>
                <w:color w:val="auto"/>
              </w:rPr>
              <w:t>8,711,999</w:t>
            </w:r>
          </w:p>
        </w:tc>
      </w:tr>
      <w:tr>
        <w:trPr>
          <w:trHeight w:val="23"/>
        </w:trPr>
        <w:tc>
          <w:tcPr>
            <w:tcW w:w="3020" w:type="dxa"/>
            <w:vAlign w:val="bottom"/>
            <w:shd w:val="clear" w:color="auto" w:fill="C0FFFF"/>
          </w:tcPr>
          <w:p>
            <w:pPr>
              <w:spacing w:after="0" w:line="20" w:lineRule="exact"/>
              <w:rPr>
                <w:sz w:val="1"/>
                <w:szCs w:val="1"/>
                <w:color w:val="auto"/>
              </w:rPr>
            </w:pPr>
          </w:p>
        </w:tc>
        <w:tc>
          <w:tcPr>
            <w:tcW w:w="1020" w:type="dxa"/>
            <w:vAlign w:val="bottom"/>
            <w:shd w:val="clear" w:color="auto" w:fill="C0FFFF"/>
          </w:tcPr>
          <w:p>
            <w:pPr>
              <w:spacing w:after="0" w:line="20" w:lineRule="exact"/>
              <w:rPr>
                <w:sz w:val="1"/>
                <w:szCs w:val="1"/>
                <w:color w:val="auto"/>
              </w:rPr>
            </w:pPr>
          </w:p>
        </w:tc>
        <w:tc>
          <w:tcPr>
            <w:tcW w:w="2040" w:type="dxa"/>
            <w:vAlign w:val="bottom"/>
            <w:shd w:val="clear" w:color="auto" w:fill="C0FF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0FFFF"/>
          </w:tcPr>
          <w:p>
            <w:pPr>
              <w:spacing w:after="0" w:line="20" w:lineRule="exact"/>
              <w:rPr>
                <w:sz w:val="1"/>
                <w:szCs w:val="1"/>
                <w:color w:val="auto"/>
              </w:rPr>
            </w:pPr>
          </w:p>
        </w:tc>
        <w:tc>
          <w:tcPr>
            <w:tcW w:w="100" w:type="dxa"/>
            <w:vAlign w:val="bottom"/>
            <w:tcBorders>
              <w:right w:val="single" w:sz="8" w:color="C0FFFF"/>
            </w:tcBorders>
            <w:shd w:val="clear" w:color="auto" w:fill="C0FF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0FF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c>
          <w:tcPr>
            <w:tcW w:w="180" w:type="dxa"/>
            <w:vAlign w:val="bottom"/>
            <w:tcBorders>
              <w:right w:val="single" w:sz="8" w:color="auto"/>
            </w:tcBorders>
            <w:shd w:val="clear" w:color="auto" w:fill="C0FF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0FFFF"/>
          </w:tcPr>
          <w:p>
            <w:pPr>
              <w:spacing w:after="0" w:line="20" w:lineRule="exact"/>
              <w:rPr>
                <w:sz w:val="1"/>
                <w:szCs w:val="1"/>
                <w:color w:val="auto"/>
              </w:rPr>
            </w:pPr>
          </w:p>
        </w:tc>
      </w:tr>
      <w:tr>
        <w:trPr>
          <w:trHeight w:val="181"/>
        </w:trPr>
        <w:tc>
          <w:tcPr>
            <w:tcW w:w="3020" w:type="dxa"/>
            <w:vAlign w:val="bottom"/>
          </w:tcPr>
          <w:p>
            <w:pPr>
              <w:ind w:left="120"/>
              <w:spacing w:after="0"/>
              <w:rPr>
                <w:sz w:val="20"/>
                <w:szCs w:val="20"/>
                <w:color w:val="auto"/>
              </w:rPr>
            </w:pPr>
            <w:r>
              <w:rPr>
                <w:rFonts w:ascii="Arial" w:cs="Arial" w:eastAsia="Arial" w:hAnsi="Arial"/>
                <w:sz w:val="15"/>
                <w:szCs w:val="15"/>
                <w:b w:val="1"/>
                <w:bCs w:val="1"/>
                <w:color w:val="auto"/>
              </w:rPr>
              <w:t>Total</w:t>
            </w:r>
          </w:p>
        </w:tc>
        <w:tc>
          <w:tcPr>
            <w:tcW w:w="3060" w:type="dxa"/>
            <w:vAlign w:val="bottom"/>
            <w:gridSpan w:val="2"/>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266</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5"/>
                <w:szCs w:val="15"/>
                <w:color w:val="auto"/>
              </w:rPr>
              <w:t>4.98</w:t>
            </w: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
        </w:trPr>
        <w:tc>
          <w:tcPr>
            <w:tcW w:w="3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201295</wp:posOffset>
            </wp:positionV>
            <wp:extent cx="146812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8120" cy="6985"/>
                    </a:xfrm>
                    <a:prstGeom prst="rect">
                      <a:avLst/>
                    </a:prstGeom>
                    <a:noFill/>
                  </pic:spPr>
                </pic:pic>
              </a:graphicData>
            </a:graphic>
          </wp:anchor>
        </w:drawing>
      </w:r>
    </w:p>
    <w:p>
      <w:pPr>
        <w:spacing w:after="0" w:line="389" w:lineRule="exact"/>
        <w:rPr>
          <w:sz w:val="20"/>
          <w:szCs w:val="20"/>
          <w:color w:val="auto"/>
        </w:rPr>
      </w:pPr>
    </w:p>
    <w:p>
      <w:pPr>
        <w:ind w:left="409" w:right="20" w:hanging="409"/>
        <w:spacing w:after="0" w:line="256" w:lineRule="auto"/>
        <w:tabs>
          <w:tab w:leader="none" w:pos="409"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at the closing trading price of our common stock on the date the relevant transaction occurs.</w:t>
      </w:r>
    </w:p>
    <w:p>
      <w:pPr>
        <w:spacing w:after="0" w:line="1" w:lineRule="exact"/>
        <w:rPr>
          <w:rFonts w:ascii="Arial" w:cs="Arial" w:eastAsia="Arial" w:hAnsi="Arial"/>
          <w:sz w:val="15"/>
          <w:szCs w:val="15"/>
          <w:color w:val="auto"/>
        </w:rPr>
      </w:pPr>
    </w:p>
    <w:p>
      <w:pPr>
        <w:ind w:left="409" w:right="140" w:hanging="409"/>
        <w:spacing w:after="0" w:line="256" w:lineRule="auto"/>
        <w:tabs>
          <w:tab w:leader="none" w:pos="409" w:val="left"/>
        </w:tabs>
        <w:numPr>
          <w:ilvl w:val="0"/>
          <w:numId w:val="13"/>
        </w:numPr>
        <w:rPr>
          <w:rFonts w:ascii="Arial" w:cs="Arial" w:eastAsia="Arial" w:hAnsi="Arial"/>
          <w:sz w:val="15"/>
          <w:szCs w:val="15"/>
          <w:color w:val="auto"/>
        </w:rPr>
      </w:pPr>
      <w:r>
        <w:rPr>
          <w:rFonts w:ascii="Arial" w:cs="Arial" w:eastAsia="Arial" w:hAnsi="Arial"/>
          <w:sz w:val="15"/>
          <w:szCs w:val="15"/>
          <w:color w:val="auto"/>
        </w:rPr>
        <w:t>On February 23, 2012, we announced the further extension of our $50 million share repurchase program of our outstanding common stock until March 31, 2013. The program was authorized by our board of directors. Purchases may be made in the open market or in privately negotiated transactions, with the level and timing of activity depending on market conditions, applicable regulatory requirements, and other factors. Purchase activity may be increased, decreased or discontinued at any time without notice. Shares purchased under the program are subsequently retired.</w:t>
      </w:r>
    </w:p>
    <w:p>
      <w:pPr>
        <w:spacing w:after="0" w:line="286"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476" w:right="219" w:bottom="1440" w:gutter="0" w:footer="0" w:header="0"/>
        </w:sectPr>
      </w:pPr>
    </w:p>
    <w:bookmarkStart w:id="19" w:name="page20"/>
    <w:bookmarkEnd w:id="19"/>
    <w:p>
      <w:pPr>
        <w:spacing w:after="0"/>
        <w:rPr>
          <w:sz w:val="20"/>
          <w:szCs w:val="20"/>
          <w:color w:val="auto"/>
        </w:rPr>
      </w:pPr>
      <w:r>
        <w:rPr>
          <w:rFonts w:ascii="Arial" w:cs="Arial" w:eastAsia="Arial" w:hAnsi="Arial"/>
          <w:sz w:val="15"/>
          <w:szCs w:val="15"/>
          <w:b w:val="1"/>
          <w:bCs w:val="1"/>
          <w:color w:val="auto"/>
        </w:rPr>
        <w:t>Item 6. Exhibits</w:t>
      </w:r>
    </w:p>
    <w:p>
      <w:pPr>
        <w:spacing w:after="0" w:line="24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is a list of exhibits filed as a part of the quarterly report on Form 10-Q:</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1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 No.</w:t>
            </w:r>
          </w:p>
        </w:tc>
        <w:tc>
          <w:tcPr>
            <w:tcW w:w="120" w:type="dxa"/>
            <w:vAlign w:val="bottom"/>
          </w:tcPr>
          <w:p>
            <w:pPr>
              <w:spacing w:after="0"/>
              <w:rPr>
                <w:sz w:val="17"/>
                <w:szCs w:val="17"/>
                <w:color w:val="auto"/>
              </w:rPr>
            </w:pPr>
          </w:p>
        </w:tc>
        <w:tc>
          <w:tcPr>
            <w:tcW w:w="10180" w:type="dxa"/>
            <w:vAlign w:val="bottom"/>
            <w:tcBorders>
              <w:bottom w:val="single" w:sz="8" w:color="auto"/>
            </w:tcBorders>
          </w:tcPr>
          <w:p>
            <w:pPr>
              <w:ind w:left="4720"/>
              <w:spacing w:after="0"/>
              <w:rPr>
                <w:sz w:val="20"/>
                <w:szCs w:val="20"/>
                <w:color w:val="auto"/>
              </w:rPr>
            </w:pPr>
            <w:r>
              <w:rPr>
                <w:rFonts w:ascii="Arial" w:cs="Arial" w:eastAsia="Arial" w:hAnsi="Arial"/>
                <w:sz w:val="15"/>
                <w:szCs w:val="15"/>
                <w:b w:val="1"/>
                <w:bCs w:val="1"/>
                <w:color w:val="auto"/>
              </w:rPr>
              <w:t>Description</w:t>
            </w:r>
          </w:p>
        </w:tc>
      </w:tr>
      <w:tr>
        <w:trPr>
          <w:trHeight w:val="352"/>
        </w:trPr>
        <w:tc>
          <w:tcPr>
            <w:tcW w:w="1140" w:type="dxa"/>
            <w:vAlign w:val="bottom"/>
          </w:tcPr>
          <w:p>
            <w:pPr>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w w:val="95"/>
              </w:rPr>
              <w:t>Agreement and Plan of Merger dated April 3, 2000 between Build-A-Bear Workshop, L.L.C. and the Registrant (incorporated by reference from Exhibit 2.1 to our</w:t>
            </w:r>
          </w:p>
        </w:tc>
      </w:tr>
      <w:tr>
        <w:trPr>
          <w:trHeight w:val="191"/>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80" w:type="dxa"/>
            <w:vAlign w:val="bottom"/>
          </w:tcPr>
          <w:p>
            <w:pPr>
              <w:spacing w:after="0"/>
              <w:rPr>
                <w:sz w:val="20"/>
                <w:szCs w:val="20"/>
                <w:color w:val="auto"/>
              </w:rPr>
            </w:pPr>
            <w:r>
              <w:rPr>
                <w:rFonts w:ascii="Arial" w:cs="Arial" w:eastAsia="Arial" w:hAnsi="Arial"/>
                <w:sz w:val="15"/>
                <w:szCs w:val="15"/>
                <w:color w:val="auto"/>
              </w:rPr>
              <w:t>Registration Statement on Form S-1, filed on August 12, 2004, Registration No. 333-118142)</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w w:val="92"/>
              </w:rPr>
              <w:t>Third Amended and Restated Certificate of Incorporation (incorporated by reference from Exhibit 3.1 of our Current Report on Form 8-K, filed on November 11, 2004)</w:t>
            </w:r>
          </w:p>
        </w:tc>
      </w:tr>
      <w:tr>
        <w:trPr>
          <w:trHeight w:val="353"/>
        </w:trPr>
        <w:tc>
          <w:tcPr>
            <w:tcW w:w="1140" w:type="dxa"/>
            <w:vAlign w:val="bottom"/>
          </w:tcPr>
          <w:p>
            <w:pPr>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w w:val="91"/>
              </w:rPr>
              <w:t>Amended and Restated Bylaws (incorporated by reference from Exhibit 3.4 to our Registration Statement on Form S-1, filed on August 12, 2004, Registration No. 333-</w:t>
            </w:r>
          </w:p>
        </w:tc>
      </w:tr>
      <w:tr>
        <w:trPr>
          <w:trHeight w:val="191"/>
        </w:trPr>
        <w:tc>
          <w:tcPr>
            <w:tcW w:w="1140" w:type="dxa"/>
            <w:vAlign w:val="bottom"/>
          </w:tcPr>
          <w:p>
            <w:pPr>
              <w:spacing w:after="0"/>
              <w:rPr>
                <w:sz w:val="16"/>
                <w:szCs w:val="16"/>
                <w:color w:val="auto"/>
              </w:rPr>
            </w:pPr>
          </w:p>
        </w:tc>
        <w:tc>
          <w:tcPr>
            <w:tcW w:w="10300" w:type="dxa"/>
            <w:vAlign w:val="bottom"/>
            <w:gridSpan w:val="2"/>
          </w:tcPr>
          <w:p>
            <w:pPr>
              <w:ind w:left="120"/>
              <w:spacing w:after="0"/>
              <w:rPr>
                <w:sz w:val="20"/>
                <w:szCs w:val="20"/>
                <w:color w:val="auto"/>
              </w:rPr>
            </w:pPr>
            <w:r>
              <w:rPr>
                <w:rFonts w:ascii="Arial" w:cs="Arial" w:eastAsia="Arial" w:hAnsi="Arial"/>
                <w:sz w:val="15"/>
                <w:szCs w:val="15"/>
                <w:color w:val="auto"/>
              </w:rPr>
              <w:t>118142)</w:t>
            </w:r>
          </w:p>
        </w:tc>
      </w:tr>
      <w:tr>
        <w:trPr>
          <w:trHeight w:val="353"/>
        </w:trPr>
        <w:tc>
          <w:tcPr>
            <w:tcW w:w="1140" w:type="dxa"/>
            <w:vAlign w:val="bottom"/>
          </w:tcPr>
          <w:p>
            <w:pPr>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w w:val="94"/>
              </w:rPr>
              <w:t>Specimen Stock Certificate (incorporated by reference from Exhibit 4.1 to Amendment No. 3 to our Registration Statement on Form S-1, filed on October 1, 2004,</w:t>
            </w:r>
          </w:p>
        </w:tc>
      </w:tr>
      <w:tr>
        <w:trPr>
          <w:trHeight w:val="191"/>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80" w:type="dxa"/>
            <w:vAlign w:val="bottom"/>
          </w:tcPr>
          <w:p>
            <w:pPr>
              <w:spacing w:after="0"/>
              <w:rPr>
                <w:sz w:val="20"/>
                <w:szCs w:val="20"/>
                <w:color w:val="auto"/>
              </w:rPr>
            </w:pPr>
            <w:r>
              <w:rPr>
                <w:rFonts w:ascii="Arial" w:cs="Arial" w:eastAsia="Arial" w:hAnsi="Arial"/>
                <w:sz w:val="15"/>
                <w:szCs w:val="15"/>
                <w:color w:val="auto"/>
              </w:rPr>
              <w:t>Registration No. 333-118142)</w:t>
            </w:r>
          </w:p>
        </w:tc>
      </w:tr>
      <w:tr>
        <w:trPr>
          <w:trHeight w:val="353"/>
        </w:trPr>
        <w:tc>
          <w:tcPr>
            <w:tcW w:w="1140" w:type="dxa"/>
            <w:vAlign w:val="bottom"/>
          </w:tcPr>
          <w:p>
            <w:pPr>
              <w:spacing w:after="0"/>
              <w:rPr>
                <w:sz w:val="20"/>
                <w:szCs w:val="20"/>
                <w:color w:val="auto"/>
              </w:rPr>
            </w:pPr>
            <w:r>
              <w:rPr>
                <w:rFonts w:ascii="Arial" w:cs="Arial" w:eastAsia="Arial" w:hAnsi="Arial"/>
                <w:sz w:val="15"/>
                <w:szCs w:val="15"/>
                <w:color w:val="auto"/>
              </w:rPr>
              <w:t>10.1</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w w:val="94"/>
              </w:rPr>
              <w:t>Tenth Amendment to Loan Documents between Build-A-Bear Workshop, Inc., Build-A-Bear Workshop Franchise Holdings, Inc., Build-A-Bear Entertainment, LLC,</w:t>
            </w:r>
          </w:p>
        </w:tc>
      </w:tr>
      <w:tr>
        <w:trPr>
          <w:trHeight w:val="181"/>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180" w:type="dxa"/>
            <w:vAlign w:val="bottom"/>
          </w:tcPr>
          <w:p>
            <w:pPr>
              <w:spacing w:after="0"/>
              <w:rPr>
                <w:sz w:val="20"/>
                <w:szCs w:val="20"/>
                <w:color w:val="auto"/>
              </w:rPr>
            </w:pPr>
            <w:r>
              <w:rPr>
                <w:rFonts w:ascii="Arial" w:cs="Arial" w:eastAsia="Arial" w:hAnsi="Arial"/>
                <w:sz w:val="15"/>
                <w:szCs w:val="15"/>
                <w:color w:val="auto"/>
                <w:w w:val="95"/>
              </w:rPr>
              <w:t>Build-A-Bear Retail Management, Inc., as Borrowers and U.S. Bank National Association, as Lender, entered into effective as of June 30, 2012 (incorporated by</w:t>
            </w:r>
          </w:p>
        </w:tc>
      </w:tr>
      <w:tr>
        <w:trPr>
          <w:trHeight w:val="191"/>
        </w:trPr>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80" w:type="dxa"/>
            <w:vAlign w:val="bottom"/>
          </w:tcPr>
          <w:p>
            <w:pPr>
              <w:spacing w:after="0"/>
              <w:rPr>
                <w:sz w:val="20"/>
                <w:szCs w:val="20"/>
                <w:color w:val="auto"/>
              </w:rPr>
            </w:pPr>
            <w:r>
              <w:rPr>
                <w:rFonts w:ascii="Arial" w:cs="Arial" w:eastAsia="Arial" w:hAnsi="Arial"/>
                <w:sz w:val="15"/>
                <w:szCs w:val="15"/>
                <w:color w:val="auto"/>
              </w:rPr>
              <w:t>reference from Exhibit 10.1 to our Current Report on Form 8-K, filed on July 26, 2012)</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31.1</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rPr>
              <w:t>Rule 13a-14(a)/15d-14(a) certification (pursuant to Section 302 of the Sarbanes-Oxley Act of 2002, executed by the Chief Executive Bear)</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31.2</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rPr>
              <w:t>Rule 13a-14(a)/15d-14(a) certification (pursuant to Section 302 of the Sarbanes-Oxley Act of 2002, executed by the Chief Operations and Financial Bear)</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32.1</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rPr>
              <w:t>Section 1350 Certification (pursuant to Section 906 of the Sarbanes-Oxley Act of 2002, executed by the Chief Executive Bear)</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32.2</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rPr>
              <w:t>Section 1350 Certification (pursuant to Section 906 of the Sarbanes-Oxley Act of 2002, executed by the Chief Operations and Financial Bear)</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101.INS</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rPr>
              <w:t>XBRL Instance</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101.SCH</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rPr>
              <w:t>XBRL Extension Schema</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101.CAL</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rPr>
              <w:t>XBRL Extension Calculation</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101.DEF</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rPr>
              <w:t>XBRL Extension Definition</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101.LAB</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rPr>
              <w:t>XBRL Extension Label</w:t>
            </w:r>
          </w:p>
        </w:tc>
      </w:tr>
      <w:tr>
        <w:trPr>
          <w:trHeight w:val="363"/>
        </w:trPr>
        <w:tc>
          <w:tcPr>
            <w:tcW w:w="1140" w:type="dxa"/>
            <w:vAlign w:val="bottom"/>
          </w:tcPr>
          <w:p>
            <w:pPr>
              <w:spacing w:after="0"/>
              <w:rPr>
                <w:sz w:val="20"/>
                <w:szCs w:val="20"/>
                <w:color w:val="auto"/>
              </w:rPr>
            </w:pPr>
            <w:r>
              <w:rPr>
                <w:rFonts w:ascii="Arial" w:cs="Arial" w:eastAsia="Arial" w:hAnsi="Arial"/>
                <w:sz w:val="15"/>
                <w:szCs w:val="15"/>
                <w:color w:val="auto"/>
              </w:rPr>
              <w:t>101.PRE</w:t>
            </w:r>
          </w:p>
        </w:tc>
        <w:tc>
          <w:tcPr>
            <w:tcW w:w="120" w:type="dxa"/>
            <w:vAlign w:val="bottom"/>
          </w:tcPr>
          <w:p>
            <w:pPr>
              <w:spacing w:after="0"/>
              <w:rPr>
                <w:sz w:val="24"/>
                <w:szCs w:val="24"/>
                <w:color w:val="auto"/>
              </w:rPr>
            </w:pPr>
          </w:p>
        </w:tc>
        <w:tc>
          <w:tcPr>
            <w:tcW w:w="10180" w:type="dxa"/>
            <w:vAlign w:val="bottom"/>
          </w:tcPr>
          <w:p>
            <w:pPr>
              <w:spacing w:after="0"/>
              <w:rPr>
                <w:sz w:val="20"/>
                <w:szCs w:val="20"/>
                <w:color w:val="auto"/>
              </w:rPr>
            </w:pPr>
            <w:r>
              <w:rPr>
                <w:rFonts w:ascii="Arial" w:cs="Arial" w:eastAsia="Arial" w:hAnsi="Arial"/>
                <w:sz w:val="15"/>
                <w:szCs w:val="15"/>
                <w:color w:val="auto"/>
              </w:rPr>
              <w:t>XBRL Extension Presentation</w:t>
            </w:r>
          </w:p>
        </w:tc>
      </w:tr>
      <w:tr>
        <w:trPr>
          <w:trHeight w:val="487"/>
        </w:trPr>
        <w:tc>
          <w:tcPr>
            <w:tcW w:w="1140" w:type="dxa"/>
            <w:vAlign w:val="bottom"/>
          </w:tcPr>
          <w:p>
            <w:pPr>
              <w:spacing w:after="0"/>
              <w:rPr>
                <w:sz w:val="24"/>
                <w:szCs w:val="24"/>
                <w:color w:val="auto"/>
              </w:rPr>
            </w:pPr>
          </w:p>
        </w:tc>
        <w:tc>
          <w:tcPr>
            <w:tcW w:w="10300" w:type="dxa"/>
            <w:vAlign w:val="bottom"/>
            <w:gridSpan w:val="2"/>
          </w:tcPr>
          <w:p>
            <w:pPr>
              <w:jc w:val="right"/>
              <w:ind w:right="5584"/>
              <w:spacing w:after="0"/>
              <w:rPr>
                <w:sz w:val="20"/>
                <w:szCs w:val="20"/>
                <w:color w:val="auto"/>
              </w:rPr>
            </w:pPr>
            <w:r>
              <w:rPr>
                <w:rFonts w:ascii="Arial" w:cs="Arial" w:eastAsia="Arial" w:hAnsi="Arial"/>
                <w:sz w:val="15"/>
                <w:szCs w:val="15"/>
                <w:color w:val="auto"/>
              </w:rPr>
              <w:t>20</w:t>
            </w:r>
          </w:p>
        </w:tc>
      </w:tr>
      <w:tr>
        <w:trPr>
          <w:trHeight w:val="99"/>
        </w:trPr>
        <w:tc>
          <w:tcPr>
            <w:tcW w:w="1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1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20" w:name="page21"/>
    <w:bookmarkEnd w:id="20"/>
    <w:p>
      <w:pPr>
        <w:jc w:val="center"/>
        <w:ind w:right="-399"/>
        <w:spacing w:after="0"/>
        <w:rPr>
          <w:sz w:val="20"/>
          <w:szCs w:val="20"/>
          <w:color w:val="auto"/>
        </w:rPr>
      </w:pPr>
      <w:r>
        <w:rPr>
          <w:rFonts w:ascii="Arial" w:cs="Arial" w:eastAsia="Arial" w:hAnsi="Arial"/>
          <w:sz w:val="15"/>
          <w:szCs w:val="15"/>
          <w:b w:val="1"/>
          <w:bCs w:val="1"/>
          <w:color w:val="auto"/>
        </w:rPr>
        <w:t>SIGNATURES</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thereunto duly authorized.</w:t>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Date: August 9, 2012</w:t>
      </w: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BUILD-A-BEAR WORKSHOP, INC.</w:t>
      </w:r>
    </w:p>
    <w:p>
      <w:pPr>
        <w:spacing w:after="0" w:line="18"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(Registrant)</w:t>
      </w:r>
    </w:p>
    <w:p>
      <w:pPr>
        <w:spacing w:after="0" w:line="181" w:lineRule="exact"/>
        <w:rPr>
          <w:sz w:val="20"/>
          <w:szCs w:val="20"/>
          <w:color w:val="auto"/>
        </w:rPr>
      </w:pPr>
    </w:p>
    <w:p>
      <w:pPr>
        <w:ind w:left="5720"/>
        <w:spacing w:after="0"/>
        <w:tabs>
          <w:tab w:leader="none" w:pos="60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19685</wp:posOffset>
            </wp:positionV>
            <wp:extent cx="2540635"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40635" cy="14605"/>
                    </a:xfrm>
                    <a:prstGeom prst="rect">
                      <a:avLst/>
                    </a:prstGeom>
                    <a:noFill/>
                  </pic:spPr>
                </pic:pic>
              </a:graphicData>
            </a:graphic>
          </wp:anchor>
        </w:drawing>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Maxine Clark</w:t>
      </w:r>
    </w:p>
    <w:p>
      <w:pPr>
        <w:spacing w:after="0" w:line="18"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Chief Executive Bear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(on behalf of the registrant and as principal</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executive officer)</w:t>
      </w:r>
    </w:p>
    <w:p>
      <w:pPr>
        <w:spacing w:after="0" w:line="181" w:lineRule="exact"/>
        <w:rPr>
          <w:sz w:val="20"/>
          <w:szCs w:val="20"/>
          <w:color w:val="auto"/>
        </w:rPr>
      </w:pPr>
    </w:p>
    <w:p>
      <w:pPr>
        <w:jc w:val="right"/>
        <w:ind w:right="4020"/>
        <w:spacing w:after="0"/>
        <w:tabs>
          <w:tab w:leader="none" w:pos="49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12065</wp:posOffset>
            </wp:positionV>
            <wp:extent cx="2540635"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40635" cy="14605"/>
                    </a:xfrm>
                    <a:prstGeom prst="rect">
                      <a:avLst/>
                    </a:prstGeom>
                    <a:noFill/>
                  </pic:spPr>
                </pic:pic>
              </a:graphicData>
            </a:graphic>
          </wp:anchor>
        </w:drawing>
      </w:r>
    </w:p>
    <w:p>
      <w:pPr>
        <w:spacing w:after="0" w:line="12" w:lineRule="exact"/>
        <w:rPr>
          <w:sz w:val="20"/>
          <w:szCs w:val="20"/>
          <w:color w:val="auto"/>
        </w:rPr>
      </w:pPr>
    </w:p>
    <w:p>
      <w:pPr>
        <w:jc w:val="right"/>
        <w:ind w:right="4080"/>
        <w:spacing w:after="0"/>
        <w:rPr>
          <w:sz w:val="20"/>
          <w:szCs w:val="20"/>
          <w:color w:val="auto"/>
        </w:rPr>
      </w:pPr>
      <w:r>
        <w:rPr>
          <w:rFonts w:ascii="Arial" w:cs="Arial" w:eastAsia="Arial" w:hAnsi="Arial"/>
          <w:sz w:val="15"/>
          <w:szCs w:val="15"/>
          <w:color w:val="auto"/>
        </w:rPr>
        <w:t>Tina Klocke</w:t>
      </w:r>
    </w:p>
    <w:p>
      <w:pPr>
        <w:spacing w:after="0" w:line="18"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Chief Operations and Financial Bear,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and Secretary</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(on behalf of the registrant and as principal</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240" w:top="476" w:right="639" w:bottom="1440" w:gutter="0" w:footer="0" w:header="0"/>
        </w:sectPr>
      </w:pPr>
    </w:p>
    <w:bookmarkStart w:id="21" w:name="page22"/>
    <w:bookmarkEnd w:id="21"/>
    <w:p>
      <w:pPr>
        <w:jc w:val="right"/>
        <w:spacing w:after="0"/>
        <w:rPr>
          <w:sz w:val="20"/>
          <w:szCs w:val="20"/>
          <w:color w:val="auto"/>
        </w:rPr>
      </w:pPr>
      <w:r>
        <w:rPr>
          <w:rFonts w:ascii="Arial" w:cs="Arial" w:eastAsia="Arial" w:hAnsi="Arial"/>
          <w:sz w:val="15"/>
          <w:szCs w:val="15"/>
          <w:b w:val="1"/>
          <w:bCs w:val="1"/>
          <w:color w:val="auto"/>
        </w:rPr>
        <w:t>Exhibit 31.1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SECURITIES EXCHANGE ACT OF 1934</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I, Maxine Clark, certify that:</w:t>
      </w:r>
    </w:p>
    <w:p>
      <w:pPr>
        <w:spacing w:after="0" w:line="236" w:lineRule="exact"/>
        <w:rPr>
          <w:sz w:val="20"/>
          <w:szCs w:val="20"/>
          <w:color w:val="auto"/>
        </w:rPr>
      </w:pPr>
    </w:p>
    <w:p>
      <w:pPr>
        <w:ind w:left="760" w:hanging="407"/>
        <w:spacing w:after="0"/>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Build-A-Bear Workshop, Inc.;</w:t>
      </w:r>
    </w:p>
    <w:p>
      <w:pPr>
        <w:spacing w:after="0" w:line="235" w:lineRule="exact"/>
        <w:rPr>
          <w:rFonts w:ascii="Arial" w:cs="Arial" w:eastAsia="Arial" w:hAnsi="Arial"/>
          <w:sz w:val="15"/>
          <w:szCs w:val="15"/>
          <w:color w:val="auto"/>
        </w:rPr>
      </w:pPr>
    </w:p>
    <w:p>
      <w:pPr>
        <w:ind w:left="760" w:right="180" w:hanging="407"/>
        <w:spacing w:after="0" w:line="277" w:lineRule="auto"/>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5"/>
          <w:szCs w:val="15"/>
          <w:color w:val="auto"/>
        </w:rPr>
      </w:pPr>
    </w:p>
    <w:p>
      <w:pPr>
        <w:ind w:left="760" w:right="60" w:hanging="407"/>
        <w:spacing w:after="0" w:line="277" w:lineRule="auto"/>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5"/>
          <w:szCs w:val="15"/>
          <w:color w:val="auto"/>
        </w:rPr>
      </w:pPr>
    </w:p>
    <w:p>
      <w:pPr>
        <w:ind w:left="760" w:right="320" w:hanging="407"/>
        <w:spacing w:after="0" w:line="314" w:lineRule="auto"/>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4"/>
          <w:szCs w:val="14"/>
          <w:color w:val="auto"/>
        </w:rPr>
      </w:pPr>
    </w:p>
    <w:p>
      <w:pPr>
        <w:ind w:left="1220" w:right="60" w:hanging="402"/>
        <w:spacing w:after="0" w:line="264" w:lineRule="auto"/>
        <w:tabs>
          <w:tab w:leader="none" w:pos="122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5"/>
          <w:szCs w:val="15"/>
          <w:color w:val="auto"/>
        </w:rPr>
      </w:pPr>
    </w:p>
    <w:p>
      <w:pPr>
        <w:ind w:left="1220" w:right="460" w:hanging="402"/>
        <w:spacing w:after="0" w:line="264" w:lineRule="auto"/>
        <w:tabs>
          <w:tab w:leader="none" w:pos="122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5"/>
          <w:szCs w:val="15"/>
          <w:color w:val="auto"/>
        </w:rPr>
      </w:pPr>
    </w:p>
    <w:p>
      <w:pPr>
        <w:ind w:left="1220" w:right="220" w:hanging="402"/>
        <w:spacing w:after="0" w:line="277" w:lineRule="auto"/>
        <w:tabs>
          <w:tab w:leader="none" w:pos="122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5"/>
          <w:szCs w:val="15"/>
          <w:color w:val="auto"/>
        </w:rPr>
      </w:pPr>
    </w:p>
    <w:p>
      <w:pPr>
        <w:ind w:left="1220" w:right="200" w:hanging="402"/>
        <w:spacing w:after="0" w:line="264" w:lineRule="auto"/>
        <w:tabs>
          <w:tab w:leader="none" w:pos="122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5"/>
          <w:szCs w:val="15"/>
          <w:color w:val="auto"/>
        </w:rPr>
      </w:pPr>
    </w:p>
    <w:p>
      <w:pPr>
        <w:ind w:left="760" w:right="140" w:hanging="407"/>
        <w:spacing w:after="0" w:line="277" w:lineRule="auto"/>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5"/>
          <w:szCs w:val="15"/>
          <w:color w:val="auto"/>
        </w:rPr>
      </w:pPr>
    </w:p>
    <w:p>
      <w:pPr>
        <w:ind w:left="1220" w:right="20" w:hanging="402"/>
        <w:spacing w:after="0" w:line="277" w:lineRule="auto"/>
        <w:tabs>
          <w:tab w:leader="none" w:pos="1220" w:val="left"/>
        </w:tabs>
        <w:numPr>
          <w:ilvl w:val="1"/>
          <w:numId w:val="1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5"/>
          <w:szCs w:val="15"/>
          <w:color w:val="auto"/>
        </w:rPr>
      </w:pPr>
    </w:p>
    <w:p>
      <w:pPr>
        <w:ind w:left="1220" w:hanging="402"/>
        <w:spacing w:after="0"/>
        <w:tabs>
          <w:tab w:leader="none" w:pos="1220" w:val="left"/>
        </w:tabs>
        <w:numPr>
          <w:ilvl w:val="1"/>
          <w:numId w:val="1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19685</wp:posOffset>
            </wp:positionV>
            <wp:extent cx="2540635"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40635" cy="14605"/>
                    </a:xfrm>
                    <a:prstGeom prst="rect">
                      <a:avLst/>
                    </a:prstGeom>
                    <a:noFill/>
                  </pic:spPr>
                </pic:pic>
              </a:graphicData>
            </a:graphic>
          </wp:anchor>
        </w:drawing>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Maxine Clark</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Chief Executive Bear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(on behalf of the registrant and as principal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executive officer)</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Date: August 9, 2012</w:t>
      </w:r>
    </w:p>
    <w:p>
      <w:pPr>
        <w:sectPr>
          <w:pgSz w:w="11900" w:h="16838" w:orient="portrait"/>
          <w:cols w:equalWidth="0" w:num="1">
            <w:col w:w="11440"/>
          </w:cols>
          <w:pgMar w:left="240" w:top="510" w:right="219" w:bottom="1440" w:gutter="0" w:footer="0" w:header="0"/>
        </w:sectPr>
      </w:pPr>
    </w:p>
    <w:bookmarkStart w:id="22" w:name="page23"/>
    <w:bookmarkEnd w:id="22"/>
    <w:p>
      <w:pPr>
        <w:jc w:val="right"/>
        <w:spacing w:after="0"/>
        <w:rPr>
          <w:sz w:val="20"/>
          <w:szCs w:val="20"/>
          <w:color w:val="auto"/>
        </w:rPr>
      </w:pPr>
      <w:r>
        <w:rPr>
          <w:rFonts w:ascii="Arial" w:cs="Arial" w:eastAsia="Arial" w:hAnsi="Arial"/>
          <w:sz w:val="15"/>
          <w:szCs w:val="15"/>
          <w:b w:val="1"/>
          <w:bCs w:val="1"/>
          <w:color w:val="auto"/>
        </w:rPr>
        <w:t>Exhibit 31.2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SECURITIES EXCHANGE ACT OF 1934</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I, Tina Klocke, certify that:</w:t>
      </w:r>
    </w:p>
    <w:p>
      <w:pPr>
        <w:spacing w:after="0" w:line="236" w:lineRule="exact"/>
        <w:rPr>
          <w:sz w:val="20"/>
          <w:szCs w:val="20"/>
          <w:color w:val="auto"/>
        </w:rPr>
      </w:pPr>
    </w:p>
    <w:p>
      <w:pPr>
        <w:ind w:left="760" w:hanging="407"/>
        <w:spacing w:after="0"/>
        <w:tabs>
          <w:tab w:leader="none" w:pos="7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Build-A-Bear Workshop, Inc.;</w:t>
      </w:r>
    </w:p>
    <w:p>
      <w:pPr>
        <w:spacing w:after="0" w:line="235" w:lineRule="exact"/>
        <w:rPr>
          <w:rFonts w:ascii="Arial" w:cs="Arial" w:eastAsia="Arial" w:hAnsi="Arial"/>
          <w:sz w:val="15"/>
          <w:szCs w:val="15"/>
          <w:color w:val="auto"/>
        </w:rPr>
      </w:pPr>
    </w:p>
    <w:p>
      <w:pPr>
        <w:ind w:left="760" w:right="180" w:hanging="407"/>
        <w:spacing w:after="0" w:line="277" w:lineRule="auto"/>
        <w:tabs>
          <w:tab w:leader="none" w:pos="7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1" w:lineRule="exact"/>
        <w:rPr>
          <w:rFonts w:ascii="Arial" w:cs="Arial" w:eastAsia="Arial" w:hAnsi="Arial"/>
          <w:sz w:val="15"/>
          <w:szCs w:val="15"/>
          <w:color w:val="auto"/>
        </w:rPr>
      </w:pPr>
    </w:p>
    <w:p>
      <w:pPr>
        <w:ind w:left="760" w:right="60" w:hanging="407"/>
        <w:spacing w:after="0" w:line="277" w:lineRule="auto"/>
        <w:tabs>
          <w:tab w:leader="none" w:pos="7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5"/>
          <w:szCs w:val="15"/>
          <w:color w:val="auto"/>
        </w:rPr>
      </w:pPr>
    </w:p>
    <w:p>
      <w:pPr>
        <w:ind w:left="760" w:right="320" w:hanging="407"/>
        <w:spacing w:after="0" w:line="314" w:lineRule="auto"/>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8" w:lineRule="exact"/>
        <w:rPr>
          <w:rFonts w:ascii="Arial" w:cs="Arial" w:eastAsia="Arial" w:hAnsi="Arial"/>
          <w:sz w:val="14"/>
          <w:szCs w:val="14"/>
          <w:color w:val="auto"/>
        </w:rPr>
      </w:pPr>
    </w:p>
    <w:p>
      <w:pPr>
        <w:ind w:left="1220" w:right="60" w:hanging="402"/>
        <w:spacing w:after="0" w:line="264" w:lineRule="auto"/>
        <w:tabs>
          <w:tab w:leader="none" w:pos="122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5"/>
          <w:szCs w:val="15"/>
          <w:color w:val="auto"/>
        </w:rPr>
      </w:pPr>
    </w:p>
    <w:p>
      <w:pPr>
        <w:ind w:left="1220" w:right="460" w:hanging="402"/>
        <w:spacing w:after="0" w:line="264" w:lineRule="auto"/>
        <w:tabs>
          <w:tab w:leader="none" w:pos="122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5"/>
          <w:szCs w:val="15"/>
          <w:color w:val="auto"/>
        </w:rPr>
      </w:pPr>
    </w:p>
    <w:p>
      <w:pPr>
        <w:ind w:left="1220" w:right="220" w:hanging="402"/>
        <w:spacing w:after="0" w:line="277" w:lineRule="auto"/>
        <w:tabs>
          <w:tab w:leader="none" w:pos="122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5"/>
          <w:szCs w:val="15"/>
          <w:color w:val="auto"/>
        </w:rPr>
      </w:pPr>
    </w:p>
    <w:p>
      <w:pPr>
        <w:ind w:left="1220" w:right="200" w:hanging="402"/>
        <w:spacing w:after="0" w:line="264" w:lineRule="auto"/>
        <w:tabs>
          <w:tab w:leader="none" w:pos="122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5"/>
          <w:szCs w:val="15"/>
          <w:color w:val="auto"/>
        </w:rPr>
      </w:pPr>
    </w:p>
    <w:p>
      <w:pPr>
        <w:ind w:left="760" w:right="140" w:hanging="407"/>
        <w:spacing w:after="0" w:line="277" w:lineRule="auto"/>
        <w:tabs>
          <w:tab w:leader="none" w:pos="7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1" w:lineRule="exact"/>
        <w:rPr>
          <w:rFonts w:ascii="Arial" w:cs="Arial" w:eastAsia="Arial" w:hAnsi="Arial"/>
          <w:sz w:val="15"/>
          <w:szCs w:val="15"/>
          <w:color w:val="auto"/>
        </w:rPr>
      </w:pPr>
    </w:p>
    <w:p>
      <w:pPr>
        <w:ind w:left="1220" w:right="20" w:hanging="402"/>
        <w:spacing w:after="0" w:line="277" w:lineRule="auto"/>
        <w:tabs>
          <w:tab w:leader="none" w:pos="1220" w:val="left"/>
        </w:tabs>
        <w:numPr>
          <w:ilvl w:val="1"/>
          <w:numId w:val="1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5"/>
          <w:szCs w:val="15"/>
          <w:color w:val="auto"/>
        </w:rPr>
      </w:pPr>
    </w:p>
    <w:p>
      <w:pPr>
        <w:ind w:left="1220" w:hanging="402"/>
        <w:spacing w:after="0"/>
        <w:tabs>
          <w:tab w:leader="none" w:pos="1220" w:val="left"/>
        </w:tabs>
        <w:numPr>
          <w:ilvl w:val="1"/>
          <w:numId w:val="1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12065</wp:posOffset>
            </wp:positionV>
            <wp:extent cx="2540635"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40635" cy="14605"/>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Tina Klocke</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Chief Operations and Financial Bear, Treasurer and Secretary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(on behalf of the registrant and as principal financial officer)</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Date: August 9, 2012</w:t>
      </w:r>
    </w:p>
    <w:p>
      <w:pPr>
        <w:sectPr>
          <w:pgSz w:w="11900" w:h="16838" w:orient="portrait"/>
          <w:cols w:equalWidth="0" w:num="1">
            <w:col w:w="11440"/>
          </w:cols>
          <w:pgMar w:left="240" w:top="125" w:right="219" w:bottom="1440" w:gutter="0" w:footer="0" w:header="0"/>
        </w:sectPr>
      </w:pPr>
    </w:p>
    <w:bookmarkStart w:id="23" w:name="page24"/>
    <w:bookmarkEnd w:id="23"/>
    <w:p>
      <w:pPr>
        <w:jc w:val="right"/>
        <w:spacing w:after="0"/>
        <w:rPr>
          <w:sz w:val="20"/>
          <w:szCs w:val="20"/>
          <w:color w:val="auto"/>
        </w:rPr>
      </w:pPr>
      <w:r>
        <w:rPr>
          <w:rFonts w:ascii="Arial" w:cs="Arial" w:eastAsia="Arial" w:hAnsi="Arial"/>
          <w:sz w:val="15"/>
          <w:szCs w:val="15"/>
          <w:b w:val="1"/>
          <w:bCs w:val="1"/>
          <w:color w:val="auto"/>
        </w:rPr>
        <w:t>Exhibit 32.1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226" w:lineRule="exact"/>
        <w:rPr>
          <w:sz w:val="20"/>
          <w:szCs w:val="20"/>
          <w:color w:val="auto"/>
        </w:rPr>
      </w:pPr>
    </w:p>
    <w:p>
      <w:pPr>
        <w:ind w:right="60" w:firstLine="408"/>
        <w:spacing w:after="0" w:line="292" w:lineRule="auto"/>
        <w:rPr>
          <w:sz w:val="20"/>
          <w:szCs w:val="20"/>
          <w:color w:val="auto"/>
        </w:rPr>
      </w:pPr>
      <w:r>
        <w:rPr>
          <w:rFonts w:ascii="Arial" w:cs="Arial" w:eastAsia="Arial" w:hAnsi="Arial"/>
          <w:sz w:val="14"/>
          <w:szCs w:val="14"/>
          <w:color w:val="auto"/>
        </w:rPr>
        <w:t>In connection with the quarterly report of Build-A-Bear Workshop, Inc. (the “Company”) on Form 10-Q for the period ended June 30, 2012 as filed with the Securities and Exchange Commission on the date hereof (the “Report”), I, Maxine Clark, Chairman of the Board and Chief Executive Bear of the Company, certify, to the best of my knowledge, pursuant to Rule 13a-14(b) and Section 1350 of Chapter 63 of Title 18 of the United States Code, as adopted pursuant to Section 906 of the Sarbanes-Oxley Act of 2002, that:</w:t>
      </w:r>
    </w:p>
    <w:p>
      <w:pPr>
        <w:spacing w:after="0" w:line="183" w:lineRule="exact"/>
        <w:rPr>
          <w:sz w:val="20"/>
          <w:szCs w:val="20"/>
          <w:color w:val="auto"/>
        </w:rPr>
      </w:pPr>
    </w:p>
    <w:p>
      <w:pPr>
        <w:ind w:left="620" w:hanging="221"/>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35" w:lineRule="exact"/>
        <w:rPr>
          <w:rFonts w:ascii="Arial" w:cs="Arial" w:eastAsia="Arial" w:hAnsi="Arial"/>
          <w:sz w:val="15"/>
          <w:szCs w:val="15"/>
          <w:color w:val="auto"/>
        </w:rPr>
      </w:pPr>
    </w:p>
    <w:p>
      <w:pPr>
        <w:ind w:left="620" w:hanging="221"/>
        <w:spacing w:after="0"/>
        <w:tabs>
          <w:tab w:leader="none" w:pos="6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19685</wp:posOffset>
            </wp:positionV>
            <wp:extent cx="2540635"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40635" cy="14605"/>
                    </a:xfrm>
                    <a:prstGeom prst="rect">
                      <a:avLst/>
                    </a:prstGeom>
                    <a:noFill/>
                  </pic:spPr>
                </pic:pic>
              </a:graphicData>
            </a:graphic>
          </wp:anchor>
        </w:drawing>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Maxine Clark</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Chief Executive Bear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(on behalf of the registrant and as principal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executive officer)</w:t>
      </w:r>
    </w:p>
    <w:p>
      <w:pPr>
        <w:spacing w:after="0" w:line="226" w:lineRule="exact"/>
        <w:rPr>
          <w:sz w:val="20"/>
          <w:szCs w:val="20"/>
          <w:color w:val="auto"/>
        </w:rPr>
      </w:pPr>
    </w:p>
    <w:p>
      <w:pPr>
        <w:spacing w:after="0"/>
        <w:rPr>
          <w:sz w:val="20"/>
          <w:szCs w:val="20"/>
          <w:color w:val="auto"/>
        </w:rPr>
      </w:pPr>
      <w:r>
        <w:rPr>
          <w:rFonts w:ascii="Arial" w:cs="Arial" w:eastAsia="Arial" w:hAnsi="Arial"/>
          <w:sz w:val="15"/>
          <w:szCs w:val="15"/>
          <w:color w:val="auto"/>
        </w:rPr>
        <w:t>Date: August 9, 2012</w:t>
      </w:r>
    </w:p>
    <w:p>
      <w:pPr>
        <w:sectPr>
          <w:pgSz w:w="11900" w:h="16838" w:orient="portrait"/>
          <w:cols w:equalWidth="0" w:num="1">
            <w:col w:w="11440"/>
          </w:cols>
          <w:pgMar w:left="240" w:top="125" w:right="219" w:bottom="1440" w:gutter="0" w:footer="0" w:header="0"/>
        </w:sectPr>
      </w:pPr>
    </w:p>
    <w:bookmarkStart w:id="24" w:name="page25"/>
    <w:bookmarkEnd w:id="24"/>
    <w:p>
      <w:pPr>
        <w:jc w:val="right"/>
        <w:spacing w:after="0"/>
        <w:rPr>
          <w:sz w:val="20"/>
          <w:szCs w:val="20"/>
          <w:color w:val="auto"/>
        </w:rPr>
      </w:pPr>
      <w:r>
        <w:rPr>
          <w:rFonts w:ascii="Arial" w:cs="Arial" w:eastAsia="Arial" w:hAnsi="Arial"/>
          <w:sz w:val="15"/>
          <w:szCs w:val="15"/>
          <w:b w:val="1"/>
          <w:bCs w:val="1"/>
          <w:color w:val="auto"/>
        </w:rPr>
        <w:t>Exhibit 32.2</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 18 U.S.C. SECTION 1350,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226" w:lineRule="exact"/>
        <w:rPr>
          <w:sz w:val="20"/>
          <w:szCs w:val="20"/>
          <w:color w:val="auto"/>
        </w:rPr>
      </w:pPr>
    </w:p>
    <w:p>
      <w:pPr>
        <w:jc w:val="both"/>
        <w:ind w:right="60" w:firstLine="408"/>
        <w:spacing w:after="0" w:line="324" w:lineRule="auto"/>
        <w:rPr>
          <w:sz w:val="20"/>
          <w:szCs w:val="20"/>
          <w:color w:val="auto"/>
        </w:rPr>
      </w:pPr>
      <w:r>
        <w:rPr>
          <w:rFonts w:ascii="Arial" w:cs="Arial" w:eastAsia="Arial" w:hAnsi="Arial"/>
          <w:sz w:val="13"/>
          <w:szCs w:val="13"/>
          <w:color w:val="auto"/>
        </w:rPr>
        <w:t>In connection with the quarterly report of Build-A-Bear Workshop, Inc. (the “Company”) on Form 10-Q for the period ended June 30, 2012 as filed with the Securities and Exchange Commission on the date hereof (the “Report”), I, Tina Klocke, Chief Operations and Financial Bear, Treasurer and Secretary of the Company, certify, to the best of my knowledge, pursuant to Rule 13a-14(b) and Section 1350 of Chapter 63 of Title 18 of the United States Code, as adopted pursuant to Section 906 of the Sarbanes-Oxley Act of 2002, that:</w:t>
      </w:r>
    </w:p>
    <w:p>
      <w:pPr>
        <w:spacing w:after="0" w:line="165" w:lineRule="exact"/>
        <w:rPr>
          <w:sz w:val="20"/>
          <w:szCs w:val="20"/>
          <w:color w:val="auto"/>
        </w:rPr>
      </w:pPr>
    </w:p>
    <w:p>
      <w:pPr>
        <w:ind w:left="620" w:hanging="221"/>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235" w:lineRule="exact"/>
        <w:rPr>
          <w:rFonts w:ascii="Arial" w:cs="Arial" w:eastAsia="Arial" w:hAnsi="Arial"/>
          <w:sz w:val="15"/>
          <w:szCs w:val="15"/>
          <w:color w:val="auto"/>
        </w:rPr>
      </w:pPr>
    </w:p>
    <w:p>
      <w:pPr>
        <w:ind w:left="620" w:hanging="221"/>
        <w:spacing w:after="0"/>
        <w:tabs>
          <w:tab w:leader="none" w:pos="620"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190"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 Tina Klocke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12065</wp:posOffset>
            </wp:positionV>
            <wp:extent cx="2540635"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40635" cy="14605"/>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Tina Klocke</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Chief Operations and Financial Bear, Treasurer and Secretary</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(on behalf of the registrant and as principal financial officer)</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Date: August 9, 2012</w:t>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x"/>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4"/>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2019-12-09T15:41:52Z</dcterms:created>
  <dcterms:modified xsi:type="dcterms:W3CDTF">2019-12-09T15:41:52Z</dcterms:modified>
</cp:coreProperties>
</file>