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460" w:hanging="432"/>
        <w:spacing w:after="0" w:line="266" w:lineRule="auto"/>
        <w:tabs>
          <w:tab w:leader="none" w:pos="4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February 2, 2019</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1784985</wp:posOffset>
            </wp:positionH>
            <wp:positionV relativeFrom="paragraph">
              <wp:posOffset>-20320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1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1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Identification No.)</w:t>
            </w:r>
          </w:p>
        </w:tc>
      </w:tr>
      <w:tr>
        <w:trPr>
          <w:trHeight w:val="319"/>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40" w:type="dxa"/>
            <w:vAlign w:val="bottom"/>
          </w:tcPr>
          <w:p>
            <w:pPr>
              <w:spacing w:after="0"/>
              <w:rPr>
                <w:sz w:val="24"/>
                <w:szCs w:val="24"/>
                <w:color w:val="auto"/>
              </w:rPr>
            </w:pPr>
          </w:p>
        </w:tc>
      </w:tr>
      <w:tr>
        <w:trPr>
          <w:trHeight w:val="220"/>
        </w:trPr>
        <w:tc>
          <w:tcPr>
            <w:tcW w:w="6440" w:type="dxa"/>
            <w:vAlign w:val="bottom"/>
          </w:tcPr>
          <w:p>
            <w:pPr>
              <w:jc w:val="center"/>
              <w:ind w:right="3390"/>
              <w:spacing w:after="0"/>
              <w:rPr>
                <w:sz w:val="20"/>
                <w:szCs w:val="20"/>
                <w:color w:val="auto"/>
              </w:rPr>
            </w:pPr>
            <w:r>
              <w:rPr>
                <w:rFonts w:ascii="Arial" w:cs="Arial" w:eastAsia="Arial" w:hAnsi="Arial"/>
                <w:sz w:val="18"/>
                <w:szCs w:val="18"/>
                <w:b w:val="1"/>
                <w:bCs w:val="1"/>
                <w:color w:val="auto"/>
                <w:w w:val="89"/>
              </w:rPr>
              <w:t>St. Louis, Missouri</w:t>
            </w: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63114</w:t>
            </w:r>
          </w:p>
        </w:tc>
      </w:tr>
      <w:tr>
        <w:trPr>
          <w:trHeight w:val="230"/>
        </w:trPr>
        <w:tc>
          <w:tcPr>
            <w:tcW w:w="6440" w:type="dxa"/>
            <w:vAlign w:val="bottom"/>
          </w:tcPr>
          <w:p>
            <w:pPr>
              <w:jc w:val="center"/>
              <w:ind w:right="3370"/>
              <w:spacing w:after="0"/>
              <w:rPr>
                <w:sz w:val="20"/>
                <w:szCs w:val="20"/>
                <w:color w:val="auto"/>
              </w:rPr>
            </w:pPr>
            <w:r>
              <w:rPr>
                <w:rFonts w:ascii="Arial" w:cs="Arial" w:eastAsia="Arial" w:hAnsi="Arial"/>
                <w:sz w:val="18"/>
                <w:szCs w:val="18"/>
                <w:b w:val="1"/>
                <w:bCs w:val="1"/>
                <w:i w:val="1"/>
                <w:iCs w:val="1"/>
                <w:color w:val="auto"/>
                <w:w w:val="87"/>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(Zip Code)</w:t>
            </w:r>
          </w:p>
        </w:tc>
      </w:tr>
      <w:tr>
        <w:trPr>
          <w:trHeight w:val="323"/>
        </w:trPr>
        <w:tc>
          <w:tcPr>
            <w:tcW w:w="6440" w:type="dxa"/>
            <w:vAlign w:val="bottom"/>
          </w:tcPr>
          <w:p>
            <w:pPr>
              <w:jc w:val="right"/>
              <w:ind w:right="1450"/>
              <w:spacing w:after="0"/>
              <w:rPr>
                <w:sz w:val="20"/>
                <w:szCs w:val="20"/>
                <w:color w:val="auto"/>
              </w:rPr>
            </w:pPr>
            <w:r>
              <w:rPr>
                <w:rFonts w:ascii="Arial" w:cs="Arial" w:eastAsia="Arial" w:hAnsi="Arial"/>
                <w:sz w:val="18"/>
                <w:szCs w:val="18"/>
                <w:b w:val="1"/>
                <w:bCs w:val="1"/>
                <w:color w:val="auto"/>
              </w:rPr>
              <w:t>(314) 423-8000</w:t>
            </w:r>
          </w:p>
        </w:tc>
        <w:tc>
          <w:tcPr>
            <w:tcW w:w="1440" w:type="dxa"/>
            <w:vAlign w:val="bottom"/>
          </w:tcPr>
          <w:p>
            <w:pPr>
              <w:spacing w:after="0"/>
              <w:rPr>
                <w:sz w:val="24"/>
                <w:szCs w:val="24"/>
                <w:color w:val="auto"/>
              </w:rPr>
            </w:pPr>
          </w:p>
        </w:tc>
      </w:tr>
      <w:tr>
        <w:trPr>
          <w:trHeight w:val="230"/>
        </w:trPr>
        <w:tc>
          <w:tcPr>
            <w:tcW w:w="6440" w:type="dxa"/>
            <w:vAlign w:val="bottom"/>
          </w:tcPr>
          <w:p>
            <w:pPr>
              <w:jc w:val="center"/>
              <w:ind w:left="2130"/>
              <w:spacing w:after="0"/>
              <w:rPr>
                <w:sz w:val="20"/>
                <w:szCs w:val="20"/>
                <w:color w:val="auto"/>
              </w:rPr>
            </w:pPr>
            <w:r>
              <w:rPr>
                <w:rFonts w:ascii="Arial" w:cs="Arial" w:eastAsia="Arial" w:hAnsi="Arial"/>
                <w:sz w:val="18"/>
                <w:szCs w:val="18"/>
                <w:b w:val="1"/>
                <w:bCs w:val="1"/>
                <w:i w:val="1"/>
                <w:iCs w:val="1"/>
                <w:color w:val="auto"/>
                <w:w w:val="87"/>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2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5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560" w:type="dxa"/>
            <w:vAlign w:val="bottom"/>
            <w:gridSpan w:val="3"/>
          </w:tcPr>
          <w:p>
            <w:pPr>
              <w:ind w:left="840"/>
              <w:spacing w:after="0"/>
              <w:rPr>
                <w:sz w:val="20"/>
                <w:szCs w:val="20"/>
                <w:color w:val="auto"/>
              </w:rPr>
            </w:pPr>
            <w:r>
              <w:rPr>
                <w:rFonts w:ascii="Arial" w:cs="Arial" w:eastAsia="Arial" w:hAnsi="Arial"/>
                <w:sz w:val="18"/>
                <w:szCs w:val="18"/>
                <w:b w:val="1"/>
                <w:bCs w:val="1"/>
                <w:color w:val="auto"/>
              </w:rPr>
              <w:t>New York Stock Exchange</w:t>
            </w:r>
          </w:p>
        </w:tc>
        <w:tc>
          <w:tcPr>
            <w:tcW w:w="0" w:type="dxa"/>
            <w:vAlign w:val="bottom"/>
          </w:tcPr>
          <w:p>
            <w:pPr>
              <w:spacing w:after="0"/>
              <w:rPr>
                <w:sz w:val="1"/>
                <w:szCs w:val="1"/>
                <w:color w:val="auto"/>
              </w:rPr>
            </w:pPr>
          </w:p>
        </w:tc>
      </w:tr>
      <w:tr>
        <w:trPr>
          <w:trHeight w:val="319"/>
        </w:trPr>
        <w:tc>
          <w:tcPr>
            <w:tcW w:w="8620" w:type="dxa"/>
            <w:vAlign w:val="bottom"/>
            <w:gridSpan w:val="5"/>
          </w:tcPr>
          <w:p>
            <w:pPr>
              <w:ind w:left="3300"/>
              <w:spacing w:after="0"/>
              <w:rPr>
                <w:sz w:val="20"/>
                <w:szCs w:val="20"/>
                <w:color w:val="auto"/>
              </w:rPr>
            </w:pPr>
            <w:r>
              <w:rPr>
                <w:rFonts w:ascii="Arial" w:cs="Arial" w:eastAsia="Arial" w:hAnsi="Arial"/>
                <w:sz w:val="18"/>
                <w:szCs w:val="18"/>
                <w:b w:val="1"/>
                <w:bCs w:val="1"/>
                <w:color w:val="auto"/>
                <w:w w:val="97"/>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80" w:type="dxa"/>
            <w:vAlign w:val="bottom"/>
            <w:tcBorders>
              <w:bottom w:val="single" w:sz="8" w:color="auto"/>
            </w:tcBorders>
            <w:gridSpan w:val="3"/>
          </w:tcPr>
          <w:p>
            <w:pPr>
              <w:spacing w:after="0"/>
              <w:rPr>
                <w:sz w:val="17"/>
                <w:szCs w:val="17"/>
                <w:color w:val="auto"/>
              </w:rPr>
            </w:pPr>
          </w:p>
        </w:tc>
        <w:tc>
          <w:tcPr>
            <w:tcW w:w="1760" w:type="dxa"/>
            <w:vAlign w:val="bottom"/>
          </w:tcPr>
          <w:p>
            <w:pPr>
              <w:spacing w:after="0"/>
              <w:rPr>
                <w:sz w:val="17"/>
                <w:szCs w:val="17"/>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97"/>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20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jc w:val="both"/>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spacing w:after="0" w:line="207" w:lineRule="exact"/>
        <w:tabs>
          <w:tab w:leader="none" w:pos="2280" w:val="left"/>
          <w:tab w:leader="none" w:pos="4560" w:val="left"/>
          <w:tab w:leader="none" w:pos="68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6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There is no non-voting common equity. The aggregate market value of the common stock held by non-affiliates (based upon the closing price of $8.10 for the shares on the New York Stock Exchange on August 3, 2018) was $114.9 million as of August 3, 2018, the last business day of the registrant’s most recently completed second fiscal quarter.</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color w:val="auto"/>
        </w:rPr>
        <w:t>As of April 12, 2019, there were 14,924,619 issued and outstanding shares of the registrant’s common stock.</w:t>
      </w:r>
    </w:p>
    <w:p>
      <w:pPr>
        <w:spacing w:after="0" w:line="131"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its June 6, 2019 Annual Meeting of Stockholders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302"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4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9"/>
              </w:rPr>
              <w:t>BUILD-A-BEAR WORKSHOP, INC.</w:t>
            </w:r>
          </w:p>
        </w:tc>
        <w:tc>
          <w:tcPr>
            <w:tcW w:w="56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rPr>
              <w:t>INDEX TO FORM 10-K</w:t>
            </w:r>
          </w:p>
        </w:tc>
        <w:tc>
          <w:tcPr>
            <w:tcW w:w="56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385"/>
        </w:trPr>
        <w:tc>
          <w:tcPr>
            <w:tcW w:w="10860" w:type="dxa"/>
            <w:vAlign w:val="bottom"/>
            <w:gridSpan w:val="3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196"/>
        </w:trPr>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0000EE"/>
            </w:tcBorders>
          </w:tcPr>
          <w:p>
            <w:pPr>
              <w:jc w:val="cente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520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76"/>
              </w:rPr>
            </w:pPr>
            <w:hyperlink w:anchor="page5">
              <w:r>
                <w:rPr>
                  <w:rFonts w:ascii="Arial" w:cs="Arial" w:eastAsia="Arial" w:hAnsi="Arial"/>
                  <w:sz w:val="18"/>
                  <w:szCs w:val="18"/>
                  <w:color w:val="0000EE"/>
                  <w:w w:val="76"/>
                </w:rPr>
                <w:t>Business</w:t>
              </w:r>
            </w:hyperlink>
          </w:p>
        </w:tc>
        <w:tc>
          <w:tcPr>
            <w:tcW w:w="9520" w:type="dxa"/>
            <w:vAlign w:val="bottom"/>
            <w:gridSpan w:val="27"/>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100" w:type="dxa"/>
            <w:vAlign w:val="bottom"/>
            <w:gridSpan w:val="2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0100" w:type="dxa"/>
            <w:vAlign w:val="bottom"/>
            <w:gridSpan w:val="2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8120" w:type="dxa"/>
            <w:vAlign w:val="bottom"/>
            <w:gridSpan w:val="18"/>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Legal Proceedings</w:t>
              </w:r>
            </w:hyperlink>
          </w:p>
        </w:tc>
        <w:tc>
          <w:tcPr>
            <w:tcW w:w="8820" w:type="dxa"/>
            <w:vAlign w:val="bottom"/>
            <w:gridSpan w:val="2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00" w:type="dxa"/>
            <w:vAlign w:val="bottom"/>
            <w:gridSpan w:val="2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12</w:t>
            </w:r>
          </w:p>
        </w:tc>
      </w:tr>
      <w:tr>
        <w:trPr>
          <w:trHeight w:val="196"/>
        </w:trPr>
        <w:tc>
          <w:tcPr>
            <w:tcW w:w="7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0000EE"/>
            </w:tcBorders>
            <w:gridSpan w:val="3"/>
          </w:tcPr>
          <w:p>
            <w:pPr>
              <w:jc w:val="cente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51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2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Market for Registrant’s Common Equity, Related Stockholder Matters and Issuer Purchases of Equity Securities</w:t>
              </w:r>
            </w:hyperlink>
          </w:p>
        </w:tc>
        <w:tc>
          <w:tcPr>
            <w:tcW w:w="208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0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700" w:type="dxa"/>
            <w:vAlign w:val="bottom"/>
            <w:gridSpan w:val="4"/>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Quantitative and Qualitative Disclosures About Market Risk</w:t>
              </w:r>
            </w:hyperlink>
          </w:p>
        </w:tc>
        <w:tc>
          <w:tcPr>
            <w:tcW w:w="5800" w:type="dxa"/>
            <w:vAlign w:val="bottom"/>
            <w:gridSpan w:val="1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10100" w:type="dxa"/>
            <w:vAlign w:val="bottom"/>
            <w:gridSpan w:val="2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10100" w:type="dxa"/>
            <w:vAlign w:val="bottom"/>
            <w:gridSpan w:val="2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4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366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8400" w:type="dxa"/>
            <w:vAlign w:val="bottom"/>
            <w:gridSpan w:val="20"/>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7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0" w:type="dxa"/>
            <w:vAlign w:val="bottom"/>
            <w:gridSpan w:val="13"/>
          </w:tcPr>
          <w:p>
            <w:pPr>
              <w:jc w:val="center"/>
              <w:ind w:right="506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III</w:t>
              </w:r>
            </w:hyperlink>
          </w:p>
        </w:tc>
        <w:tc>
          <w:tcPr>
            <w:tcW w:w="56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Directors, Executive Officers and Corporate Governance</w:t>
              </w:r>
            </w:hyperlink>
          </w:p>
        </w:tc>
        <w:tc>
          <w:tcPr>
            <w:tcW w:w="340" w:type="dxa"/>
            <w:vAlign w:val="bottom"/>
            <w:gridSpan w:val="2"/>
          </w:tcPr>
          <w:p>
            <w:pPr>
              <w:spacing w:after="0"/>
              <w:rPr>
                <w:sz w:val="17"/>
                <w:szCs w:val="17"/>
                <w:color w:val="auto"/>
              </w:rPr>
            </w:pPr>
          </w:p>
        </w:tc>
        <w:tc>
          <w:tcPr>
            <w:tcW w:w="600" w:type="dxa"/>
            <w:vAlign w:val="bottom"/>
            <w:tcBorders>
              <w:top w:val="single" w:sz="8" w:color="0000EE"/>
            </w:tcBorders>
            <w:gridSpan w:val="6"/>
          </w:tcPr>
          <w:p>
            <w:pPr>
              <w:spacing w:after="0"/>
              <w:rPr>
                <w:sz w:val="17"/>
                <w:szCs w:val="17"/>
                <w:color w:val="auto"/>
              </w:rPr>
            </w:pPr>
          </w:p>
        </w:tc>
        <w:tc>
          <w:tcPr>
            <w:tcW w:w="5120" w:type="dxa"/>
            <w:vAlign w:val="bottom"/>
            <w:gridSpan w:val="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0100" w:type="dxa"/>
            <w:vAlign w:val="bottom"/>
            <w:gridSpan w:val="2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10100" w:type="dxa"/>
            <w:vAlign w:val="bottom"/>
            <w:gridSpan w:val="2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Certain Relationships and Related Transactions and Director Independence</w:t>
              </w:r>
            </w:hyperlink>
          </w:p>
        </w:tc>
        <w:tc>
          <w:tcPr>
            <w:tcW w:w="288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3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Principal Accountant Fees and Services</w:t>
              </w:r>
            </w:hyperlink>
          </w:p>
        </w:tc>
        <w:tc>
          <w:tcPr>
            <w:tcW w:w="4760" w:type="dxa"/>
            <w:vAlign w:val="bottom"/>
            <w:gridSpan w:val="5"/>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r>
      <w:tr>
        <w:trPr>
          <w:trHeight w:val="196"/>
        </w:trPr>
        <w:tc>
          <w:tcPr>
            <w:tcW w:w="7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gridSpan w:val="11"/>
          </w:tcPr>
          <w:p>
            <w:pPr>
              <w:jc w:val="center"/>
              <w:ind w:right="5140"/>
              <w:spacing w:after="0" w:line="196" w:lineRule="exact"/>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IV</w:t>
              </w:r>
            </w:hyperlink>
          </w:p>
        </w:tc>
        <w:tc>
          <w:tcPr>
            <w:tcW w:w="56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Exhibits and Financial Statement Schedules</w:t>
              </w:r>
            </w:hyperlink>
          </w:p>
        </w:tc>
        <w:tc>
          <w:tcPr>
            <w:tcW w:w="1300" w:type="dxa"/>
            <w:vAlign w:val="bottom"/>
            <w:gridSpan w:val="5"/>
          </w:tcPr>
          <w:p>
            <w:pPr>
              <w:spacing w:after="0"/>
              <w:rPr>
                <w:sz w:val="17"/>
                <w:szCs w:val="17"/>
                <w:color w:val="auto"/>
              </w:rPr>
            </w:pPr>
          </w:p>
        </w:tc>
        <w:tc>
          <w:tcPr>
            <w:tcW w:w="560" w:type="dxa"/>
            <w:vAlign w:val="bottom"/>
            <w:tcBorders>
              <w:top w:val="single" w:sz="8" w:color="0000EE"/>
            </w:tcBorders>
            <w:gridSpan w:val="4"/>
          </w:tcPr>
          <w:p>
            <w:pPr>
              <w:spacing w:after="0"/>
              <w:rPr>
                <w:sz w:val="17"/>
                <w:szCs w:val="17"/>
                <w:color w:val="auto"/>
              </w:rPr>
            </w:pPr>
          </w:p>
        </w:tc>
        <w:tc>
          <w:tcPr>
            <w:tcW w:w="5140" w:type="dxa"/>
            <w:vAlign w:val="bottom"/>
            <w:gridSpan w:val="7"/>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r>
      <w:tr>
        <w:trPr>
          <w:trHeight w:val="412"/>
        </w:trPr>
        <w:tc>
          <w:tcPr>
            <w:tcW w:w="10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Exhibit Index</w:t>
              </w:r>
            </w:hyperlink>
          </w:p>
        </w:tc>
        <w:tc>
          <w:tcPr>
            <w:tcW w:w="9860" w:type="dxa"/>
            <w:vAlign w:val="bottom"/>
            <w:gridSpan w:val="2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196"/>
        </w:trPr>
        <w:tc>
          <w:tcPr>
            <w:tcW w:w="10860" w:type="dxa"/>
            <w:vAlign w:val="bottom"/>
            <w:gridSpan w:val="3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r>
      <w:tr>
        <w:trPr>
          <w:trHeight w:val="595"/>
        </w:trPr>
        <w:tc>
          <w:tcPr>
            <w:tcW w:w="7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 w:right="120"/>
        <w:spacing w:after="0" w:line="255" w:lineRule="auto"/>
        <w:rPr>
          <w:sz w:val="20"/>
          <w:szCs w:val="20"/>
          <w:color w:val="auto"/>
        </w:rPr>
      </w:pPr>
      <w:r>
        <w:rPr>
          <w:rFonts w:ascii="Arial" w:cs="Arial" w:eastAsia="Arial" w:hAnsi="Arial"/>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93" w:lineRule="exact"/>
        <w:rPr>
          <w:sz w:val="20"/>
          <w:szCs w:val="20"/>
          <w:color w:val="auto"/>
        </w:rPr>
      </w:pPr>
    </w:p>
    <w:p>
      <w:pPr>
        <w:ind w:left="460" w:hanging="3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the sufficiency of our cash generated from operations and borrowings under our credit facilities;</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effects of the change in our fiscal year end;</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relocations, openings and closures; and</w:t>
      </w:r>
    </w:p>
    <w:p>
      <w:pPr>
        <w:spacing w:after="0" w:line="225" w:lineRule="exact"/>
        <w:rPr>
          <w:rFonts w:ascii="Arial" w:cs="Arial" w:eastAsia="Arial" w:hAnsi="Arial"/>
          <w:sz w:val="18"/>
          <w:szCs w:val="18"/>
          <w:color w:val="auto"/>
        </w:rPr>
      </w:pPr>
    </w:p>
    <w:p>
      <w:pPr>
        <w:ind w:left="460" w:hanging="3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relocations, openings and closures.</w:t>
      </w:r>
    </w:p>
    <w:p>
      <w:pPr>
        <w:spacing w:after="0" w:line="225" w:lineRule="exact"/>
        <w:rPr>
          <w:sz w:val="20"/>
          <w:szCs w:val="20"/>
          <w:color w:val="auto"/>
        </w:rPr>
      </w:pPr>
    </w:p>
    <w:p>
      <w:pPr>
        <w:ind w:left="20"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ind w:left="20" w:right="40" w:firstLine="441"/>
        <w:spacing w:after="0" w:line="302"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0" w:lineRule="exact"/>
        <w:rPr>
          <w:sz w:val="20"/>
          <w:szCs w:val="20"/>
          <w:color w:val="auto"/>
        </w:rPr>
      </w:pPr>
    </w:p>
    <w:p>
      <w:pPr>
        <w:jc w:val="both"/>
        <w:ind w:left="20" w:right="60"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62" w:lineRule="exact"/>
        <w:rPr>
          <w:sz w:val="20"/>
          <w:szCs w:val="20"/>
          <w:color w:val="auto"/>
        </w:rPr>
      </w:pPr>
    </w:p>
    <w:p>
      <w:pPr>
        <w:ind w:left="20" w:right="80" w:firstLine="441"/>
        <w:spacing w:after="0" w:line="277" w:lineRule="auto"/>
        <w:rPr>
          <w:sz w:val="20"/>
          <w:szCs w:val="20"/>
          <w:color w:val="auto"/>
        </w:rPr>
      </w:pPr>
      <w:r>
        <w:rPr>
          <w:rFonts w:ascii="Arial" w:cs="Arial" w:eastAsia="Arial" w:hAnsi="Arial"/>
          <w:sz w:val="18"/>
          <w:szCs w:val="18"/>
          <w:color w:val="auto"/>
        </w:rPr>
        <w:t>Unless the context otherwise requires, references in this Annual Report on Form 10-K to the “Company,” “we,” “us,” and “our” refer to Build-A-Bear Workshop, Inc. and, where appropriate, its subsidiaries.</w:t>
      </w:r>
    </w:p>
    <w:p>
      <w:pPr>
        <w:spacing w:after="0" w:line="170" w:lineRule="exact"/>
        <w:rPr>
          <w:sz w:val="20"/>
          <w:szCs w:val="20"/>
          <w:color w:val="auto"/>
        </w:rPr>
      </w:pPr>
    </w:p>
    <w:p>
      <w:pPr>
        <w:ind w:left="20" w:right="180" w:firstLine="441"/>
        <w:spacing w:after="0" w:line="277" w:lineRule="auto"/>
        <w:rPr>
          <w:sz w:val="20"/>
          <w:szCs w:val="20"/>
          <w:color w:val="auto"/>
        </w:rPr>
      </w:pPr>
      <w:r>
        <w:rPr>
          <w:rFonts w:ascii="Arial" w:cs="Arial" w:eastAsia="Arial" w:hAnsi="Arial"/>
          <w:sz w:val="18"/>
          <w:szCs w:val="18"/>
          <w:color w:val="auto"/>
        </w:rPr>
        <w:t>The following discussion contains references to fiscal 2018 and fiscal 2017, which represent our fiscal years ending February 2, 2019 and December 30, 2017, respectively.</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Change in Fiscal Year</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January 2018, the Company’s Board of Directors approved a change in the Company’s fiscal year-end, which previously ended on the Saturday closest to December 31, to the Saturday closest to January 31. The first 12-month fiscal year under the new calendar encompassed the 52-week period February 4, 2018 through February 2, 2019. As a result of the change, the Company had a five week transition period, December 31, 2017 through February 3, 2018. Results of the transition period are presented in this Annual Report Form 10-K for the year ending February 2, 2019. This change was effective following the end of the Company’s 2017 fiscal year and the financial and other information reported herein related to fiscal 2017 continues to be reported based on the Company’s prior fiscal year ended December 30, 2017.</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20" w:top="823"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Build-A-Bear Workshop, Inc., a Delaware corporation, was formed in 1997 and is primarily a specialty retailer offering a “make your own stuffed animal” interactive retail-entertainment experience. As of February 2, 2019, we operated 373 corporately-managed locations, including 313 stores in the United States (“U.S.”) and Canada, 60 stores in the United Kingdom (“U.K.”), Ireland, Denmark, and China and had 97 franchised stores operating internationally under the Build-A-Bear Workshop brand. In addition to our stores, we sold product on our company-owned e-commerce sites, third-party marketplaces and franchisee sites and through retailer’s wholesale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geographic area.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Currently, we primarily operate specialty stores that provide a “make your own stuffed animal” interactive entertainment experience in which guests, with the help of our associates, visit a variety of stations to “assemble” and customize a stuffed animal. Our concept is a unique combination of experience and product and we are focused on enhancing our brand equity while meeting the needs of consumers by offering a relevant selection of premium products that meet high quality standards and are on trend. In addition, products are sold through e-commerce sites and franchise sites as well. Our store experience appeals to a broad range of age groups and demographics, including children, as well as their parents and grandparents, teens, adult collector and affinity consumers. We seek to provide outstanding guest service and experiences across all channels and touch points including our stores, our e-commerce site, our mobile sites and apps as well as traditional and social media. Guests visit our stores for multiple reasons including interactive family experiences, birthdays, parties and other milestone occasions as well as to purchase gifts including the “gift of experience” that comes with a gift card. We believe the hands-on and interactive nature of our store and high touch service model result in guests forming an emotional connection with our brand.</w:t>
      </w:r>
    </w:p>
    <w:p>
      <w:pPr>
        <w:spacing w:after="0" w:line="167"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Our net sales are moderately seasonal. However, due to the change in our fiscal year-end from the Saturday closest to December 31, to the Saturday closest to January 31, we expect to realize more sales in our fiscal fourth quarter than in prior years.</w:t>
      </w:r>
    </w:p>
    <w:p>
      <w:pPr>
        <w:spacing w:after="0" w:line="170" w:lineRule="exact"/>
        <w:rPr>
          <w:sz w:val="20"/>
          <w:szCs w:val="20"/>
          <w:color w:val="auto"/>
        </w:rPr>
      </w:pPr>
    </w:p>
    <w:p>
      <w:pPr>
        <w:ind w:right="400" w:firstLine="492"/>
        <w:spacing w:after="0" w:line="342" w:lineRule="auto"/>
        <w:rPr>
          <w:sz w:val="20"/>
          <w:szCs w:val="20"/>
          <w:color w:val="auto"/>
        </w:rPr>
      </w:pPr>
      <w:r>
        <w:rPr>
          <w:rFonts w:ascii="Arial" w:cs="Arial" w:eastAsia="Arial" w:hAnsi="Arial"/>
          <w:sz w:val="16"/>
          <w:szCs w:val="16"/>
          <w:color w:val="auto"/>
        </w:rPr>
        <w:t>We believe there are opportunities to leverage the strength of the Build-A-Bear brand and generate incremental revenue and profits given the high consumer recognition and strong positioning as a trusted, high quality brand that is emotionally connected with both kids and their parents.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fiscal 2018, we continued to evolve and execute our strategic plan with key initiatives in the areas outlined below, which are intended to drive long-term shareholder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Channel Evolution through Diversifying Real Estate and Upgrading E-Commerce Capabilities</w:t>
      </w:r>
    </w:p>
    <w:p>
      <w:pPr>
        <w:spacing w:after="0" w:line="2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continued to diversify our real estate portfolio to locations that families are increasingly going to shop and for entertainment, such as tourist destinations, cruise ships, holiday pop-up shops and mass merchandising locations in order to reach a broader consumer base. In addition, we are strategically managing the traditional mall portfolio and renegotiating leases to optimize the cash flow to fund investments needed to achieve our desired future state. Therefore, we have used favorable short-term extensions to maintain flexibility and optionality within our corporately-managed portfolio with over 60% of our leases across geographies expiring in the next three years.</w:t>
      </w:r>
    </w:p>
    <w:p>
      <w:pPr>
        <w:spacing w:after="0" w:line="19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fiscal 2018, we added a new franchise agreement covering India and Sri Lanka. We intend to add new franchise agreements covering other markets in the future. Separately, we have seen positive results from investments in our upgraded e-commerce platform along with improved processes and an evolved digital strategy.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Expansion through Owned Intellectual Property Development, Relevant Licensing and Outbound Brand Licensing into New Categories</w:t>
      </w:r>
    </w:p>
    <w:p>
      <w:pPr>
        <w:spacing w:after="0" w:line="23"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To meet the needs of our core consumer base (boys and girls ages 3 to 12) while systematically building secondary consumer segments (including collectors, gift-givers and teen-plus consumers), we continued to develop and expand offerings of successful intellectual properties balanced with core products and a comprehensive program of key licensed products. We also continued to expand our initiatives to sell pre-stuffed plush products for corporate promotions or to other companies for resell and to further develop outbound licensed programs leveraging the power of the Build-A-Bear brand and other owned intellectual properties.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Brand and Experience Amplification through Marketing and Entertainment Integration</w:t>
      </w:r>
    </w:p>
    <w:p>
      <w:pPr>
        <w:spacing w:after="0" w:line="23"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color w:val="auto"/>
        </w:rPr>
        <w:t>We adjusted marketing programs to be more reflective of our guests’ changing media habits across channels while leveraging our content development strategy, which includes mobile apps, music videos and other entertainment opportunities to increase engagement.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Continued Focus on Delivering Long-Term Profitability Improvement</w:t>
      </w:r>
    </w:p>
    <w:p>
      <w:pPr>
        <w:spacing w:after="0" w:line="23" w:lineRule="exact"/>
        <w:rPr>
          <w:sz w:val="20"/>
          <w:szCs w:val="20"/>
          <w:color w:val="auto"/>
        </w:rPr>
      </w:pPr>
    </w:p>
    <w:p>
      <w:pPr>
        <w:ind w:right="860" w:firstLine="486"/>
        <w:spacing w:after="0" w:line="290" w:lineRule="auto"/>
        <w:rPr>
          <w:sz w:val="20"/>
          <w:szCs w:val="20"/>
          <w:color w:val="auto"/>
        </w:rPr>
      </w:pPr>
      <w:r>
        <w:rPr>
          <w:rFonts w:ascii="Arial" w:cs="Arial" w:eastAsia="Arial" w:hAnsi="Arial"/>
          <w:sz w:val="17"/>
          <w:szCs w:val="17"/>
          <w:color w:val="auto"/>
        </w:rPr>
        <w:t>We remained focused on the execution of our stated strategies summarized above as well as disciplined expense management and on-going investments to upgrade our processes, systems and infrastructure with the goal to achieve longer-term profitability improvement.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stores offer an extensive and coordinated selection of merchandise, including a wide range of different styles of plush products to be stuffed, sounds and scents that can be added to the stuffed animals and a broad variety of clothing, shoes and accessories, as well as other brand appropriate toy and novelty items. Our stuffed animal products and clothing are produced from high quality, man-made materials or natural fibers, and the stuffing is made of a high-grade polyester fiber.</w:t>
      </w:r>
    </w:p>
    <w:p>
      <w:pPr>
        <w:spacing w:after="0" w:line="18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believe we comply with governmental toy safety requirements specific to each country where we have stores. Specifically, we believe all of the products in our stores and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We require our supplier factories to be compliant with the International Council of Toy Industries (ICTI) Ethical Toy Program certification or with other third party social compliance programs. The ICTI Ethical Toy Program process is the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83"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average time from product conception to the arrival in stores is approximately 12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and do not provide a contractual obligation to provide adequate supply or acceptable pricing on a long-term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own a 350,000 square-foot distribution center near Columbus, Ohio which serves the majority of our stores in the United States and Canada. We also contract with a third-party warehouse in southern California to service our West Coast stores. The contract has a one-year term and is renewable. In Europe, we contract with a third-party distribution center in Selby, England under an agreement that ends in December 2019. This agreement contains clauses that allow for termination if certain performance criteria are not met. In Asia, we contract with a third-party distribution center in Shanghai, China under an agreement that ends in March 2020.</w:t>
      </w:r>
    </w:p>
    <w:p>
      <w:pPr>
        <w:spacing w:after="0" w:line="18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Transportation from the warehouses to stores is managed by several third-party logistics providers. In the United States,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or twice a week on a regular schedule, which allows us to consolidate shipments in order to reduce distribution and shipping costs. Back-up supplies, such as stuffing for the plush animals, are often stored in limited amounts at regional pool points.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As of February 2, 2019, we had approximately 1,000 full-time and 3,300 regular part-time employees in the U.S., Canada, the U.K., Ireland, Denmark and China. The number of part-time employees at all locations fluctuates depending on our seasonal needs. None of our employees are represented by a labor union, and we believe our relationship with our employees is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We view the Build-A-Bear Workshop store experience as a distinctive combination of entertainment and retail with limited direct competition. Since we develop proprietary products, we compete indirectly with a number of brands that sell stuffed animals or premium children’s toys in the United States, including, but not limited to, Ty, Fisher Price, Mattel, Ganz, Hasbro, Commonwealth and Vermont Teddy Bear. In the U.K., we compete with a number of retailers including The Entertainer Toy Shop, Smyths Toys Superstores and Hamleys Toy Store.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With the majority of our stores currently operating in traditional shopping malls, we also compete with other mall-based retailers, including various apparel, footwear and specialty retailers, for prime mall locations.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ind w:left="20" w:right="520" w:firstLine="486"/>
        <w:spacing w:after="0" w:line="342" w:lineRule="auto"/>
        <w:rPr>
          <w:sz w:val="20"/>
          <w:szCs w:val="20"/>
          <w:color w:val="auto"/>
        </w:rPr>
      </w:pPr>
      <w:r>
        <w:rPr>
          <w:rFonts w:ascii="Arial" w:cs="Arial" w:eastAsia="Arial" w:hAnsi="Arial"/>
          <w:sz w:val="16"/>
          <w:szCs w:val="16"/>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ind w:left="20" w:right="120" w:firstLine="486"/>
        <w:spacing w:after="0" w:line="264"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81" w:lineRule="exact"/>
        <w:rPr>
          <w:sz w:val="20"/>
          <w:szCs w:val="20"/>
          <w:color w:val="auto"/>
        </w:rPr>
      </w:pPr>
    </w:p>
    <w:p>
      <w:pPr>
        <w:ind w:left="20" w:firstLine="486"/>
        <w:spacing w:after="0" w:line="276" w:lineRule="auto"/>
        <w:rPr>
          <w:sz w:val="20"/>
          <w:szCs w:val="20"/>
          <w:color w:val="auto"/>
        </w:rPr>
      </w:pPr>
      <w:r>
        <w:rPr>
          <w:rFonts w:ascii="Arial" w:cs="Arial" w:eastAsia="Arial" w:hAnsi="Arial"/>
          <w:sz w:val="17"/>
          <w:szCs w:val="17"/>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DreamWorks Animation, Hasbro, and major professional and collegiate sports along with other culturally relevant brands.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ind w:right="240" w:firstLine="486"/>
        <w:spacing w:after="0" w:line="272" w:lineRule="auto"/>
        <w:rPr>
          <w:sz w:val="20"/>
          <w:szCs w:val="20"/>
          <w:color w:val="auto"/>
        </w:rPr>
      </w:pPr>
      <w:r>
        <w:rPr>
          <w:rFonts w:ascii="Arial" w:cs="Arial" w:eastAsia="Arial" w:hAnsi="Arial"/>
          <w:sz w:val="17"/>
          <w:szCs w:val="17"/>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practicable after we electronically file such material with, or furnish it to, the SEC. You may also request copies of these materials without charge by writing to our Investor Relations department at World Headquarters, 1954 Innerbelt Business Center Drive, St. Louis, Missouri 63114.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3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20" w:right="20"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00" w:lineRule="exact"/>
        <w:rPr>
          <w:sz w:val="20"/>
          <w:szCs w:val="20"/>
          <w:color w:val="auto"/>
        </w:rPr>
      </w:pPr>
    </w:p>
    <w:p>
      <w:pPr>
        <w:spacing w:after="0" w:line="268" w:lineRule="exact"/>
        <w:rPr>
          <w:sz w:val="20"/>
          <w:szCs w:val="20"/>
          <w:color w:val="auto"/>
        </w:rPr>
      </w:pPr>
    </w:p>
    <w:p>
      <w:pPr>
        <w:ind w:left="20" w:right="520"/>
        <w:spacing w:after="0" w:line="282" w:lineRule="auto"/>
        <w:rPr>
          <w:sz w:val="20"/>
          <w:szCs w:val="20"/>
          <w:color w:val="auto"/>
        </w:rPr>
      </w:pPr>
      <w:r>
        <w:rPr>
          <w:rFonts w:ascii="Arial" w:cs="Arial" w:eastAsia="Arial" w:hAnsi="Arial"/>
          <w:sz w:val="18"/>
          <w:szCs w:val="18"/>
          <w:b w:val="1"/>
          <w:b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159" w:lineRule="exact"/>
        <w:rPr>
          <w:sz w:val="20"/>
          <w:szCs w:val="20"/>
          <w:color w:val="auto"/>
        </w:rPr>
      </w:pPr>
    </w:p>
    <w:p>
      <w:pPr>
        <w:ind w:left="20" w:right="20" w:firstLine="486"/>
        <w:spacing w:after="0" w:line="271" w:lineRule="auto"/>
        <w:rPr>
          <w:sz w:val="20"/>
          <w:szCs w:val="20"/>
          <w:color w:val="auto"/>
        </w:rPr>
      </w:pPr>
      <w:r>
        <w:rPr>
          <w:rFonts w:ascii="Arial" w:cs="Arial" w:eastAsia="Arial" w:hAnsi="Arial"/>
          <w:sz w:val="19"/>
          <w:szCs w:val="19"/>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U.S., Canadian or European economies or in the economies of the countries in which our franchisees operate or uncertainty as to the economic outlook could reduce discretionary spending or cause a shift in consumer discretionary spending to other products. For example, the potential adverse effects of Brexit may be underestimated and the actual effects are dependent on many factors that may be beyond the control of the authorities in the U.K. and the European Union (“EU”).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might impact our access to capital resources at an affordable cost to meet our needs. These capital market conditions may affect the renewal or replacement of our credit agreement, which was originally entered in fiscal 2000 and has been extended annually since then and currently expires December 31, 2020. Although we believe that our capital structure and credit facilities will provide sufficient liquidity, there can be no assurance that our liquidity will not be affected by changes in the access to capital markets or that our access to capital will at all times be sufficient or at an acceptable cost to satisfy our needs.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We may not be able to operate our international corporately-managed locations profitably.</w:t>
      </w:r>
    </w:p>
    <w:p>
      <w:pPr>
        <w:spacing w:after="0" w:line="212" w:lineRule="exact"/>
        <w:rPr>
          <w:sz w:val="20"/>
          <w:szCs w:val="20"/>
          <w:color w:val="auto"/>
        </w:rPr>
      </w:pPr>
    </w:p>
    <w:p>
      <w:pPr>
        <w:ind w:left="20" w:right="60" w:firstLine="486"/>
        <w:spacing w:after="0" w:line="245" w:lineRule="auto"/>
        <w:rPr>
          <w:sz w:val="20"/>
          <w:szCs w:val="20"/>
          <w:color w:val="auto"/>
        </w:rPr>
      </w:pPr>
      <w:r>
        <w:rPr>
          <w:rFonts w:ascii="Arial" w:cs="Arial" w:eastAsia="Arial" w:hAnsi="Arial"/>
          <w:sz w:val="21"/>
          <w:szCs w:val="21"/>
          <w:color w:val="auto"/>
        </w:rPr>
        <w:t>In addition to our U.S. locations, we currently operate stores in the U.K., Canada, Ireland, Denmark and China. Our future success in international markets may be impacted by differences in consumer demand, regulatory and cultural differences, economic conditions, changes in foreign government policies and regulations, changes in trading status, compliance with U.S. laws affecting operations outside the U.S., such as the Foreign Corrupt Practices Act, as well as other risks that we may not anticipate. Brand awareness in international markets may be lower than in the U.S. and we may face higher labor and rent costs, as well as different holiday schedules. Although we have realized benefits from our operations in the U.K. and Ireland, we may be unable to continue to do so on a consistent basis. For example, in fiscal 2018, we recorded $3.5 million of asset impairment charges in the U.K. In 2016, we opened our first corporately-managed location in China and subsequently recognized an impairment charge on a substantial portion of the store’s assets.</w:t>
      </w:r>
    </w:p>
    <w:p>
      <w:pPr>
        <w:spacing w:after="0" w:line="185" w:lineRule="exact"/>
        <w:rPr>
          <w:sz w:val="20"/>
          <w:szCs w:val="20"/>
          <w:color w:val="auto"/>
        </w:rPr>
      </w:pPr>
    </w:p>
    <w:p>
      <w:pPr>
        <w:ind w:left="20" w:right="80" w:firstLine="486"/>
        <w:spacing w:after="0" w:line="297" w:lineRule="auto"/>
        <w:rPr>
          <w:sz w:val="20"/>
          <w:szCs w:val="20"/>
          <w:color w:val="auto"/>
        </w:rPr>
      </w:pPr>
      <w:r>
        <w:rPr>
          <w:rFonts w:ascii="Arial" w:cs="Arial" w:eastAsia="Arial" w:hAnsi="Arial"/>
          <w:sz w:val="19"/>
          <w:szCs w:val="19"/>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our foreign subsidiaries buy products in U.S. dollars but sell them to customers in local</w:t>
      </w:r>
    </w:p>
    <w:p>
      <w:pPr>
        <w:sectPr>
          <w:pgSz w:w="11900" w:h="16838" w:orient="portrait"/>
          <w:cols w:equalWidth="0" w:num="1">
            <w:col w:w="11440"/>
          </w:cols>
          <w:pgMar w:left="220" w:top="584" w:right="239" w:bottom="0" w:gutter="0" w:footer="0" w:header="0"/>
        </w:sectPr>
      </w:pPr>
    </w:p>
    <w:bookmarkStart w:id="7" w:name="page8"/>
    <w:bookmarkEnd w:id="7"/>
    <w:p>
      <w:pPr>
        <w:spacing w:after="0" w:line="236" w:lineRule="auto"/>
        <w:rPr>
          <w:sz w:val="20"/>
          <w:szCs w:val="20"/>
          <w:color w:val="auto"/>
        </w:rPr>
      </w:pPr>
      <w:r>
        <w:rPr>
          <w:rFonts w:ascii="Arial" w:cs="Arial" w:eastAsia="Arial" w:hAnsi="Arial"/>
          <w:sz w:val="22"/>
          <w:szCs w:val="22"/>
          <w:color w:val="auto"/>
        </w:rPr>
        <w:t>currencies, which exposes us to foreign exchange risk, as described in “</w:t>
      </w:r>
      <w:r>
        <w:rPr>
          <w:rFonts w:ascii="Arial" w:cs="Arial" w:eastAsia="Arial" w:hAnsi="Arial"/>
          <w:sz w:val="22"/>
          <w:szCs w:val="22"/>
          <w:i w:val="1"/>
          <w:iCs w:val="1"/>
          <w:color w:val="auto"/>
        </w:rPr>
        <w:t>Our merchandise is manufactured by foreign manufacturers</w:t>
      </w:r>
      <w:r>
        <w:rPr>
          <w:rFonts w:ascii="Arial" w:cs="Arial" w:eastAsia="Arial" w:hAnsi="Arial"/>
          <w:sz w:val="22"/>
          <w:szCs w:val="22"/>
          <w:color w:val="auto"/>
        </w:rPr>
        <w:t xml:space="preserve"> </w:t>
      </w:r>
      <w:r>
        <w:rPr>
          <w:rFonts w:ascii="Arial" w:cs="Arial" w:eastAsia="Arial" w:hAnsi="Arial"/>
          <w:sz w:val="22"/>
          <w:szCs w:val="22"/>
          <w:i w:val="1"/>
          <w:iCs w:val="1"/>
          <w:color w:val="auto"/>
        </w:rPr>
        <w:t>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Arial" w:cs="Arial" w:eastAsia="Arial" w:hAnsi="Arial"/>
          <w:sz w:val="22"/>
          <w:szCs w:val="22"/>
          <w:color w:val="auto"/>
        </w:rPr>
        <w:t>” below. In addition, we could experience restrictions on the transfer of funds to and from foreign countries, including</w:t>
      </w:r>
      <w:r>
        <w:rPr>
          <w:rFonts w:ascii="Arial" w:cs="Arial" w:eastAsia="Arial" w:hAnsi="Arial"/>
          <w:sz w:val="22"/>
          <w:szCs w:val="22"/>
          <w:i w:val="1"/>
          <w:iCs w:val="1"/>
          <w:color w:val="auto"/>
        </w:rPr>
        <w:t xml:space="preserve"> </w:t>
      </w:r>
      <w:r>
        <w:rPr>
          <w:rFonts w:ascii="Arial" w:cs="Arial" w:eastAsia="Arial" w:hAnsi="Arial"/>
          <w:sz w:val="22"/>
          <w:szCs w:val="22"/>
          <w:color w:val="auto"/>
        </w:rPr>
        <w:t>potentially negative tax consequences.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ind w:right="340"/>
        <w:spacing w:after="0" w:line="282" w:lineRule="auto"/>
        <w:rPr>
          <w:sz w:val="20"/>
          <w:szCs w:val="20"/>
          <w:color w:val="auto"/>
        </w:rPr>
      </w:pPr>
      <w:r>
        <w:rPr>
          <w:rFonts w:ascii="Arial" w:cs="Arial" w:eastAsia="Arial" w:hAnsi="Arial"/>
          <w:sz w:val="18"/>
          <w:szCs w:val="18"/>
          <w:b w:val="1"/>
          <w:bCs w:val="1"/>
          <w:color w:val="auto"/>
        </w:rPr>
        <w:t>We depend upon the shopping malls and tourist locations in which we are located to attract guests to our stores and a decline in consumer traffic could adversely affect our financial performance and profitability.</w:t>
      </w:r>
    </w:p>
    <w:p>
      <w:pPr>
        <w:spacing w:after="0" w:line="166"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While we invest in integrated marketing efforts and believe we are more of a destination location than other retailers, we rely to a great extent on consumer traffic in the malls and tourist locations in which our stores are located.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Additionally, in recent years, there has been a trend of consumers preferring to purchase products from online merchants rather than traditional brick and mortar stores, and while we have e-commerce sales and continue to develop our online business, we continue to depend heavily on sales at our physical store locations. Consumer traffic may also be reduced due to factors such as the economy, civil unrest, actual or threatened acts of terrorism to shopping locations, the impact of weather or natural disasters or a decline in consumer confidence resulting from international conflicts or war. A decrease in consumer traffic could have an adverse effect on our financial condition and profitability.</w:t>
      </w:r>
    </w:p>
    <w:p>
      <w:pPr>
        <w:spacing w:after="0" w:line="174"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42"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believe that our success depends in large part upon our ability to continue to attract new and repeat guests with our interactive shopping experience, and our ability to anticipate, gauge and respond in a timely manner to changing consumer preferences, including online buying, and fashion trends including licensed relationships. We cannot assure you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Our future success depends, in part, on the popularity and consumer demand for brands of licensors such as Disney, LucasFilm, Marvel, Hasbro and The Pokémon Company. If we are not able to meet our contractual commitments or are unable to maintain licensing agreements with key brands, our business would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6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revenue and profitability could be harmed.</w:t>
      </w:r>
    </w:p>
    <w:p>
      <w:pPr>
        <w:spacing w:after="0" w:line="159" w:lineRule="exact"/>
        <w:rPr>
          <w:sz w:val="20"/>
          <w:szCs w:val="20"/>
          <w:color w:val="auto"/>
        </w:rPr>
      </w:pPr>
    </w:p>
    <w:p>
      <w:pPr>
        <w:ind w:right="20" w:firstLine="486"/>
        <w:spacing w:after="0" w:line="272" w:lineRule="auto"/>
        <w:rPr>
          <w:sz w:val="20"/>
          <w:szCs w:val="20"/>
          <w:color w:val="auto"/>
        </w:rPr>
      </w:pPr>
      <w:r>
        <w:rPr>
          <w:rFonts w:ascii="Arial" w:cs="Arial" w:eastAsia="Arial" w:hAnsi="Arial"/>
          <w:sz w:val="19"/>
          <w:szCs w:val="19"/>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 or ours.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have expenses and charges associated with those closures that could negatively impact our profitability. Additionally, several large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200" w:lineRule="exact"/>
        <w:rPr>
          <w:sz w:val="20"/>
          <w:szCs w:val="20"/>
          <w:color w:val="auto"/>
        </w:rPr>
      </w:pPr>
    </w:p>
    <w:p>
      <w:pPr>
        <w:spacing w:after="0" w:line="205" w:lineRule="exact"/>
        <w:rPr>
          <w:sz w:val="20"/>
          <w:szCs w:val="20"/>
          <w:color w:val="auto"/>
        </w:rPr>
      </w:pPr>
    </w:p>
    <w:p>
      <w:pPr>
        <w:ind w:right="60" w:firstLine="486"/>
        <w:spacing w:after="0" w:line="235" w:lineRule="auto"/>
        <w:rPr>
          <w:sz w:val="20"/>
          <w:szCs w:val="20"/>
          <w:color w:val="auto"/>
        </w:rPr>
      </w:pPr>
      <w:r>
        <w:rPr>
          <w:rFonts w:ascii="Arial" w:cs="Arial" w:eastAsia="Arial" w:hAnsi="Arial"/>
          <w:sz w:val="22"/>
          <w:szCs w:val="22"/>
          <w:color w:val="auto"/>
        </w:rPr>
        <w:t>Our leases in the U.K.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82" w:lineRule="exact"/>
        <w:rPr>
          <w:sz w:val="20"/>
          <w:szCs w:val="20"/>
          <w:color w:val="auto"/>
        </w:rPr>
      </w:pPr>
    </w:p>
    <w:p>
      <w:pPr>
        <w:ind w:right="620"/>
        <w:spacing w:after="0" w:line="335" w:lineRule="auto"/>
        <w:rPr>
          <w:sz w:val="20"/>
          <w:szCs w:val="20"/>
          <w:color w:val="auto"/>
        </w:rPr>
      </w:pPr>
      <w:r>
        <w:rPr>
          <w:rFonts w:ascii="Arial" w:cs="Arial" w:eastAsia="Arial" w:hAnsi="Arial"/>
          <w:sz w:val="19"/>
          <w:szCs w:val="19"/>
          <w:b w:val="1"/>
          <w:bCs w:val="1"/>
          <w:color w:val="auto"/>
        </w:rPr>
        <w:t>Consumer interests change rapidly and our success depends on the ongoing effectiveness of our marketing and online initiatives to build consumer affinity for our brand and drive consumer demand for key products and services.</w:t>
      </w:r>
    </w:p>
    <w:p>
      <w:pPr>
        <w:spacing w:after="0" w:line="105"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in a profitable manner and future marketing and advertising efforts that we undertake, including our ability to:</w:t>
      </w:r>
    </w:p>
    <w:p>
      <w:pPr>
        <w:spacing w:after="0" w:line="187"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 consumer awareness into store visits and product purchases;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marketing spend;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expenditures both locally, nationally and internationally;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to maintain acceptable operating margins and return on marketing investment.</w:t>
      </w:r>
    </w:p>
    <w:p>
      <w:pPr>
        <w:sectPr>
          <w:pgSz w:w="11900" w:h="16838" w:orient="portrait"/>
          <w:cols w:equalWidth="0" w:num="1">
            <w:col w:w="11420"/>
          </w:cols>
          <w:pgMar w:left="240" w:top="580" w:right="239" w:bottom="0" w:gutter="0" w:footer="0" w:header="0"/>
        </w:sectPr>
      </w:pPr>
    </w:p>
    <w:bookmarkStart w:id="9" w:name="page10"/>
    <w:bookmarkEnd w:id="9"/>
    <w:p>
      <w:pPr>
        <w:ind w:firstLine="441"/>
        <w:spacing w:after="0" w:line="277" w:lineRule="auto"/>
        <w:rPr>
          <w:sz w:val="20"/>
          <w:szCs w:val="20"/>
          <w:color w:val="auto"/>
        </w:rPr>
      </w:pPr>
      <w:r>
        <w:rPr>
          <w:rFonts w:ascii="Arial" w:cs="Arial" w:eastAsia="Arial" w:hAnsi="Arial"/>
          <w:sz w:val="18"/>
          <w:szCs w:val="18"/>
          <w:color w:val="auto"/>
        </w:rPr>
        <w:t>Our planned marketing expenditures may not result in increased total sales or generate sufficient levels of product and brand awareness, which could have a material adverse effect on our financial condition and profitability.</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0" w:name="page11"/>
    <w:bookmarkEnd w:id="10"/>
    <w:p>
      <w:pPr>
        <w:ind w:right="62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80"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Information technology is a critically important part of our business operations. We depend on information systems to process transactions,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spacing w:after="0" w:line="158"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Our business involves the storage and transmission of consumers’ personal information, such as personal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66"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79"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including children, from whom we collect information, and our websites are designed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EU’s General Data Protection Regulation (“GDPR”), which became effective in May 2018, greatly increases the jurisdictional reach of EU law and adds a broad array of requirements related to personal data, including individual notice and opt-out preferences and the public disclosure of significant data breaches. Additionally, violations of GDPR can result in fines calculated as a percentage of a company’s annual revenue. Other governments have enacted or are enacting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17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66" w:lineRule="exact"/>
        <w:rPr>
          <w:sz w:val="20"/>
          <w:szCs w:val="20"/>
          <w:color w:val="auto"/>
        </w:rPr>
      </w:pPr>
    </w:p>
    <w:p>
      <w:pPr>
        <w:ind w:right="340" w:firstLine="486"/>
        <w:spacing w:after="0" w:line="286" w:lineRule="auto"/>
        <w:rPr>
          <w:sz w:val="20"/>
          <w:szCs w:val="20"/>
          <w:color w:val="auto"/>
        </w:rPr>
      </w:pPr>
      <w:r>
        <w:rPr>
          <w:rFonts w:ascii="Arial" w:cs="Arial" w:eastAsia="Arial" w:hAnsi="Arial"/>
          <w:sz w:val="17"/>
          <w:szCs w:val="17"/>
          <w:color w:val="auto"/>
        </w:rPr>
        <w:t>The success of our business depends upon the quality of associates throughout our organization and our ability to attract and retain qualified key employees.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operations are subject to numerous technology related risks, including risks related to the failure of the computer systems that operate our point of sale and inventory systems, websites and mobile sites and their related support systems. We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87" w:lineRule="exact"/>
        <w:rPr>
          <w:sz w:val="20"/>
          <w:szCs w:val="20"/>
          <w:color w:val="auto"/>
        </w:rPr>
      </w:pPr>
    </w:p>
    <w:p>
      <w:pPr>
        <w:ind w:right="20" w:firstLine="486"/>
        <w:spacing w:after="0" w:line="312" w:lineRule="auto"/>
        <w:rPr>
          <w:sz w:val="20"/>
          <w:szCs w:val="20"/>
          <w:color w:val="auto"/>
        </w:rPr>
      </w:pPr>
      <w:r>
        <w:rPr>
          <w:rFonts w:ascii="Arial" w:cs="Arial" w:eastAsia="Arial" w:hAnsi="Arial"/>
          <w:sz w:val="16"/>
          <w:szCs w:val="16"/>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 it could have a material adverse effect on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ind w:right="200"/>
        <w:spacing w:after="0" w:line="266" w:lineRule="auto"/>
        <w:rPr>
          <w:sz w:val="20"/>
          <w:szCs w:val="20"/>
          <w:color w:val="auto"/>
        </w:rPr>
      </w:pPr>
      <w:r>
        <w:rPr>
          <w:rFonts w:ascii="Arial" w:cs="Arial" w:eastAsia="Arial" w:hAnsi="Arial"/>
          <w:sz w:val="18"/>
          <w:szCs w:val="18"/>
          <w:b w:val="1"/>
          <w:bCs w:val="1"/>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73" w:lineRule="exact"/>
        <w:rPr>
          <w:sz w:val="20"/>
          <w:szCs w:val="20"/>
          <w:color w:val="auto"/>
        </w:rPr>
      </w:pPr>
    </w:p>
    <w:p>
      <w:pPr>
        <w:ind w:right="20" w:firstLine="486"/>
        <w:spacing w:after="0" w:line="274" w:lineRule="auto"/>
        <w:rPr>
          <w:sz w:val="20"/>
          <w:szCs w:val="20"/>
          <w:color w:val="auto"/>
        </w:rPr>
      </w:pPr>
      <w:r>
        <w:rPr>
          <w:rFonts w:ascii="Arial" w:cs="Arial" w:eastAsia="Arial" w:hAnsi="Arial"/>
          <w:sz w:val="19"/>
          <w:szCs w:val="19"/>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For example, our strategy includes a focus on tourist locations due to changing consumer preferences and declining traditional mall traffic and we cannot be certain that this strategy will be successful. Our ability to manage our portfolio of stores in future years, in desirable locations as well as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 For example, in January 2018, we closed a flagship store in Anaheim, California. This store had much larger annual sales than our typical mall-based stores.</w:t>
      </w:r>
    </w:p>
    <w:p>
      <w:pPr>
        <w:spacing w:after="0" w:line="159" w:lineRule="exact"/>
        <w:rPr>
          <w:sz w:val="20"/>
          <w:szCs w:val="20"/>
          <w:color w:val="auto"/>
        </w:rPr>
      </w:pPr>
    </w:p>
    <w:p>
      <w:pPr>
        <w:ind w:right="180" w:firstLine="486"/>
        <w:spacing w:after="0"/>
        <w:rPr>
          <w:sz w:val="20"/>
          <w:szCs w:val="20"/>
          <w:color w:val="auto"/>
        </w:rPr>
      </w:pPr>
      <w:r>
        <w:rPr>
          <w:rFonts w:ascii="Arial" w:cs="Arial" w:eastAsia="Arial" w:hAnsi="Arial"/>
          <w:sz w:val="22"/>
          <w:szCs w:val="22"/>
          <w:color w:val="auto"/>
        </w:rPr>
        <w:t>Additionally, in fiscal 2018 we operated nine stores located within other retailers’ stores and as such are subject to the operational risks of these retailers, including but not limited to, ineffective store operations, labor disputes and negative publicity; all of which could have a negative impact on our sales and operating performance.</w:t>
      </w:r>
    </w:p>
    <w:p>
      <w:pPr>
        <w:spacing w:after="0" w:line="180"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b w:val="1"/>
          <w:bCs w:val="1"/>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83" w:lineRule="exact"/>
        <w:rPr>
          <w:sz w:val="20"/>
          <w:szCs w:val="20"/>
          <w:color w:val="auto"/>
        </w:rPr>
      </w:pPr>
    </w:p>
    <w:p>
      <w:pPr>
        <w:ind w:firstLine="486"/>
        <w:spacing w:after="0" w:line="271" w:lineRule="auto"/>
        <w:rPr>
          <w:sz w:val="20"/>
          <w:szCs w:val="20"/>
          <w:color w:val="auto"/>
        </w:rPr>
      </w:pPr>
      <w:r>
        <w:rPr>
          <w:rFonts w:ascii="Arial" w:cs="Arial" w:eastAsia="Arial" w:hAnsi="Arial"/>
          <w:sz w:val="19"/>
          <w:szCs w:val="19"/>
          <w:color w:val="auto"/>
        </w:rPr>
        <w:t>We purchase the majority of our merchandise directly from manufacturers in foreign countries, primarily in China and Vietnam. Any event causing a disruption of imports, including the imposition of import restrictions, taxes or fees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that would impact our revenue and profit in various markets. Additionally, because most of our foreign subsidiaries buy their inventory in U.S. dollars, we are also exposed to risk when their functional currencies fluctuate relative to the U.S. dollar. For example, we believe that the significant movement in the British pound sterling relative to the U.S. dollar, as a result of the U.K.’s referendum vote to leave the EU in 2016 had a negative impact on our revenues and pre-tax income with most of the impact resulting from higher cost of merchandise sold - retail. As of the end of fiscal 2018, the nature of the U.K.’s future trading relationship with the EU is still to be determined.</w:t>
      </w:r>
    </w:p>
    <w:p>
      <w:pPr>
        <w:spacing w:after="0" w:line="152" w:lineRule="exact"/>
        <w:rPr>
          <w:sz w:val="20"/>
          <w:szCs w:val="20"/>
          <w:color w:val="auto"/>
        </w:rPr>
      </w:pPr>
    </w:p>
    <w:p>
      <w:pPr>
        <w:jc w:val="both"/>
        <w:ind w:right="80"/>
        <w:spacing w:after="0" w:line="243" w:lineRule="auto"/>
        <w:rPr>
          <w:sz w:val="20"/>
          <w:szCs w:val="20"/>
          <w:color w:val="auto"/>
        </w:rPr>
      </w:pPr>
      <w:r>
        <w:rPr>
          <w:rFonts w:ascii="Arial" w:cs="Arial" w:eastAsia="Arial" w:hAnsi="Arial"/>
          <w:sz w:val="22"/>
          <w:szCs w:val="22"/>
          <w:b w:val="1"/>
          <w:bCs w:val="1"/>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spacing w:after="0" w:line="19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do not own or operate any factories that produce our skins, clothing, shoes or accessories. For the past two years, we purchased approximately 80% of our merchandise from four vendors. These vendors in turn contract for the production of merchandise with multiple manufacturing facilities, located primarily in China and in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74"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b w:val="1"/>
          <w:bCs w:val="1"/>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8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operation of our stores is dependent on our ability to distribute merchandise to locations throughout the U.S., Canada, Europe and China in a timely manner. We own a 350,000-square-foot distribution center in Groveport, Ohio and rely on this warehouse to receive, store and distribute merchandise for the majority of our North America stores. To operate this location, our ability to meet our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Europe and in China. For example, as noted above, in Europe, we contract with a third-party distribution center in Selby, England under an agreement that ends in December 2019, and Brexit could adversely affect this distribution arrangement. Any significant interruption in the operation of the distribution centers due to natural disasters or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0" w:gutter="0" w:footer="0" w:header="0"/>
        </w:sectPr>
      </w:pPr>
    </w:p>
    <w:bookmarkStart w:id="12" w:name="page13"/>
    <w:bookmarkEnd w:id="12"/>
    <w:p>
      <w:pPr>
        <w:ind w:right="400"/>
        <w:spacing w:after="0" w:line="313"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4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February 2, 2019, there were 97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operated markets, which impact the performance of these stores. Additionally, our franchisees may experience financing, merchandising and distribution expenses and challenges that are different from those we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w:t>
      </w:r>
    </w:p>
    <w:p>
      <w:pPr>
        <w:spacing w:after="0" w:line="189"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The success of our franchising strategy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When franchisees perform below expectations we may transfer those agreements to other parties, take over the operations directly or discontinue the franchise agreement. For example, in 2016, we consented to the sale of the franchise in South Africa to new owners. Furthermore, the interests of franchisees might sometimes conflict with our interests. For example, whereas franchisees are concerned with their individual business objectives, we are responsible for ensuring the success of the Build-A-Bear brand and all of our stores.</w:t>
      </w:r>
    </w:p>
    <w:p>
      <w:pPr>
        <w:spacing w:after="0" w:line="179"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The laws of the various foreign countries in which our franchisees operate as well as compliance with U.S. laws affecting operations outside the U.S., such as the Foreign Corrupt Practices Act govern our relationships with our franchisees. These laws, and any new laws that may be enacted, may detrimentally affect the rights and obligations between us and our franchisees and could expose us to additional liability.</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80" w:lineRule="exact"/>
        <w:rPr>
          <w:sz w:val="20"/>
          <w:szCs w:val="20"/>
          <w:color w:val="auto"/>
        </w:rPr>
      </w:pPr>
    </w:p>
    <w:p>
      <w:pPr>
        <w:jc w:val="both"/>
        <w:ind w:right="100" w:firstLine="486"/>
        <w:spacing w:after="0" w:line="302"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54"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8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2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Although we require our manufacturers to meet governmental safety standards, including food safety regulations for certain locations, and our product specifications as well as submit our products for testing, we cannot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7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our brand may be negatively impacted.</w:t>
      </w:r>
    </w:p>
    <w:p>
      <w:pPr>
        <w:spacing w:after="0" w:line="16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consumers believe are unethical.</w:t>
      </w:r>
    </w:p>
    <w:p>
      <w:pPr>
        <w:spacing w:after="0" w:line="375" w:lineRule="exact"/>
        <w:rPr>
          <w:sz w:val="20"/>
          <w:szCs w:val="20"/>
          <w:color w:val="auto"/>
        </w:rPr>
      </w:pPr>
    </w:p>
    <w:p>
      <w:pPr>
        <w:ind w:right="60" w:firstLine="486"/>
        <w:spacing w:after="0" w:line="236" w:lineRule="auto"/>
        <w:rPr>
          <w:sz w:val="20"/>
          <w:szCs w:val="20"/>
          <w:color w:val="auto"/>
        </w:rPr>
      </w:pPr>
      <w:r>
        <w:rPr>
          <w:rFonts w:ascii="Arial" w:cs="Arial" w:eastAsia="Arial" w:hAnsi="Arial"/>
          <w:sz w:val="22"/>
          <w:szCs w:val="22"/>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437"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at any time by a significant variety of competitive threats.</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assure you that they will not compete directly with us in the future.</w:t>
      </w:r>
    </w:p>
    <w:p>
      <w:pPr>
        <w:spacing w:after="0" w:line="17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4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be unsuccessful in acquiring businesses or engaging in other strategic transactions, which may negatively affect our financial condition and profitability.</w:t>
      </w:r>
    </w:p>
    <w:p>
      <w:pPr>
        <w:spacing w:after="0" w:line="166"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may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0" w:lineRule="exact"/>
        <w:rPr>
          <w:sz w:val="20"/>
          <w:szCs w:val="20"/>
          <w:color w:val="auto"/>
        </w:rPr>
      </w:pPr>
    </w:p>
    <w:p>
      <w:pPr>
        <w:spacing w:after="0" w:line="232" w:lineRule="exact"/>
        <w:rPr>
          <w:sz w:val="20"/>
          <w:szCs w:val="20"/>
          <w:color w:val="auto"/>
        </w:rPr>
      </w:pPr>
    </w:p>
    <w:p>
      <w:pPr>
        <w:jc w:val="both"/>
        <w:ind w:right="80"/>
        <w:spacing w:after="0" w:line="335" w:lineRule="auto"/>
        <w:rPr>
          <w:sz w:val="20"/>
          <w:szCs w:val="20"/>
          <w:color w:val="auto"/>
        </w:rPr>
      </w:pPr>
      <w:r>
        <w:rPr>
          <w:rFonts w:ascii="Arial" w:cs="Arial" w:eastAsia="Arial" w:hAnsi="Arial"/>
          <w:sz w:val="19"/>
          <w:szCs w:val="19"/>
          <w:b w:val="1"/>
          <w:bCs w:val="1"/>
          <w:color w:val="auto"/>
        </w:rPr>
        <w:t>Fluctuations in our operating results could reduce our cash flow and we may be unable to repurchase shares at all or at the times or in the amounts we desire or the results of our share repurchase program may not be as beneficial as we would like.</w:t>
      </w:r>
    </w:p>
    <w:p>
      <w:pPr>
        <w:spacing w:after="0" w:line="98" w:lineRule="exact"/>
        <w:rPr>
          <w:sz w:val="20"/>
          <w:szCs w:val="20"/>
          <w:color w:val="auto"/>
        </w:rPr>
      </w:pPr>
    </w:p>
    <w:p>
      <w:pPr>
        <w:ind w:right="120" w:firstLine="486"/>
        <w:spacing w:after="0" w:line="235" w:lineRule="auto"/>
        <w:rPr>
          <w:sz w:val="20"/>
          <w:szCs w:val="20"/>
          <w:color w:val="auto"/>
        </w:rPr>
      </w:pPr>
      <w:r>
        <w:rPr>
          <w:rFonts w:ascii="Arial" w:cs="Arial" w:eastAsia="Arial" w:hAnsi="Arial"/>
          <w:sz w:val="22"/>
          <w:szCs w:val="22"/>
          <w:color w:val="auto"/>
        </w:rPr>
        <w:t>In August 2017, our Board of Directors authorized a $20 million share repurchase program. The program does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expected.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2" w:lineRule="exact"/>
        <w:rPr>
          <w:sz w:val="20"/>
          <w:szCs w:val="20"/>
          <w:color w:val="auto"/>
        </w:rPr>
      </w:pPr>
    </w:p>
    <w:p>
      <w:pPr>
        <w:ind w:left="20" w:right="80" w:firstLine="486"/>
        <w:spacing w:after="0" w:line="251" w:lineRule="auto"/>
        <w:rPr>
          <w:sz w:val="20"/>
          <w:szCs w:val="20"/>
          <w:color w:val="auto"/>
        </w:rPr>
      </w:pPr>
      <w:r>
        <w:rPr>
          <w:rFonts w:ascii="Arial" w:cs="Arial" w:eastAsia="Arial" w:hAnsi="Arial"/>
          <w:sz w:val="22"/>
          <w:szCs w:val="22"/>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80" w:lineRule="exact"/>
        <w:rPr>
          <w:sz w:val="20"/>
          <w:szCs w:val="20"/>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total revenues;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shopping patterns;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25"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28" w:lineRule="exact"/>
        <w:rPr>
          <w:rFonts w:ascii="Arial" w:cs="Arial" w:eastAsia="Arial" w:hAnsi="Arial"/>
          <w:sz w:val="18"/>
          <w:szCs w:val="18"/>
          <w:color w:val="auto"/>
        </w:rPr>
      </w:pPr>
    </w:p>
    <w:p>
      <w:pPr>
        <w:ind w:left="840" w:right="100" w:hanging="326"/>
        <w:spacing w:after="0" w:line="186" w:lineRule="auto"/>
        <w:tabs>
          <w:tab w:leader="none" w:pos="84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the impact of a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 in our fiscal year, which occurs approximately every six years, (e.g., one extra week in the one fiscal month transition period, December 31, 2017 through February 3, 2018, for the fiscal year-end change and fiscal 2023).</w:t>
      </w:r>
    </w:p>
    <w:p>
      <w:pPr>
        <w:spacing w:after="0" w:line="224" w:lineRule="exact"/>
        <w:rPr>
          <w:sz w:val="20"/>
          <w:szCs w:val="20"/>
          <w:color w:val="auto"/>
        </w:rPr>
      </w:pPr>
    </w:p>
    <w:p>
      <w:pPr>
        <w:ind w:left="20" w:right="240" w:firstLine="486"/>
        <w:spacing w:after="0" w:line="251" w:lineRule="auto"/>
        <w:rPr>
          <w:sz w:val="20"/>
          <w:szCs w:val="20"/>
          <w:color w:val="auto"/>
        </w:rPr>
      </w:pPr>
      <w:r>
        <w:rPr>
          <w:rFonts w:ascii="Arial" w:cs="Arial" w:eastAsia="Arial" w:hAnsi="Arial"/>
          <w:sz w:val="22"/>
          <w:szCs w:val="22"/>
          <w:color w:val="auto"/>
        </w:rPr>
        <w:t>If our future quarterly results fluctuate significantly or fail to meet the expectations of the investment community, then the market price of our common stock could decline substantially.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is subject to volatility, which could in turn attract the interest of activist shareholders.</w:t>
      </w:r>
    </w:p>
    <w:p>
      <w:pPr>
        <w:spacing w:after="0" w:line="229"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During fiscal 2018, the price of our common stock fluctuated between $3.88 and $10.10 per share.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or other strategic initiatives) by us or others in the retail industry.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such volatility could attract the interest of activist shareholders.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580" w:right="379" w:bottom="1440" w:gutter="0" w:footer="0" w:header="0"/>
        </w:sectPr>
      </w:pPr>
    </w:p>
    <w:bookmarkStart w:id="15" w:name="page16"/>
    <w:bookmarkEnd w:id="15"/>
    <w:p>
      <w:pPr>
        <w:ind w:right="180"/>
        <w:spacing w:after="0" w:line="313"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25"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170" w:lineRule="exact"/>
        <w:rPr>
          <w:rFonts w:ascii="Arial" w:cs="Arial" w:eastAsia="Arial" w:hAnsi="Arial"/>
          <w:sz w:val="18"/>
          <w:szCs w:val="18"/>
          <w:color w:val="auto"/>
        </w:rPr>
      </w:pPr>
    </w:p>
    <w:p>
      <w:pPr>
        <w:ind w:left="440" w:right="320" w:hanging="324"/>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146"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These provisions may:</w:t>
      </w:r>
    </w:p>
    <w:p>
      <w:pPr>
        <w:spacing w:after="0" w:line="225" w:lineRule="exact"/>
        <w:rPr>
          <w:rFonts w:ascii="Arial" w:cs="Arial" w:eastAsia="Arial" w:hAnsi="Arial"/>
          <w:sz w:val="17"/>
          <w:szCs w:val="17"/>
          <w:color w:val="auto"/>
        </w:rPr>
      </w:pPr>
    </w:p>
    <w:p>
      <w:pPr>
        <w:ind w:left="44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6" w:name="page17"/>
    <w:bookmarkEnd w:id="16"/>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lease all of our store locations. As of February 2, 2019, we operated 373 retail stores located primarily in major malls throughout the U.S., Canada, Puerto Rico, the U.K., Ireland, Denmark and China in our DTC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site. We also lease approximately</w:t>
      </w:r>
    </w:p>
    <w:p>
      <w:pPr>
        <w:spacing w:after="0" w:line="290" w:lineRule="auto"/>
        <w:rPr>
          <w:sz w:val="20"/>
          <w:szCs w:val="20"/>
          <w:color w:val="auto"/>
        </w:rPr>
      </w:pPr>
      <w:r>
        <w:rPr>
          <w:rFonts w:ascii="Arial" w:cs="Arial" w:eastAsia="Arial" w:hAnsi="Arial"/>
          <w:sz w:val="16"/>
          <w:szCs w:val="16"/>
          <w:color w:val="auto"/>
        </w:rPr>
        <w:t>59,000 square feet for our corporate headquarters in St. Louis, Missouri which houses our corporate staff, our call center and our on-site training facilities. The lease was amended, effective January 1, 2019, with a one-year term. In the U.K., we lease approximately 6,500 square feet for our regional headquarters in Slough, England under a lease that commenced in March 2016 with a term of 10 years.We also contract with a third-party warehouse in southern California to service our West Coast stores. The contract has a one-year term and is renewable. In Europe, we contract with a third-party distribution center in Selby, England under an agreement that ends in December 2019. This agreement contains clauses that allow for termination if certain performance criteria are not met. In Asia, we contract with a third-party distribution center in Shanghai, China under an agreement that ends in March 2020.</w:t>
      </w:r>
    </w:p>
    <w:p>
      <w:pPr>
        <w:spacing w:after="0" w:line="16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26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12, 2019, the number of holders of record of the Company’s common stock totaled approximately 1,872.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(or</w:t>
            </w:r>
          </w:p>
        </w:tc>
      </w:t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4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Value) of Shares (or</w:t>
            </w:r>
          </w:p>
        </w:tc>
      </w:tr>
      <w:tr>
        <w:trPr>
          <w:trHeight w:val="216"/>
        </w:trPr>
        <w:tc>
          <w:tcPr>
            <w:tcW w:w="47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Units) that May Yet</w:t>
            </w:r>
          </w:p>
        </w:tc>
      </w:tr>
      <w:tr>
        <w:trPr>
          <w:trHeight w:val="216"/>
        </w:trPr>
        <w:tc>
          <w:tcPr>
            <w:tcW w:w="47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40" w:type="dxa"/>
            <w:vAlign w:val="bottom"/>
          </w:tcPr>
          <w:p>
            <w:pPr>
              <w:spacing w:after="0"/>
              <w:rPr>
                <w:sz w:val="18"/>
                <w:szCs w:val="18"/>
                <w:color w:val="auto"/>
              </w:rPr>
            </w:pPr>
          </w:p>
        </w:tc>
        <w:tc>
          <w:tcPr>
            <w:tcW w:w="86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(b)</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of Publicly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Be Purchased Under</w:t>
            </w:r>
          </w:p>
        </w:tc>
      </w:tr>
      <w:tr>
        <w:trPr>
          <w:trHeight w:val="216"/>
        </w:trPr>
        <w:tc>
          <w:tcPr>
            <w:tcW w:w="47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24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the Plans or</w:t>
            </w:r>
          </w:p>
        </w:tc>
      </w:tr>
      <w:tr>
        <w:trPr>
          <w:trHeight w:val="216"/>
        </w:trPr>
        <w:tc>
          <w:tcPr>
            <w:tcW w:w="47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24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Paid Per Share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Programs</w:t>
            </w: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4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(or Unit) (2)</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20"/>
                <w:szCs w:val="20"/>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Nov. 4, 2018 – Dec. 1,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1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8,795,529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Dec. 2, 2018 – Jan. 5, 2019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8,795,529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Jan. 6, 2019 – Feb. 2,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8,795,529</w:t>
            </w:r>
          </w:p>
        </w:tc>
      </w:tr>
      <w:tr>
        <w:trPr>
          <w:trHeight w:val="20"/>
        </w:trPr>
        <w:tc>
          <w:tcPr>
            <w:tcW w:w="47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4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8,795,529</w:t>
            </w:r>
          </w:p>
        </w:tc>
      </w:tr>
      <w:tr>
        <w:trPr>
          <w:trHeight w:val="20"/>
        </w:trPr>
        <w:tc>
          <w:tcPr>
            <w:tcW w:w="4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4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Price Paid Per Share includes commissions.</w:t>
      </w:r>
    </w:p>
    <w:p>
      <w:pPr>
        <w:spacing w:after="0" w:line="9" w:lineRule="exact"/>
        <w:rPr>
          <w:rFonts w:ascii="Arial" w:cs="Arial" w:eastAsia="Arial" w:hAnsi="Arial"/>
          <w:sz w:val="18"/>
          <w:szCs w:val="18"/>
          <w:color w:val="auto"/>
        </w:rPr>
      </w:pPr>
    </w:p>
    <w:p>
      <w:pPr>
        <w:ind w:left="440" w:right="80" w:hanging="432"/>
        <w:spacing w:after="0" w:line="25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-1113155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ind w:left="20"/>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20" w:right="140"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 w:right="160" w:firstLine="486"/>
        <w:spacing w:after="0" w:line="302" w:lineRule="auto"/>
        <w:rPr>
          <w:sz w:val="20"/>
          <w:szCs w:val="20"/>
          <w:color w:val="auto"/>
        </w:rPr>
      </w:pPr>
      <w:r>
        <w:rPr>
          <w:rFonts w:ascii="Arial" w:cs="Arial" w:eastAsia="Arial" w:hAnsi="Arial"/>
          <w:sz w:val="16"/>
          <w:szCs w:val="16"/>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February 2, 2019, we operated 373 stores globally and had 97 franchised stores operating internationally under the Build-A-Bear Workshop brand. In addition to our stores, we sell products on our company-owned e-commerce sites and franchisee sites and through third parties under wholesale agreements.</w:t>
      </w:r>
    </w:p>
    <w:p>
      <w:pPr>
        <w:spacing w:after="0" w:line="154" w:lineRule="exact"/>
        <w:rPr>
          <w:sz w:val="20"/>
          <w:szCs w:val="20"/>
          <w:color w:val="auto"/>
        </w:rPr>
      </w:pPr>
    </w:p>
    <w:p>
      <w:pPr>
        <w:ind w:left="20" w:right="8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60" w:right="120" w:hanging="324"/>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to Consumer (“DTC”) – Corporately-managed retail stores located in the U.S., Canada, Puerto Rico, the U.K., Ireland, Denmark and China and two e-commerce sites;</w:t>
      </w:r>
    </w:p>
    <w:p>
      <w:pPr>
        <w:spacing w:after="0" w:line="1" w:lineRule="exact"/>
        <w:rPr>
          <w:rFonts w:ascii="Arial" w:cs="Arial" w:eastAsia="Arial" w:hAnsi="Arial"/>
          <w:sz w:val="18"/>
          <w:szCs w:val="18"/>
          <w:color w:val="auto"/>
        </w:rPr>
      </w:pPr>
    </w:p>
    <w:p>
      <w:pPr>
        <w:ind w:left="460" w:right="520" w:hanging="324"/>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460" w:hanging="32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franchising – Royalties as well as product and fixture sales from other international operations under franchise agreements.</w:t>
      </w:r>
    </w:p>
    <w:p>
      <w:pPr>
        <w:spacing w:after="0" w:line="211" w:lineRule="exact"/>
        <w:rPr>
          <w:sz w:val="20"/>
          <w:szCs w:val="20"/>
          <w:color w:val="auto"/>
        </w:rPr>
      </w:pPr>
    </w:p>
    <w:p>
      <w:pPr>
        <w:ind w:left="20" w:firstLine="441"/>
        <w:spacing w:after="0" w:line="302" w:lineRule="auto"/>
        <w:rPr>
          <w:sz w:val="20"/>
          <w:szCs w:val="20"/>
          <w:color w:val="auto"/>
        </w:rPr>
      </w:pPr>
      <w:r>
        <w:rPr>
          <w:rFonts w:ascii="Arial" w:cs="Arial" w:eastAsia="Arial" w:hAnsi="Arial"/>
          <w:sz w:val="16"/>
          <w:szCs w:val="16"/>
          <w:color w:val="auto"/>
        </w:rPr>
        <w:t>Selected financial data attributable to each segment for fiscal 2018 and 2017 and the five week transition period ending February 3, 2018 are set forth in Note 15 — Segment Information to our consolidated financial statements included elsewhere in this Annual Report on Form 10-K. Certain amounts in prior fiscal periods have been reclassified to conform to current year presentation with no impact to the consolidated statement of operations (e.g. store preopening is included within selling, general and administrative and store impairment is disclosed separately from cost of merchandise sold —retail).</w:t>
      </w:r>
    </w:p>
    <w:p>
      <w:pPr>
        <w:spacing w:after="0" w:line="154" w:lineRule="exact"/>
        <w:rPr>
          <w:sz w:val="20"/>
          <w:szCs w:val="20"/>
          <w:color w:val="auto"/>
        </w:rPr>
      </w:pPr>
    </w:p>
    <w:p>
      <w:pPr>
        <w:ind w:left="20" w:right="200" w:firstLine="441"/>
        <w:spacing w:after="0" w:line="342" w:lineRule="auto"/>
        <w:rPr>
          <w:sz w:val="20"/>
          <w:szCs w:val="20"/>
          <w:color w:val="auto"/>
        </w:rPr>
      </w:pPr>
      <w:r>
        <w:rPr>
          <w:rFonts w:ascii="Arial" w:cs="Arial" w:eastAsia="Arial" w:hAnsi="Arial"/>
          <w:sz w:val="16"/>
          <w:szCs w:val="16"/>
          <w:color w:val="auto"/>
        </w:rPr>
        <w:t>For a discussion of the key trends and uncertainties that have affected our revenues, income and liquidity, See the “Revenues,” “Costs and Expenses” and “Stores” subsections of this Overview, along with the “Risk Factors” and “Results of Operations” below and in Item 1.A. “Risk Factors” above.</w:t>
      </w:r>
    </w:p>
    <w:p>
      <w:pPr>
        <w:spacing w:after="0" w:line="12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Our consolidated net income (loss) was $(17.9 million) in fiscal 2018, compared to $7.9 million in fiscal 2017. However we use store contribution to measure our store operation. We believe that we have an appealing retail store concept that has broad demographic appeal which, for North American stores open for the entire year, averaged net retail sales per store of $0.9 million in both fiscal 2018 and 2017. Consolidated store contribution as a percentage of net retail sales was 10.4%, and 15.7% for fiscal years 2018 and 2017, respectively. Consolidated store contribution consists of store location net retail sales less cost of product, marketing and store related expenses. Non-store general and administrative expenses are excluded as are our e-commerce sites, locations not open for the full fiscal year and adjustments to deferred revenue related to gift card breakage and our loyalty program. See “Non-GAAP Financial Measures” for a reconciliation of store contribution to net income. The decrease in consolidated store contribution in fiscal 2018 was primarily due to the revenue impact of declines throughout the year in traditional mall traffic and the economic uncertainty in the U.K. due to Brexit. The combined negative effect on store profitability resulted in the deleverage of fixed occupancy costs. In addition, a number of significant factors unique to fiscal 2018 negatively impacted revenues including the closure of our most productive store in January 2018, liquidation of Toys“R”Us store inventory across North America in late spring, the unusually low number of family-centric films released in 2018, that relate directly to our sale of licensed property. Revenues also decreased as a result of the adoption of the new revenue recognition standard. Further, consumer privacy laws in the U.K. and elsewhere were introduced that limited our ability to communicate with loyalty program members and store shoppers.</w:t>
      </w:r>
    </w:p>
    <w:p>
      <w:pPr>
        <w:spacing w:after="0" w:line="175" w:lineRule="exact"/>
        <w:rPr>
          <w:sz w:val="20"/>
          <w:szCs w:val="20"/>
          <w:color w:val="auto"/>
        </w:rPr>
      </w:pPr>
    </w:p>
    <w:p>
      <w:pPr>
        <w:ind w:left="20" w:right="20" w:firstLine="441"/>
        <w:spacing w:after="0" w:line="271" w:lineRule="auto"/>
        <w:rPr>
          <w:sz w:val="20"/>
          <w:szCs w:val="20"/>
          <w:color w:val="auto"/>
        </w:rPr>
      </w:pPr>
      <w:r>
        <w:rPr>
          <w:rFonts w:ascii="Arial" w:cs="Arial" w:eastAsia="Arial" w:hAnsi="Arial"/>
          <w:sz w:val="17"/>
          <w:szCs w:val="17"/>
          <w:color w:val="auto"/>
        </w:rPr>
        <w:t>We expect 2019 to be another transitional year as key aspects of our longer-term strategies continue to be implemented. We are committed to the ongoing plan to address our aged store portfolio by diversifying locations and formats to focus on places where families shop, such as our new pilot program of a half dozen full service stand-alone stores inside select Walmart locations, and go for entertainment, including tourist locations. As part of our initiative to diversify retail formats, we continue to opportunistically place a variety of new, lower capital, flexible formats, like concourse shops, in traditional malls or in other high traffic shopping destinations to help navigate the market volatility. In addition, we have significant flexibility in our mall lease portfolio with the negotiation of favorable rent deals and short-term extensions which have resulted in now having over 60% of our leases coming up for renewal in the next three years. For example, we currently expect to close up to 30 stores over the next two years with about half of those outside of North America as we position our portfolio in line with retail shopping trends.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796" w:right="259" w:bottom="1440" w:gutter="0" w:footer="0" w:header="0"/>
        </w:sectPr>
      </w:pPr>
    </w:p>
    <w:bookmarkStart w:id="19" w:name="page20"/>
    <w:bookmarkEnd w:id="19"/>
    <w:p>
      <w:pPr>
        <w:ind w:left="440"/>
        <w:spacing w:after="0"/>
        <w:rPr>
          <w:sz w:val="20"/>
          <w:szCs w:val="20"/>
          <w:color w:val="auto"/>
        </w:rPr>
      </w:pPr>
      <w:r>
        <w:rPr>
          <w:rFonts w:ascii="Arial" w:cs="Arial" w:eastAsia="Arial" w:hAnsi="Arial"/>
          <w:sz w:val="17"/>
          <w:szCs w:val="17"/>
          <w:color w:val="auto"/>
        </w:rPr>
        <w:t>We ended fiscal 2018 with no borrowings under our bank loan agreement and with $17.9 million in cash and cash equivalents after investing</w:t>
      </w:r>
    </w:p>
    <w:p>
      <w:pPr>
        <w:spacing w:after="0" w:line="3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$11.3 million in capital projects throughout the year. Since December 30, 2017, the Company repurchased more than 766,000 shares of its common stock for $6.5 million, including over 528,000 shares during the five-week transition period associated with the fiscal year-end change and nearly 238,000 shares during fiscal year 2018. As of February 2, 2019, the Company had $8.8 million remaining on the share repurchase authorization from August 2017.</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Net retail sales, commercial revenue and international franchising: </w:t>
      </w:r>
      <w:r>
        <w:rPr>
          <w:rFonts w:ascii="Arial" w:cs="Arial" w:eastAsia="Arial" w:hAnsi="Arial"/>
          <w:sz w:val="18"/>
          <w:szCs w:val="18"/>
          <w:color w:val="auto"/>
        </w:rPr>
        <w:t>See Note 3 — Revenue to the consolidated financial statements for additional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We use net retail sales per square foot as a performance measure for our business. The following table details net retail sales per square foot for stores open throughout the fiscal year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300" w:type="dxa"/>
            <w:vAlign w:val="bottom"/>
            <w:gridSpan w:val="7"/>
          </w:tcPr>
          <w:p>
            <w:pPr>
              <w:ind w:left="92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February 2,</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December 30,</w:t>
            </w: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color w:val="auto"/>
              </w:rPr>
              <w:t>Net retail sales per square foot</w:t>
            </w:r>
          </w:p>
        </w:tc>
        <w:tc>
          <w:tcPr>
            <w:tcW w:w="296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50"/>
        </w:trPr>
        <w:tc>
          <w:tcPr>
            <w:tcW w:w="51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North America </w:t>
            </w:r>
            <w:r>
              <w:rPr>
                <w:rFonts w:ascii="Arial" w:cs="Arial" w:eastAsia="Arial" w:hAnsi="Arial"/>
                <w:sz w:val="28"/>
                <w:szCs w:val="28"/>
                <w:color w:val="auto"/>
                <w:vertAlign w:val="superscript"/>
              </w:rPr>
              <w:t>(1)</w:t>
            </w:r>
          </w:p>
        </w:tc>
        <w:tc>
          <w:tcPr>
            <w:tcW w:w="418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346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390"/>
        </w:trPr>
        <w:tc>
          <w:tcPr>
            <w:tcW w:w="5160" w:type="dxa"/>
            <w:vAlign w:val="bottom"/>
          </w:tcPr>
          <w:p>
            <w:pPr>
              <w:spacing w:after="0"/>
              <w:rPr>
                <w:sz w:val="20"/>
                <w:szCs w:val="20"/>
                <w:color w:val="auto"/>
              </w:rPr>
            </w:pPr>
            <w:r>
              <w:rPr>
                <w:rFonts w:ascii="Arial" w:cs="Arial" w:eastAsia="Arial" w:hAnsi="Arial"/>
                <w:sz w:val="18"/>
                <w:szCs w:val="18"/>
                <w:color w:val="auto"/>
              </w:rPr>
              <w:t xml:space="preserve">United Kingdom </w:t>
            </w:r>
            <w:r>
              <w:rPr>
                <w:rFonts w:ascii="Arial" w:cs="Arial" w:eastAsia="Arial" w:hAnsi="Arial"/>
                <w:sz w:val="30"/>
                <w:szCs w:val="30"/>
                <w:color w:val="auto"/>
                <w:vertAlign w:val="superscript"/>
              </w:rPr>
              <w:t>(2)</w:t>
            </w:r>
          </w:p>
        </w:tc>
        <w:tc>
          <w:tcPr>
            <w:tcW w:w="418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424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bl>
    <w:p>
      <w:pPr>
        <w:spacing w:after="0" w:line="82" w:lineRule="exact"/>
        <w:rPr>
          <w:sz w:val="20"/>
          <w:szCs w:val="20"/>
          <w:color w:val="auto"/>
        </w:rPr>
      </w:pPr>
    </w:p>
    <w:p>
      <w:pPr>
        <w:ind w:left="440" w:hanging="432"/>
        <w:spacing w:after="0" w:line="25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retail sales per square foot in North America represents net retail sales from stores open throughout the entire period in North America, excluding e-commerce sales, divided by the total leased square footage of such stores.</w:t>
      </w:r>
    </w:p>
    <w:p>
      <w:pPr>
        <w:spacing w:after="0" w:line="1" w:lineRule="exact"/>
        <w:rPr>
          <w:rFonts w:ascii="Arial" w:cs="Arial" w:eastAsia="Arial" w:hAnsi="Arial"/>
          <w:sz w:val="18"/>
          <w:szCs w:val="18"/>
          <w:color w:val="auto"/>
        </w:rPr>
      </w:pPr>
    </w:p>
    <w:p>
      <w:pPr>
        <w:ind w:left="440" w:right="200" w:hanging="432"/>
        <w:spacing w:after="0" w:line="261"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retail sales per square foot in the U.K. represents net retail sales from stores open throughout the entire period in the U.K., excluding e-commerce sales, divided by the total selling square footage of such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Cost of merchandise sold: </w:t>
      </w:r>
      <w:r>
        <w:rPr>
          <w:rFonts w:ascii="Arial" w:cs="Arial" w:eastAsia="Arial" w:hAnsi="Arial"/>
          <w:sz w:val="17"/>
          <w:szCs w:val="17"/>
          <w:color w:val="auto"/>
        </w:rPr>
        <w:t>Cost of merchandise sold is driven primarily by our retail segment. Cost of merchandise sold – retail includes the cost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merchandise, including royalties paid to licensors of third party branded merchandise; store occupancy cost, including store depreciation and store asset impairment charges (See Note 5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margin is defined as net retail sales less the cost of merchandise sold - retail.</w:t>
      </w:r>
    </w:p>
    <w:p>
      <w:pPr>
        <w:spacing w:after="0" w:line="17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 (“SGA”): </w:t>
      </w:r>
      <w:r>
        <w:rPr>
          <w:rFonts w:ascii="Arial" w:cs="Arial" w:eastAsia="Arial" w:hAnsi="Arial"/>
          <w:sz w:val="18"/>
          <w:szCs w:val="18"/>
          <w:color w:val="auto"/>
        </w:rPr>
        <w:t>These expenses include store payroll and benefits, advertising, credit card fees, store supplies and</w:t>
      </w:r>
      <w:r>
        <w:rPr>
          <w:rFonts w:ascii="Arial" w:cs="Arial" w:eastAsia="Arial" w:hAnsi="Arial"/>
          <w:sz w:val="18"/>
          <w:szCs w:val="18"/>
          <w:i w:val="1"/>
          <w:iCs w:val="1"/>
          <w:color w:val="auto"/>
        </w:rPr>
        <w:t xml:space="preserve"> </w:t>
      </w:r>
      <w:r>
        <w:rPr>
          <w:rFonts w:ascii="Arial" w:cs="Arial" w:eastAsia="Arial" w:hAnsi="Arial"/>
          <w:sz w:val="18"/>
          <w:szCs w:val="18"/>
          <w:color w:val="auto"/>
        </w:rPr>
        <w:t>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as well as the amortization of intellectual property and other assets. Certain store expenses such as credit card fees historically have increased or decreased proportionately with net retail sales. In addition, bad debt expenses and accounts receivable related charges are recorded. Further, SGA expenses may include store impairment as we consider a more likely than not assessment that an individual location will close or be remodeled prior to the end of its original lease term. See Note 5 — Property and Equipment, net to the consolidated financial statements for additional accounting information regarding store asset impairment.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Corporately-managed locations: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number of Build-A-Bear Workshop stores in the U.S., Canada and Puerto Rico (collectively, North America), the U.K., Ireland and Denmark (collectively, Europe) and China for the last two fiscal years are summarized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92"/>
              </w:rPr>
              <w:t>Fiscal year ended</w:t>
            </w: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5"/>
              </w:rPr>
              <w:t>February 2, 2019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December 30, 2017</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North</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rPr>
              <w:t>North</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America</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Europe</w:t>
            </w:r>
          </w:p>
        </w:tc>
        <w:tc>
          <w:tcPr>
            <w:tcW w:w="200" w:type="dxa"/>
            <w:vAlign w:val="bottom"/>
          </w:tcPr>
          <w:p>
            <w:pPr>
              <w:spacing w:after="0"/>
              <w:rPr>
                <w:sz w:val="20"/>
                <w:szCs w:val="20"/>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China</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Europe</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China</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ind w:left="160"/>
              <w:spacing w:after="0"/>
              <w:rPr>
                <w:sz w:val="20"/>
                <w:szCs w:val="20"/>
                <w:color w:val="auto"/>
              </w:rPr>
            </w:pPr>
            <w:r>
              <w:rPr>
                <w:rFonts w:ascii="Arial" w:cs="Arial" w:eastAsia="Arial" w:hAnsi="Arial"/>
                <w:sz w:val="18"/>
                <w:szCs w:val="18"/>
                <w:color w:val="auto"/>
              </w:rPr>
              <w:t>Opened</w:t>
            </w: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During fiscal 2018, our retail business model has been evolving to address changing shopping patterns by diversifying our locations, formats and geographies. We are updating our store portfolio with the Discovery format, which represented 37% of our store base as of February 2, 2019. In October 2018, we opened a half dozen full service, stand-alone stores inside select Walmart locations. We also continued to open concourse shops, stand-alone retail units that occupy approximately 200 square feet, in places where families go for entertainment, including tourist destinations, as well as to convert certain existing locations, in conjunction with natural lease events, to continue to generate profit while leveraging reduced cost structure of concourse shops. As in prior years, we operated in a number of other non-traditional locations, such as ballparks, as well as shop-in-shop arrangements within other retailers’ stores. In certain locations throughout the year, we deployed temporary stores, which generally have lease terms of two to eighteen months. These specific sites are designed to capitalize on short-term opportunities. Further, we expect to close certain stores in accordance with natural lease events as an ongoing part of our real estate management and day-to-day operational plans.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assortments as our corporately-managed stores. As of February 2, 2019, we had nine master franchise agreements, which typically grant franchise rights for a particular country or group of countries, covering an aggregate of 17 countries. The number of international, franchised stores opened and closed for the periods presented below are summarized as follows:</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00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9"/>
              </w:rPr>
              <w:t>December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February 2, 2019</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3"/>
          </w:tcPr>
          <w:p>
            <w:pPr>
              <w:ind w:left="700"/>
              <w:spacing w:after="0"/>
              <w:rPr>
                <w:sz w:val="20"/>
                <w:szCs w:val="20"/>
                <w:color w:val="auto"/>
              </w:rPr>
            </w:pPr>
            <w:r>
              <w:rPr>
                <w:rFonts w:ascii="Arial" w:cs="Arial" w:eastAsia="Arial" w:hAnsi="Arial"/>
                <w:sz w:val="18"/>
                <w:szCs w:val="18"/>
                <w:color w:val="auto"/>
              </w:rPr>
              <w:t>End of period</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rPr>
              <w:t>The distribution of franchised locations among these countries is as follows:</w:t>
            </w: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South Africa</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80" w:type="dxa"/>
            <w:vAlign w:val="bottom"/>
          </w:tcPr>
          <w:p>
            <w:pPr>
              <w:spacing w:after="0" w:line="256" w:lineRule="exact"/>
              <w:rPr>
                <w:sz w:val="20"/>
                <w:szCs w:val="20"/>
                <w:color w:val="auto"/>
              </w:rPr>
            </w:pPr>
            <w:r>
              <w:rPr>
                <w:rFonts w:ascii="Arial" w:cs="Arial" w:eastAsia="Arial" w:hAnsi="Arial"/>
                <w:sz w:val="18"/>
                <w:szCs w:val="18"/>
                <w:color w:val="auto"/>
              </w:rPr>
              <w:t xml:space="preserve">Gulf States </w:t>
            </w:r>
            <w:r>
              <w:rPr>
                <w:rFonts w:ascii="Arial" w:cs="Arial" w:eastAsia="Arial" w:hAnsi="Arial"/>
                <w:sz w:val="29"/>
                <w:szCs w:val="29"/>
                <w:color w:val="auto"/>
                <w:vertAlign w:val="superscript"/>
              </w:rPr>
              <w:t>(1)</w:t>
            </w: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Germany </w:t>
            </w:r>
            <w:r>
              <w:rPr>
                <w:rFonts w:ascii="Arial" w:cs="Arial" w:eastAsia="Arial" w:hAnsi="Arial"/>
                <w:sz w:val="29"/>
                <w:szCs w:val="29"/>
                <w:color w:val="auto"/>
                <w:vertAlign w:val="superscript"/>
              </w:rPr>
              <w:t>(2)</w:t>
            </w:r>
          </w:p>
        </w:tc>
        <w:tc>
          <w:tcPr>
            <w:tcW w:w="8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80" w:type="dxa"/>
            <w:vAlign w:val="bottom"/>
          </w:tcPr>
          <w:p>
            <w:pPr>
              <w:spacing w:after="0" w:line="256" w:lineRule="exact"/>
              <w:rPr>
                <w:sz w:val="20"/>
                <w:szCs w:val="20"/>
                <w:color w:val="auto"/>
              </w:rPr>
            </w:pPr>
            <w:r>
              <w:rPr>
                <w:rFonts w:ascii="Arial" w:cs="Arial" w:eastAsia="Arial" w:hAnsi="Arial"/>
                <w:sz w:val="18"/>
                <w:szCs w:val="18"/>
                <w:color w:val="auto"/>
              </w:rPr>
              <w:t xml:space="preserve">China </w:t>
            </w:r>
            <w:r>
              <w:rPr>
                <w:rFonts w:ascii="Arial" w:cs="Arial" w:eastAsia="Arial" w:hAnsi="Arial"/>
                <w:sz w:val="29"/>
                <w:szCs w:val="29"/>
                <w:color w:val="auto"/>
                <w:vertAlign w:val="superscript"/>
              </w:rPr>
              <w:t>(3)</w:t>
            </w: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Singapore</w:t>
            </w:r>
          </w:p>
        </w:tc>
        <w:tc>
          <w:tcPr>
            <w:tcW w:w="8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right="380" w:hanging="320"/>
        <w:spacing w:after="0" w:line="25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Gulf States master franchise agreement includes Kuwait, Bahrain, Qatar and the United Arab Emirates which all have stores as well as Oman where we do not currently have a store open.</w:t>
      </w:r>
    </w:p>
    <w:p>
      <w:pPr>
        <w:spacing w:after="0" w:line="1"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Germany master franchise agreement also includes Austria and Switzerland where no stores are currently opened.</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China master franchise agreement includes Hong Kong and Macau where no stores are currently opened.</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21" w:name="page22"/>
    <w:bookmarkEnd w:id="21"/>
    <w:p>
      <w:pPr>
        <w:ind w:right="80" w:firstLine="441"/>
        <w:spacing w:after="0" w:line="276" w:lineRule="auto"/>
        <w:rPr>
          <w:sz w:val="20"/>
          <w:szCs w:val="20"/>
          <w:color w:val="auto"/>
        </w:rPr>
      </w:pPr>
      <w:r>
        <w:rPr>
          <w:rFonts w:ascii="Arial" w:cs="Arial" w:eastAsia="Arial" w:hAnsi="Arial"/>
          <w:sz w:val="17"/>
          <w:szCs w:val="17"/>
          <w:color w:val="auto"/>
        </w:rPr>
        <w:t>In the ordinary course of business, we anticipate signing additional master franchise agreements in the future and terminating other such agreements. We believe there is a total market potential for approximately 300 international stores outside of the U.S., Canada, the U.K., Ireland and Denmark. We source fixtures and other supplies for our franchisees from China which significantly reduced the capital and lowered the expenses required to open franchises. We are leveraging new formats that have been developed for our corporately-managed locations such as concourses and shop-in-shops with our franchisees. We expect to develop market expansion through both new and existing franchisees in 2019 and beyond.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Overview</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While we achieved operational milestones on key initiatives of our long-term strategic plan, financial results for fiscal 2018 were disappointing given the prior four consecutive years of profitability. Fiscal 2018 financial results were driven primarily by the negative impact from declining mall traffic and the economic uncertainty associated with Brexit. In addition, a number of significant factors unique to fiscal 2018 negatively impacted our business including the closure of our most productive store in January 2018, liquidation of Toys“R”Us store inventory across North America in late spring, and the unusually low number of family-centric films released in 2018 (which relate directly to our sale of licensed property), as well as the revenue decrease from the adoption of the new revenue recognition standard. Further, consumer privacy laws in the U.K. and elsewhere were introduced that limited our ability to communicate with loyalty program members and store shoppers. In contrast to the impact from these negative factors, Build-A-Bear launched a new age-based discount promotion over the summer with an event called “Pay Your Age.” The event generated national and international attention and resulted in a mid-year revenue trend reversal and the ongoing promotion provided an opportunity to introduce our loyalty club to our customers for the remainder of fiscal 2018. Overall, fiscal 2018 resulted in a net loss, driven primarily by the reduction in revenues, from ongoing and unique challenges, and the associated deleverage of fixed occupancy costs, the higher promotion activity associated with Pay Your Age events and the impact of the adoption of the new revenue recognition standard.</w:t>
      </w:r>
    </w:p>
    <w:p>
      <w:pPr>
        <w:spacing w:after="0" w:line="18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regards to operational aspects of our long-term strategic plan, we are rebuilding our contact database within the parameters of the new privacy laws and continued to evolve our physical retail footprint to broaden our offering of retail locations that attract families including the pilot program to open a half dozen full service, stand-alone stores inside select Walmart locations. As part of the evaluation of our existing store portfolio, we have the option to renegotiate current store leases, convert to a lower capital and more flexible format, like concourse shops, or close certain stores in accordance with natural lease events. We maintain the commitment to position ourselves for the future through the continued development and implementation of our four key strategic initiatives as noted previously.</w:t>
      </w:r>
    </w:p>
    <w:p>
      <w:pPr>
        <w:spacing w:after="0" w:line="193"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immaterial rounding:</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Five weeks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760" w:type="dxa"/>
            <w:vAlign w:val="bottom"/>
            <w:gridSpan w:val="3"/>
          </w:tcPr>
          <w:p>
            <w:pPr>
              <w:ind w:left="70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280" w:type="dxa"/>
            <w:vAlign w:val="bottom"/>
            <w:tcBorders>
              <w:top w:val="single" w:sz="8" w:color="auto"/>
            </w:tcBorders>
          </w:tcPr>
          <w:p>
            <w:pPr>
              <w:ind w:left="180"/>
              <w:spacing w:after="0" w:line="191" w:lineRule="exact"/>
              <w:rPr>
                <w:sz w:val="20"/>
                <w:szCs w:val="20"/>
                <w:color w:val="auto"/>
              </w:rPr>
            </w:pPr>
            <w:r>
              <w:rPr>
                <w:rFonts w:ascii="Arial" w:cs="Arial" w:eastAsia="Arial" w:hAnsi="Arial"/>
                <w:sz w:val="18"/>
                <w:szCs w:val="18"/>
                <w:b w:val="1"/>
                <w:bCs w:val="1"/>
                <w:color w:val="auto"/>
              </w:rPr>
              <w:t>February 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w w:val="99"/>
              </w:rPr>
              <w:t>December 30,</w:t>
            </w:r>
          </w:p>
        </w:tc>
        <w:tc>
          <w:tcPr>
            <w:tcW w:w="18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February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4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2017</w:t>
            </w:r>
          </w:p>
        </w:tc>
        <w:tc>
          <w:tcPr>
            <w:tcW w:w="14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97.0%</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97.6%</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14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1.7</w:t>
            </w:r>
          </w:p>
        </w:tc>
        <w:tc>
          <w:tcPr>
            <w:tcW w:w="14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International franchising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1.1</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0.7</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revenues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4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3"/>
              </w:rPr>
              <w:t>100.0</w:t>
            </w:r>
          </w:p>
        </w:tc>
        <w:tc>
          <w:tcPr>
            <w:tcW w:w="14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tcPr>
          <w:p>
            <w:pPr>
              <w:ind w:left="320"/>
              <w:spacing w:after="0" w:line="256" w:lineRule="exact"/>
              <w:rPr>
                <w:sz w:val="20"/>
                <w:szCs w:val="20"/>
                <w:color w:val="auto"/>
              </w:rPr>
            </w:pPr>
            <w:r>
              <w:rPr>
                <w:rFonts w:ascii="Arial" w:cs="Arial" w:eastAsia="Arial" w:hAnsi="Arial"/>
                <w:sz w:val="18"/>
                <w:szCs w:val="18"/>
                <w:color w:val="auto"/>
              </w:rPr>
              <w:t xml:space="preserve">Cost of merchandise sold - retail </w:t>
            </w:r>
            <w:r>
              <w:rPr>
                <w:rFonts w:ascii="Arial" w:cs="Arial" w:eastAsia="Arial" w:hAnsi="Arial"/>
                <w:sz w:val="29"/>
                <w:szCs w:val="29"/>
                <w:color w:val="auto"/>
                <w:vertAlign w:val="superscript"/>
              </w:rPr>
              <w:t>(1)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57.3</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53.1</w:t>
            </w:r>
          </w:p>
        </w:tc>
        <w:tc>
          <w:tcPr>
            <w:tcW w:w="14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54.3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shd w:val="clear" w:color="auto" w:fill="CCEEFF"/>
          </w:tcPr>
          <w:p>
            <w:pPr>
              <w:ind w:left="320"/>
              <w:spacing w:after="0" w:line="256" w:lineRule="exact"/>
              <w:rPr>
                <w:sz w:val="20"/>
                <w:szCs w:val="20"/>
                <w:color w:val="auto"/>
              </w:rPr>
            </w:pPr>
            <w:r>
              <w:rPr>
                <w:rFonts w:ascii="Arial" w:cs="Arial" w:eastAsia="Arial" w:hAnsi="Arial"/>
                <w:sz w:val="18"/>
                <w:szCs w:val="18"/>
                <w:color w:val="auto"/>
              </w:rPr>
              <w:t xml:space="preserve">Store asset impairment </w:t>
            </w:r>
            <w:r>
              <w:rPr>
                <w:rFonts w:ascii="Arial" w:cs="Arial" w:eastAsia="Arial" w:hAnsi="Arial"/>
                <w:sz w:val="29"/>
                <w:szCs w:val="29"/>
                <w:color w:val="auto"/>
                <w:vertAlign w:val="superscript"/>
              </w:rPr>
              <w:t>(2)</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1.6</w:t>
            </w:r>
          </w:p>
        </w:tc>
        <w:tc>
          <w:tcPr>
            <w:tcW w:w="14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7"/>
              </w:rPr>
              <w:t>0.0</w:t>
            </w:r>
          </w:p>
        </w:tc>
        <w:tc>
          <w:tcPr>
            <w:tcW w:w="14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tcPr>
          <w:p>
            <w:pPr>
              <w:ind w:left="320"/>
              <w:spacing w:after="0" w:line="256"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50.6</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56.8</w:t>
            </w:r>
          </w:p>
        </w:tc>
        <w:tc>
          <w:tcPr>
            <w:tcW w:w="14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54.5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320"/>
              <w:spacing w:after="0" w:line="243" w:lineRule="exact"/>
              <w:rPr>
                <w:sz w:val="20"/>
                <w:szCs w:val="20"/>
                <w:color w:val="auto"/>
              </w:rPr>
            </w:pPr>
            <w:r>
              <w:rPr>
                <w:rFonts w:ascii="Arial" w:cs="Arial" w:eastAsia="Arial" w:hAnsi="Arial"/>
                <w:sz w:val="17"/>
                <w:szCs w:val="17"/>
                <w:color w:val="auto"/>
              </w:rPr>
              <w:t xml:space="preserve">Cost of merchandise sold - international franchising </w:t>
            </w:r>
            <w:r>
              <w:rPr>
                <w:rFonts w:ascii="Arial" w:cs="Arial" w:eastAsia="Arial" w:hAnsi="Arial"/>
                <w:sz w:val="28"/>
                <w:szCs w:val="28"/>
                <w:color w:val="auto"/>
                <w:vertAlign w:val="superscript"/>
              </w:rPr>
              <w:t>(1)</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66.8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960"/>
              <w:spacing w:after="0"/>
              <w:rPr>
                <w:sz w:val="20"/>
                <w:szCs w:val="20"/>
                <w:color w:val="auto"/>
              </w:rPr>
            </w:pPr>
            <w:r>
              <w:rPr>
                <w:rFonts w:ascii="Arial" w:cs="Arial" w:eastAsia="Arial" w:hAnsi="Arial"/>
                <w:sz w:val="18"/>
                <w:szCs w:val="18"/>
                <w:color w:val="auto"/>
              </w:rPr>
              <w:t>Total cost of merchandise sold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58.8</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52.8</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w:t>
            </w:r>
          </w:p>
        </w:tc>
        <w:tc>
          <w:tcPr>
            <w:tcW w:w="14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5"/>
              </w:rPr>
              <w:t>47.2</w:t>
            </w:r>
          </w:p>
        </w:tc>
        <w:tc>
          <w:tcPr>
            <w:tcW w:w="14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46.7</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85"/>
              </w:rPr>
              <w:t>43.4</w:t>
            </w:r>
          </w:p>
        </w:tc>
        <w:tc>
          <w:tcPr>
            <w:tcW w:w="14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49.4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0.0</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960"/>
              <w:spacing w:after="0"/>
              <w:rPr>
                <w:sz w:val="20"/>
                <w:szCs w:val="20"/>
                <w:color w:val="auto"/>
              </w:rPr>
            </w:pPr>
            <w:r>
              <w:rPr>
                <w:rFonts w:ascii="Arial" w:cs="Arial" w:eastAsia="Arial" w:hAnsi="Arial"/>
                <w:sz w:val="18"/>
                <w:szCs w:val="18"/>
                <w:color w:val="auto"/>
              </w:rPr>
              <w:t>Income (loss) before income taxes</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(5.5)</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3.9</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960"/>
              <w:spacing w:after="0"/>
              <w:rPr>
                <w:sz w:val="20"/>
                <w:szCs w:val="20"/>
                <w:color w:val="auto"/>
              </w:rPr>
            </w:pPr>
            <w:r>
              <w:rPr>
                <w:rFonts w:ascii="Arial" w:cs="Arial" w:eastAsia="Arial" w:hAnsi="Arial"/>
                <w:sz w:val="18"/>
                <w:szCs w:val="18"/>
                <w:color w:val="auto"/>
              </w:rPr>
              <w:t>Net income (loss)</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(5.3)</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87"/>
              </w:rPr>
              <w:t>2.2</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30"/>
                <w:szCs w:val="30"/>
                <w:color w:val="auto"/>
                <w:vertAlign w:val="superscript"/>
              </w:rPr>
              <w:t>(3)</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42.7%</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46.9%</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45.7%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40" w:right="60" w:hanging="432"/>
        <w:spacing w:after="0" w:line="342"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spacing w:after="0" w:line="9" w:lineRule="exact"/>
        <w:rPr>
          <w:rFonts w:ascii="Arial" w:cs="Arial" w:eastAsia="Arial" w:hAnsi="Arial"/>
          <w:sz w:val="16"/>
          <w:szCs w:val="16"/>
          <w:color w:val="auto"/>
        </w:rPr>
      </w:pPr>
    </w:p>
    <w:p>
      <w:pPr>
        <w:ind w:left="440" w:hanging="432"/>
        <w:spacing w:after="0"/>
        <w:tabs>
          <w:tab w:leader="none" w:pos="4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Store asset impairment was disclosed as a separate line item in fiscal 2018 and expressed as a percentage of net retail sales.</w:t>
      </w:r>
    </w:p>
    <w:p>
      <w:pPr>
        <w:spacing w:after="0" w:line="201" w:lineRule="exact"/>
        <w:rPr>
          <w:rFonts w:ascii="Arial" w:cs="Arial" w:eastAsia="Arial" w:hAnsi="Arial"/>
          <w:sz w:val="30"/>
          <w:szCs w:val="30"/>
          <w:color w:val="auto"/>
          <w:vertAlign w:val="superscript"/>
        </w:rPr>
      </w:pPr>
    </w:p>
    <w:p>
      <w:pPr>
        <w:ind w:left="440" w:right="20" w:hanging="432"/>
        <w:spacing w:after="0" w:line="194" w:lineRule="auto"/>
        <w:tabs>
          <w:tab w:leader="none" w:pos="4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667"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Fiscal Year Ended February 2, 2019 Compared to Fiscal Year Ended December 30, 2017</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$326.3 million for fiscal 2018, compared to $349.4 million for fiscal 2017, a decrease of $23.1 million. The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decrease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February 2, 2019</w:t>
            </w:r>
          </w:p>
        </w:tc>
      </w:tr>
      <w:tr>
        <w:trPr>
          <w:trHeight w:val="210"/>
        </w:trPr>
        <w:tc>
          <w:tcPr>
            <w:tcW w:w="8060" w:type="dxa"/>
            <w:vAlign w:val="bottom"/>
          </w:tcPr>
          <w:p>
            <w:pPr>
              <w:spacing w:after="0"/>
              <w:rPr>
                <w:sz w:val="18"/>
                <w:szCs w:val="18"/>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Decrease in existing store and ecommerce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breakage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0"/>
        </w:trPr>
        <w:tc>
          <w:tcPr>
            <w:tcW w:w="8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In fiscal 2018, our estimate of deferred revenue decreased net retail sales by $4.7 million compared to fiscal 2017 primarily due to breakage related to the adoption of the new revenue recognition standard (See Note 3 —Revenue to the consolidated financial statements for additional information).</w:t>
      </w:r>
    </w:p>
    <w:p>
      <w:pPr>
        <w:spacing w:after="0" w:line="124"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Commercial revenue was $6.6 million for fiscal 2018 compared to $6.0 million for fiscal 2017, an increase of $0.6 million, primarily due to growth in outbound licensing activity. Revenue from international franchising was $3.7 million for fiscal 2018 compared to $2.5 million for fiscal 2017. This $1.2 million increase was primarily the result of higher merchandise revenue and the sale of supplies and fixtures.</w:t>
      </w:r>
    </w:p>
    <w:p>
      <w:pPr>
        <w:spacing w:after="0" w:line="181"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i w:val="1"/>
          <w:iCs w:val="1"/>
          <w:color w:val="auto"/>
        </w:rPr>
        <w:t>Retail gross margin</w:t>
      </w:r>
      <w:r>
        <w:rPr>
          <w:rFonts w:ascii="Arial" w:cs="Arial" w:eastAsia="Arial" w:hAnsi="Arial"/>
          <w:sz w:val="16"/>
          <w:szCs w:val="16"/>
          <w:color w:val="auto"/>
        </w:rPr>
        <w:t>. Retail gross margin was $139.5 million in fiscal 2018 compared to $163.9 million in fiscal 2017, a decrease of $24.4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Retail gross margin excluded store asset impairment charges of $5.2 million in fiscal 2018 and less than $0.1 million in fiscal 2017 and was disclosed as a separate line item within the consolidated statement of operations and expressed as a percentage of net retail sales. As a percentage of net retail sales, retail gross margin decreased to 42.7% for fiscal 2018 from 46.9% for fiscal 2017, a decrease of 420 basis points as a percentage of net retail sales and included 230 basis points related to the deleverage of fixed occupancy costs as well as 60 basis points related to the impact of the new revenue recognition standard. The remaining decline in retail gross margin was driven primarily by higher promotional activity mainly related to Pay Your Age Day events.</w:t>
      </w:r>
    </w:p>
    <w:p>
      <w:pPr>
        <w:spacing w:after="0" w:line="16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were $157.2 million for fiscal 2018 as compared to $155.1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an increase of $2.1 million, or 1.3%. Selling, general and administrative expenses were higher primarily due to the negative impact of foreign currency translation, increased consulting costs for new systems and compliance matters, asset impairment charges related to store fixed assets and receivables, partially offset by lower marketing expenses and less expensive store opening charges.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increased an immaterial amount for fiscal 2018 as compared to fiscal 2017.</w:t>
      </w:r>
    </w:p>
    <w:p>
      <w:pPr>
        <w:spacing w:after="0" w:line="248"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provision for income taxes was a benefit of $0.6 million in fiscal 2018 compared to income tax expense of $5.9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2017. The 2018 effective rate of 3.1% differed from the statutory rate of 21% primarily due to the valuation allowance recorded in certain foreign jurisdictions. The fiscal 2017 effective rate of 42.7% differed from the statutory rate of 34% primarily due to the effect of the provisional tax charge of $1.4 million for the re-measurement of U.S. net deferred tax assets as a result of the enactment of the Tax Cuts and Jobs Act (the “Act”) reducing the U.S. federal statutory rate to 21% effective January 1, 2018. The Act also included provisions that may partially offset the benefit of such rate reduction, including the repeal of the deduction for domestic production activities and changes to the non-deductibility of certain covered employee compensation. The international provisions of the Act, which generally establish a territorial-style system for taxing foreign-source income of domestic multinational corporations, are expected to have a negligible impact on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Five-week audited transition period ended February 3, 2018 compared to the four-week unaudited period ended January 28, 2017</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Total revenues were $30.2 million for the five weeks ended February 3, 2018, as compared to $24.1 million for the four weeks ended January 28, 2017. The increase of $6.1 million, or 25.3%, was primarily driven by one extra week of revenue. Consolidated gross profit was $13.9 million for the five weeks ended February 3, 2018, as compared to $10.0 million for the four weeks ended January 28, 2017, an increase of $3.9 million, or 38.4%. Retail gross margin was $13.5 million for the five weeks ended February 3, 2018 compared to $9.9 million for the four weeks ended January 28, 2017, an increase of $3.6 million, or 37.0%. As a percentage of net retail sales, retail gross margin was 45.7% for the five weeks ended February 3, 2018 compared to 41.2% for the four weeks ended January 28, 2017. This 450 basis-point gross margin increase was primarily driven by the impact of one extra week of revenue on fixed occupancy costs and a 160 basis-point improvement in merchandise margin. Merchandise margin benefited from lower discounts, selective price increases and sourcing efficiencies. For the five weeks ended February 3, 2018, the income tax provision was a benefit of $0.2 million with an effective rate of 17.8%, versus the statutory rate of 21%, compared to an income tax benefit of $0.4 million with an effective rate of 35.8%, versus the statutory rate of 34%, for the four weeks ended January 28, 2017.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use the term “store contribution” throughout this Annual Report on Form 10-K. Store contribution consists of income (loss) before income tax expense, interest, general and administrative expense, excluding income from franchise and commercial activities and contribution from our e-commerce sites, locations not open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 Additionally, store-level performance measures are inherently limited in that they exclude certain expenses that are recurring in nature and are necessary to support the operation and development of our stores. We believe store contribution is useful to investors in evaluating our operating performance because it, along with the number of stores in operation, directly impacts our profitability.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23" w:name="page24"/>
    <w:bookmarkEnd w:id="23"/>
    <w:p>
      <w:pPr>
        <w:ind w:left="20" w:right="80" w:firstLine="324"/>
        <w:spacing w:after="0" w:line="264" w:lineRule="auto"/>
        <w:rPr>
          <w:sz w:val="20"/>
          <w:szCs w:val="20"/>
          <w:color w:val="auto"/>
        </w:rPr>
      </w:pPr>
      <w:r>
        <w:rPr>
          <w:rFonts w:ascii="Arial" w:cs="Arial" w:eastAsia="Arial" w:hAnsi="Arial"/>
          <w:sz w:val="18"/>
          <w:szCs w:val="18"/>
          <w:color w:val="auto"/>
        </w:rPr>
        <w:t>The following table sets forth a reconciliation of store contribution to net income (loss) for our corporately-managed stores, open throughout the entire period, located in the U.S., Canada and Puerto Rico (collectively “North America”); stores located in the U.K., Ireland and Denmark (collectively “Europe”); and, beginning in 2017, China, for our consolidated store base (dollars in thousands).</w:t>
      </w: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9"/>
              </w:rPr>
              <w:t>Fiscal 2018</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1"/>
              </w:rPr>
              <w:t>Fiscal 2017</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34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3"/>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6"/>
                <w:szCs w:val="16"/>
                <w:color w:val="auto"/>
              </w:rPr>
            </w:pPr>
          </w:p>
        </w:tc>
        <w:tc>
          <w:tcPr>
            <w:tcW w:w="1280" w:type="dxa"/>
            <w:vAlign w:val="bottom"/>
            <w:gridSpan w:val="2"/>
          </w:tcPr>
          <w:p>
            <w:pPr>
              <w:jc w:val="right"/>
              <w:ind w:right="600"/>
              <w:spacing w:after="0" w:line="191" w:lineRule="exact"/>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America</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and China</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America</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and China</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(15,240)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(17,933)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Items excluded: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769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(574)</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5,425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Interest expense (income)</w:t>
            </w: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Store asset impairment</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5,195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tcPr>
          <w:p>
            <w:pPr>
              <w:ind w:left="320"/>
              <w:spacing w:after="0" w:line="206" w:lineRule="exact"/>
              <w:rPr>
                <w:sz w:val="20"/>
                <w:szCs w:val="20"/>
                <w:color w:val="auto"/>
              </w:rPr>
            </w:pPr>
            <w:r>
              <w:rPr>
                <w:rFonts w:ascii="Arial" w:cs="Arial" w:eastAsia="Arial" w:hAnsi="Arial"/>
                <w:sz w:val="18"/>
                <w:szCs w:val="18"/>
                <w:color w:val="auto"/>
                <w:w w:val="92"/>
              </w:rPr>
              <w:t>General and administrative expense</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41,851</w:t>
            </w: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8,012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49,863</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46,892</w:t>
            </w:r>
          </w:p>
        </w:tc>
        <w:tc>
          <w:tcPr>
            <w:tcW w:w="120" w:type="dxa"/>
            <w:vAlign w:val="bottom"/>
          </w:tcPr>
          <w:p>
            <w:pPr>
              <w:spacing w:after="0"/>
              <w:rPr>
                <w:sz w:val="17"/>
                <w:szCs w:val="17"/>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4,726</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51,618</w:t>
            </w:r>
          </w:p>
        </w:tc>
        <w:tc>
          <w:tcPr>
            <w:tcW w:w="0" w:type="dxa"/>
            <w:vAlign w:val="bottom"/>
          </w:tcPr>
          <w:p>
            <w:pPr>
              <w:spacing w:after="0"/>
              <w:rPr>
                <w:sz w:val="1"/>
                <w:szCs w:val="1"/>
                <w:color w:val="auto"/>
              </w:rPr>
            </w:pPr>
          </w:p>
        </w:tc>
      </w:tr>
      <w:tr>
        <w:trPr>
          <w:trHeight w:val="213"/>
        </w:trPr>
        <w:tc>
          <w:tcPr>
            <w:tcW w:w="3060" w:type="dxa"/>
            <w:vAlign w:val="bottom"/>
            <w:gridSpan w:val="2"/>
          </w:tcPr>
          <w:p>
            <w:pPr>
              <w:ind w:left="340"/>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ind w:left="320"/>
              <w:spacing w:after="0" w:line="206" w:lineRule="exact"/>
              <w:rPr>
                <w:sz w:val="20"/>
                <w:szCs w:val="20"/>
                <w:color w:val="auto"/>
              </w:rPr>
            </w:pPr>
            <w:r>
              <w:rPr>
                <w:rFonts w:ascii="Arial" w:cs="Arial" w:eastAsia="Arial" w:hAnsi="Arial"/>
                <w:sz w:val="18"/>
                <w:szCs w:val="18"/>
                <w:color w:val="auto"/>
              </w:rPr>
              <w:t>Contribution from other retail</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40" w:type="dxa"/>
            <w:vAlign w:val="bottom"/>
            <w:tcBorders>
              <w:right w:val="single" w:sz="8" w:color="CCEEFF"/>
            </w:tcBorders>
            <w:shd w:val="clear" w:color="auto" w:fill="CCEEFF"/>
          </w:tcPr>
          <w:p>
            <w:pPr>
              <w:ind w:left="320"/>
              <w:spacing w:after="0" w:line="266" w:lineRule="exact"/>
              <w:rPr>
                <w:sz w:val="20"/>
                <w:szCs w:val="20"/>
                <w:color w:val="auto"/>
              </w:rPr>
            </w:pPr>
            <w:r>
              <w:rPr>
                <w:rFonts w:ascii="Arial" w:cs="Arial" w:eastAsia="Arial" w:hAnsi="Arial"/>
                <w:sz w:val="18"/>
                <w:szCs w:val="18"/>
                <w:color w:val="auto"/>
              </w:rPr>
              <w:t>activities</w:t>
            </w:r>
            <w:r>
              <w:rPr>
                <w:rFonts w:ascii="Arial" w:cs="Arial" w:eastAsia="Arial" w:hAnsi="Arial"/>
                <w:sz w:val="30"/>
                <w:szCs w:val="30"/>
                <w:color w:val="auto"/>
                <w:vertAlign w:val="superscript"/>
              </w:rPr>
              <w:t>(2)</w:t>
            </w:r>
          </w:p>
        </w:tc>
        <w:tc>
          <w:tcPr>
            <w:tcW w:w="160" w:type="dxa"/>
            <w:vAlign w:val="bottom"/>
            <w:shd w:val="clear" w:color="auto" w:fill="CCEEFF"/>
          </w:tcPr>
          <w:p>
            <w:pPr>
              <w:spacing w:after="0"/>
              <w:rPr>
                <w:sz w:val="23"/>
                <w:szCs w:val="23"/>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(3,804)</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(656)</w:t>
            </w:r>
          </w:p>
        </w:tc>
        <w:tc>
          <w:tcPr>
            <w:tcW w:w="2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(4,460)</w:t>
            </w:r>
          </w:p>
        </w:tc>
        <w:tc>
          <w:tcPr>
            <w:tcW w:w="16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(11,777)</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tcPr>
          <w:p>
            <w:pPr>
              <w:ind w:left="320"/>
              <w:spacing w:after="0" w:line="243" w:lineRule="exact"/>
              <w:rPr>
                <w:sz w:val="20"/>
                <w:szCs w:val="20"/>
                <w:color w:val="auto"/>
              </w:rPr>
            </w:pPr>
            <w:r>
              <w:rPr>
                <w:rFonts w:ascii="Arial" w:cs="Arial" w:eastAsia="Arial" w:hAnsi="Arial"/>
                <w:sz w:val="17"/>
                <w:szCs w:val="17"/>
                <w:color w:val="auto"/>
              </w:rPr>
              <w:t xml:space="preserve">Other contribution </w:t>
            </w:r>
            <w:r>
              <w:rPr>
                <w:rFonts w:ascii="Arial" w:cs="Arial" w:eastAsia="Arial" w:hAnsi="Arial"/>
                <w:sz w:val="28"/>
                <w:szCs w:val="28"/>
                <w:color w:val="auto"/>
                <w:vertAlign w:val="superscript"/>
              </w:rPr>
              <w:t>(3)</w:t>
            </w:r>
          </w:p>
        </w:tc>
        <w:tc>
          <w:tcPr>
            <w:tcW w:w="1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(1,656)</w:t>
            </w:r>
          </w:p>
        </w:tc>
        <w:tc>
          <w:tcPr>
            <w:tcW w:w="12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(640)</w:t>
            </w:r>
          </w:p>
        </w:tc>
        <w:tc>
          <w:tcPr>
            <w:tcW w:w="22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(2,296)</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(4,783)</w:t>
            </w: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34,211</w:t>
            </w:r>
          </w:p>
        </w:tc>
        <w:tc>
          <w:tcPr>
            <w:tcW w:w="3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(4,331)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29,880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 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286,544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50,041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336,585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294,285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Items excluded: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Borders>
              <w:right w:val="single" w:sz="8" w:color="CCEEFF"/>
            </w:tcBorders>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Revenues from other retail activities</w:t>
            </w:r>
          </w:p>
        </w:tc>
        <w:tc>
          <w:tcPr>
            <w:tcW w:w="16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(34,445)</w:t>
            </w:r>
          </w:p>
        </w:tc>
        <w:tc>
          <w:tcPr>
            <w:tcW w:w="12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(4,528)</w:t>
            </w: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(38,973)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(38,302)</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(5,511)</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320"/>
              <w:spacing w:after="0" w:line="201" w:lineRule="exact"/>
              <w:rPr>
                <w:sz w:val="20"/>
                <w:szCs w:val="20"/>
                <w:color w:val="auto"/>
              </w:rPr>
            </w:pPr>
            <w:r>
              <w:rPr>
                <w:rFonts w:ascii="Arial" w:cs="Arial" w:eastAsia="Arial" w:hAnsi="Arial"/>
                <w:sz w:val="18"/>
                <w:szCs w:val="18"/>
                <w:color w:val="auto"/>
              </w:rPr>
              <w:t>Other revenues from external</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(8,118)</w:t>
            </w:r>
          </w:p>
        </w:tc>
        <w:tc>
          <w:tcPr>
            <w:tcW w:w="120" w:type="dxa"/>
            <w:vAlign w:val="bottom"/>
          </w:tcPr>
          <w:p>
            <w:pPr>
              <w:spacing w:after="0"/>
              <w:rPr>
                <w:sz w:val="17"/>
                <w:szCs w:val="17"/>
                <w:color w:val="auto"/>
              </w:rPr>
            </w:pP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(2,163)</w:t>
            </w:r>
          </w:p>
        </w:tc>
        <w:tc>
          <w:tcPr>
            <w:tcW w:w="220" w:type="dxa"/>
            <w:vAlign w:val="bottom"/>
          </w:tcPr>
          <w:p>
            <w:pPr>
              <w:spacing w:after="0"/>
              <w:rPr>
                <w:sz w:val="17"/>
                <w:szCs w:val="17"/>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(10,281)</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(7,237)</w:t>
            </w:r>
          </w:p>
        </w:tc>
        <w:tc>
          <w:tcPr>
            <w:tcW w:w="12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customers (4)</w:t>
            </w: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location net retail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243,981</w:t>
            </w:r>
          </w:p>
        </w:tc>
        <w:tc>
          <w:tcPr>
            <w:tcW w:w="3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43,350</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287,331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248,746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40" w:type="dxa"/>
            <w:vAlign w:val="bottom"/>
          </w:tcPr>
          <w:p>
            <w:pPr>
              <w:spacing w:after="0" w:line="182" w:lineRule="exact"/>
              <w:rPr>
                <w:sz w:val="20"/>
                <w:szCs w:val="20"/>
                <w:color w:val="auto"/>
              </w:rPr>
            </w:pPr>
            <w:r>
              <w:rPr>
                <w:rFonts w:ascii="Arial" w:cs="Arial" w:eastAsia="Arial" w:hAnsi="Arial"/>
                <w:sz w:val="18"/>
                <w:szCs w:val="18"/>
                <w:color w:val="auto"/>
              </w:rPr>
              <w:t>Store contribution as a percentage of</w:t>
            </w:r>
          </w:p>
        </w:tc>
        <w:tc>
          <w:tcPr>
            <w:tcW w:w="16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5"/>
                <w:szCs w:val="15"/>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5"/>
                <w:szCs w:val="15"/>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40" w:type="dxa"/>
            <w:vAlign w:val="bottom"/>
          </w:tcPr>
          <w:p>
            <w:pPr>
              <w:ind w:left="320"/>
              <w:spacing w:after="0" w:line="190" w:lineRule="exact"/>
              <w:rPr>
                <w:sz w:val="20"/>
                <w:szCs w:val="20"/>
                <w:color w:val="auto"/>
              </w:rPr>
            </w:pPr>
            <w:r>
              <w:rPr>
                <w:rFonts w:ascii="Arial" w:cs="Arial" w:eastAsia="Arial" w:hAnsi="Arial"/>
                <w:sz w:val="18"/>
                <w:szCs w:val="18"/>
                <w:color w:val="auto"/>
              </w:rPr>
              <w:t>store location net retail sales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Total net income (loss) as a percentage</w:t>
            </w:r>
          </w:p>
        </w:tc>
        <w:tc>
          <w:tcPr>
            <w:tcW w:w="16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(30.5%)</w:t>
            </w:r>
          </w:p>
        </w:tc>
        <w:tc>
          <w:tcPr>
            <w:tcW w:w="2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CEEFF"/>
          </w:tcPr>
          <w:p>
            <w:pPr>
              <w:spacing w:after="0"/>
              <w:rPr>
                <w:sz w:val="15"/>
                <w:szCs w:val="15"/>
                <w:color w:val="auto"/>
              </w:rPr>
            </w:pPr>
          </w:p>
        </w:tc>
        <w:tc>
          <w:tcPr>
            <w:tcW w:w="12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right w:val="single" w:sz="8" w:color="CCEEFF"/>
            </w:tcBorders>
            <w:shd w:val="clear" w:color="auto" w:fill="CCEEFF"/>
          </w:tcPr>
          <w:p>
            <w:pPr>
              <w:ind w:left="480"/>
              <w:spacing w:after="0" w:line="190" w:lineRule="exact"/>
              <w:rPr>
                <w:sz w:val="20"/>
                <w:szCs w:val="20"/>
                <w:color w:val="auto"/>
              </w:rPr>
            </w:pPr>
            <w:r>
              <w:rPr>
                <w:rFonts w:ascii="Arial" w:cs="Arial" w:eastAsia="Arial" w:hAnsi="Arial"/>
                <w:sz w:val="18"/>
                <w:szCs w:val="18"/>
                <w:color w:val="auto"/>
              </w:rPr>
              <w:t>of total revenues</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40" w:hanging="432"/>
        <w:spacing w:after="0" w:line="28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and administrative expense consists primarily of non-store related expenses such as management compensation, travel, information systems, accounting, purchasing and legal costs. Additionally, non-store related depreciation and amortization, store closing and pre-opening expenses are included within general and administrative expense as well as certain intercompany charges in Europe. Further, general and administrative expenses include marketing costs, primarily payroll and related benefits expense, but exclude advertising expenses, which are included in store contribution.</w:t>
      </w:r>
    </w:p>
    <w:p>
      <w:pPr>
        <w:spacing w:after="0" w:line="1" w:lineRule="exact"/>
        <w:rPr>
          <w:rFonts w:ascii="Arial" w:cs="Arial" w:eastAsia="Arial" w:hAnsi="Arial"/>
          <w:sz w:val="16"/>
          <w:szCs w:val="16"/>
          <w:color w:val="auto"/>
        </w:rPr>
      </w:pPr>
    </w:p>
    <w:p>
      <w:pPr>
        <w:ind w:left="460" w:right="180" w:hanging="43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retail activities are comprised primarily of our e-commerce sites, stores not open for the full year and adjustments to deferred revenue related to our loyalty program and gift card breakage.</w:t>
      </w:r>
    </w:p>
    <w:p>
      <w:pPr>
        <w:ind w:left="460" w:right="640" w:hanging="432"/>
        <w:spacing w:after="0" w:line="26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contribution includes commercial revenue, international franchising and intercompany revenues as well as all expenses attributable to the commercial and international franchising segments, excluding interest expense (income) and income tax expense (benefit).</w:t>
      </w:r>
    </w:p>
    <w:p>
      <w:pPr>
        <w:ind w:left="460" w:hanging="43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revenues from external customers are comprised of commercial revenue and international 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-1236980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20" w:right="560" w:firstLine="486"/>
        <w:spacing w:after="0" w:line="264" w:lineRule="auto"/>
        <w:rPr>
          <w:sz w:val="20"/>
          <w:szCs w:val="20"/>
          <w:color w:val="auto"/>
        </w:rPr>
      </w:pPr>
      <w:r>
        <w:rPr>
          <w:rFonts w:ascii="Arial" w:cs="Arial" w:eastAsia="Arial" w:hAnsi="Arial"/>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 Additionally, we have access to additional cash through a revolving line of credit that has been in place since 2000.</w:t>
      </w:r>
    </w:p>
    <w:p>
      <w:pPr>
        <w:spacing w:after="0" w:line="181" w:lineRule="exact"/>
        <w:rPr>
          <w:sz w:val="20"/>
          <w:szCs w:val="20"/>
          <w:color w:val="auto"/>
        </w:rPr>
      </w:pPr>
    </w:p>
    <w:p>
      <w:pPr>
        <w:ind w:left="20" w:right="100" w:firstLine="441"/>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$9.7 million and $21.1 million in fiscal years 2018 and 2017, respectively.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from operating activities decreased in fiscal 2018 as compared to 2017 primarily due to a decrease in net income, partially offset by the timing of payments and lower gift cards and deposits balances.</w:t>
      </w:r>
    </w:p>
    <w:p>
      <w:pPr>
        <w:spacing w:after="0" w:line="181" w:lineRule="exact"/>
        <w:rPr>
          <w:sz w:val="20"/>
          <w:szCs w:val="20"/>
          <w:color w:val="auto"/>
        </w:rPr>
      </w:pPr>
    </w:p>
    <w:p>
      <w:pPr>
        <w:ind w:left="20" w:right="80" w:firstLine="441"/>
        <w:spacing w:after="0" w:line="259"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flows used in investing activities were $11.3 million and $17.8 million in fiscal years 2018 and 2017, respectively. Cash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investing activities in fiscal 2018 decreased as compared to fiscal 2017 primarily related to the prior year refresh and repositioning of stores in our Discovery format, and the upgrades of central office information technology systems including the relaunched web platform and the new enterprise resource planning system.</w:t>
      </w:r>
    </w:p>
    <w:p>
      <w:pPr>
        <w:spacing w:after="0" w:line="187" w:lineRule="exact"/>
        <w:rPr>
          <w:sz w:val="20"/>
          <w:szCs w:val="20"/>
          <w:color w:val="auto"/>
        </w:rPr>
      </w:pPr>
    </w:p>
    <w:p>
      <w:pPr>
        <w:jc w:val="both"/>
        <w:ind w:left="20" w:right="560" w:firstLine="441"/>
        <w:spacing w:after="0" w:line="264"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$2.5 million and $4.8 million in fiscal years 2018 and 2017, respectively. Borrowings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repayment in full under our credit facility was $3.3 million higher in fiscal 2018 as compared to fiscal 2017. We had stock repurchases of $2.2 million and $4.2 million in fiscal years 2018 and 2017, respectively.</w:t>
      </w:r>
    </w:p>
    <w:p>
      <w:pPr>
        <w:spacing w:after="0" w:line="181"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i w:val="1"/>
          <w:iCs w:val="1"/>
          <w:color w:val="auto"/>
        </w:rPr>
        <w:t xml:space="preserve">Five weeks ended February 3, 2018: </w:t>
      </w:r>
      <w:r>
        <w:rPr>
          <w:rFonts w:ascii="Arial" w:cs="Arial" w:eastAsia="Arial" w:hAnsi="Arial"/>
          <w:sz w:val="18"/>
          <w:szCs w:val="18"/>
          <w:color w:val="auto"/>
        </w:rPr>
        <w:t>Cash used by operating activities was $2.9 million for the five weeks ended February 3, 2018.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cash from operating activities are driven by changes in net income (loss) and changes in operating assets and liabilities. Cash used in investing activities was $1.3 million for the five weeks ended February 3, 2018 and primarily related to store construction and upgrades and purchases of information technology infrastructure. Financing activities used cash of $4.7 million for the five weeks ended February 3, 2018, primarily related to $4.7 million of purchases in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4" w:right="239" w:bottom="815" w:gutter="0" w:footer="0" w:header="0"/>
        </w:sectPr>
      </w:pPr>
    </w:p>
    <w:bookmarkStart w:id="24" w:name="page25"/>
    <w:bookmarkEnd w:id="24"/>
    <w:p>
      <w:pPr>
        <w:ind w:left="460"/>
        <w:spacing w:after="0"/>
        <w:rPr>
          <w:sz w:val="20"/>
          <w:szCs w:val="20"/>
          <w:color w:val="auto"/>
        </w:rPr>
      </w:pPr>
      <w:r>
        <w:rPr>
          <w:rFonts w:ascii="Arial" w:cs="Arial" w:eastAsia="Arial" w:hAnsi="Arial"/>
          <w:sz w:val="16"/>
          <w:szCs w:val="16"/>
          <w:i w:val="1"/>
          <w:iCs w:val="1"/>
          <w:color w:val="auto"/>
        </w:rPr>
        <w:t>Capital Resources</w:t>
      </w:r>
      <w:r>
        <w:rPr>
          <w:rFonts w:ascii="Arial" w:cs="Arial" w:eastAsia="Arial" w:hAnsi="Arial"/>
          <w:sz w:val="16"/>
          <w:szCs w:val="16"/>
          <w:color w:val="auto"/>
        </w:rPr>
        <w:t>. As of February 2, 2019, we had a cash balance of $17.9 million, of which nearly 40% was domiciled outside of the United States.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noted above, we also have a line of credit, which we can use to finance capital expenditures and working capital needs throughout the year.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detailed in Note 9 — Line of Credit, we entered into the eighteenth amendment on December 14, 2018 and the nineteenth amendment on April 16,</w:t>
      </w:r>
    </w:p>
    <w:p>
      <w:pPr>
        <w:spacing w:after="0" w:line="46"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2019 with our lender. The amendments, among other things, decreased the interest rate, modified the required fixed charge coverage ratio and the funded debt ratio as well as measurement dates, established minimums for cumulative earnings before interest, depreciation and amortizations (“EBITDA”) and liquidity, addressed the impact of the new accounting lease standard and updated fees.</w:t>
      </w:r>
    </w:p>
    <w:p>
      <w:pPr>
        <w:spacing w:after="0" w:line="190"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Under the nineteenth amendment, the bank line provides availability of up to $35 million. Borrowings under the credit agreement are secured by our assets and a pledge of 66% of our ownership interest in certain of our foreign subsidiaries. The credit agreement expires on December 31,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Borrowings bear interest at LIBOR plus 1.25%. Financial covenants include maintaining minimum thresholds for cumulative earnings before interest, depreciation and amortizations (“EBITDA”) and liquidity for the first three quarters of fiscal 2019 (as defined by the credit agreement), maintaining a minimum fixed charge coverage ratio effective in the fourth quarter of fiscal 2019 (as defined in the credit agreement) and not exceeding a maximum funded debt to EBITDA ratio. As of the end of fiscal 2018 under the credit agreement as currently amended: (i) we were in compliance with all covenants; (ii) there were no borrowings under the line of credit; and (iii) there was $35.0 million available for borrowing under the line of credit.</w:t>
      </w:r>
    </w:p>
    <w:p>
      <w:pPr>
        <w:spacing w:after="0" w:line="178" w:lineRule="exact"/>
        <w:rPr>
          <w:sz w:val="20"/>
          <w:szCs w:val="20"/>
          <w:color w:val="auto"/>
        </w:rPr>
      </w:pPr>
    </w:p>
    <w:p>
      <w:pPr>
        <w:ind w:left="20" w:right="60" w:firstLine="441"/>
        <w:spacing w:after="0" w:line="288" w:lineRule="auto"/>
        <w:rPr>
          <w:sz w:val="20"/>
          <w:szCs w:val="20"/>
          <w:color w:val="auto"/>
        </w:rPr>
      </w:pPr>
      <w:r>
        <w:rPr>
          <w:rFonts w:ascii="Arial" w:cs="Arial" w:eastAsia="Arial" w:hAnsi="Arial"/>
          <w:sz w:val="16"/>
          <w:szCs w:val="16"/>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Recently, we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69" w:lineRule="exact"/>
        <w:rPr>
          <w:sz w:val="20"/>
          <w:szCs w:val="20"/>
          <w:color w:val="auto"/>
        </w:rPr>
      </w:pPr>
    </w:p>
    <w:p>
      <w:pPr>
        <w:ind w:left="20" w:right="240" w:firstLine="441"/>
        <w:spacing w:after="0" w:line="279" w:lineRule="auto"/>
        <w:rPr>
          <w:sz w:val="20"/>
          <w:szCs w:val="20"/>
          <w:color w:val="auto"/>
        </w:rPr>
      </w:pPr>
      <w:r>
        <w:rPr>
          <w:rFonts w:ascii="Arial" w:cs="Arial" w:eastAsia="Arial" w:hAnsi="Arial"/>
          <w:sz w:val="17"/>
          <w:szCs w:val="17"/>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quarterly and paid in advance.</w:t>
      </w:r>
    </w:p>
    <w:p>
      <w:pPr>
        <w:spacing w:after="0" w:line="171" w:lineRule="exact"/>
        <w:rPr>
          <w:sz w:val="20"/>
          <w:szCs w:val="20"/>
          <w:color w:val="auto"/>
        </w:rPr>
      </w:pPr>
    </w:p>
    <w:p>
      <w:pPr>
        <w:ind w:left="20" w:right="860" w:firstLine="441"/>
        <w:spacing w:after="0" w:line="308" w:lineRule="auto"/>
        <w:rPr>
          <w:sz w:val="20"/>
          <w:szCs w:val="20"/>
          <w:color w:val="auto"/>
        </w:rPr>
      </w:pPr>
      <w:r>
        <w:rPr>
          <w:rFonts w:ascii="Arial" w:cs="Arial" w:eastAsia="Arial" w:hAnsi="Arial"/>
          <w:sz w:val="17"/>
          <w:szCs w:val="17"/>
          <w:color w:val="auto"/>
        </w:rPr>
        <w:t>In fiscal 2019, we expect to spend approximately $10 million to $15 million on capital expenditures. Capital spending in fiscal 2018 totaled $11.3 million, primarily to support new store openings, refresh of store formats or the repositioning of locations and IT infrastructure.</w:t>
      </w:r>
    </w:p>
    <w:p>
      <w:pPr>
        <w:spacing w:after="0" w:line="147" w:lineRule="exact"/>
        <w:rPr>
          <w:sz w:val="20"/>
          <w:szCs w:val="20"/>
          <w:color w:val="auto"/>
        </w:rPr>
      </w:pPr>
    </w:p>
    <w:p>
      <w:pPr>
        <w:ind w:left="20" w:right="260" w:firstLine="441"/>
        <w:spacing w:after="0" w:line="312" w:lineRule="auto"/>
        <w:rPr>
          <w:sz w:val="20"/>
          <w:szCs w:val="20"/>
          <w:color w:val="auto"/>
        </w:rPr>
      </w:pPr>
      <w:r>
        <w:rPr>
          <w:rFonts w:ascii="Arial" w:cs="Arial" w:eastAsia="Arial" w:hAnsi="Arial"/>
          <w:sz w:val="16"/>
          <w:szCs w:val="16"/>
          <w:color w:val="auto"/>
        </w:rPr>
        <w:t>In August 2017, our Board of Directors adopted a share repurchase program authorizing the repurchase of up to $20 million of our common stock. From the date of the program approval through February 2, 2019, we repurchased a total of 1.3 million shares at an average price of $8.75 per share for an aggregate amount of $11.2 million. As of February 2, 2019, we had $8.8 million of availability under the 2017 Share Repurchase Programs.</w:t>
      </w:r>
    </w:p>
    <w:p>
      <w:pPr>
        <w:spacing w:after="0" w:line="147"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20" w:right="120" w:firstLine="486"/>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However, we can provide no assurance that our business will not be affected by inflation in the future.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20" w:top="584" w:right="279" w:bottom="1440" w:gutter="0" w:footer="0" w:header="0"/>
        </w:sectPr>
      </w:pPr>
    </w:p>
    <w:bookmarkStart w:id="25" w:name="page26"/>
    <w:bookmarkEnd w:id="25"/>
    <w:p>
      <w:pPr>
        <w:jc w:val="both"/>
        <w:ind w:right="20"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accordance with ASC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Fair value is calculated as the present value of estimated future cash flows for each asset group. The calculation of fair value could increase or decrease depending on changes in the inputs and assumptions used, such as changes in the financial performance of the asset group, future growth rate and discount rate.</w:t>
      </w:r>
    </w:p>
    <w:p>
      <w:pPr>
        <w:spacing w:after="0" w:line="178"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For purposes of evaluating store assets for impairment, we have determined that each store location is an asset group.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the full year’s results. We consider a historical and/or projected negative cash flow trend for a store location to be an indicator that the carrying value of that asset group may not be recoverable. Impairment charges related to this assessment are typically included in cost of merchandise sold – retail as a component of income (loss) before income taxes in the DTC segment. As a result of our 2018 review, we determined that certain stores would not be able to recover the carrying value of certain store assets through expected undiscounted cash flows over the remaining life of the related assets. Accordingly, we reduced the carrying value of the assets to fair value, calculated as the present value of estimated future cash flows for each asset group and recorded store asset impairment charges of $5.2 million in fiscal 2018 and less than $0.1 million in the fiscal 2017. In addition, store asset impairment charges were disclosed as a separate component of income (loss) before income taxes.</w:t>
      </w:r>
    </w:p>
    <w:p>
      <w:pPr>
        <w:spacing w:after="0" w:line="188"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 Asset impairment charges resulting from these assessments totaled $0.7 million and $0.1 million in fiscal 2018 and fiscal 2017, respectively, and are included in selling, general and administrative expenses as a component of income before income taxes in the DTC segment.</w:t>
      </w:r>
    </w:p>
    <w:p>
      <w:pPr>
        <w:spacing w:after="0" w:line="188"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The assumptions used in future calculations of fair value may change significantly which could result in further impairment charges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Revenue to the consolidated financial statements for additional accounting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consider the Company’s ability to carry back its tax losses or credits for refunds, the availability of tax planning strategies and reversals of existing taxable temporary differences as well as projections of future taxable income. As we have incurred a cumulative book loss in the U.K. over the three-year period ended February 2, 2019, we evaluated the realizability of our UK deferred tax assets. We performed an analysis of all available positive and negative evidence. The three-year cumulative loss is a significant piece of negative evidence. We are required to give objective historical evidence more weight than subjective evidence, such as forecasts of future income. Accordingly, in the fourth quarter of fiscal 2018, the Company recorded a $3.7 million valuation allowance on its U.K. deferred tax assets.</w:t>
      </w:r>
    </w:p>
    <w:p>
      <w:pPr>
        <w:spacing w:after="0" w:line="183"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February 2, 2019 and December 30, 2017.</w:t>
      </w:r>
    </w:p>
    <w:p>
      <w:pPr>
        <w:spacing w:after="0" w:line="15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On December 22, 2017, the Act was enacted, which significantly changes U.S. tax law by, among other things, lowering corporate income tax rates, implementing a territorial tax system and imposing a repatriation tax on deemed repatriated earnings of foreign subsidiaries. The Act permanently reduces the U.S. federal statutory tax rate to 21%, effective January 1, 2018. The Act also provided for a one-time deemed repatriation of post-1986 undistributed foreign subsidiary earnings and profits (“E&amp;P”) through the year ended December 30, 2017. Under SAB 118, we recorded a provisional tax charge of $1.4 million for the re-measurement of our U.S. net deferred tax assets and estimated no cost for this one-time deemed repatriation in our consolidated financial statements in fiscal 2017. We have completed our analysis based on legislative updates relating to the Act currently available, which resulted in a tax benefit of $0.2 million for fiscal 2018. A favorable adjustment of $0.1 million was recorded for the revaluation of deferred tax assets and liabilities. In addition, a favorable adjustment of $0.1 million was recorded for the impact of the one-time deemed repatriation of undistributed foreign subsidiary E&amp;P.</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20" w:top="580"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for additional information.</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February 2, 2019, the end of the period covered by this Annual Report.</w:t>
      </w:r>
    </w:p>
    <w:p>
      <w:pPr>
        <w:spacing w:after="0" w:line="192"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February 2,</w:t>
      </w:r>
    </w:p>
    <w:p>
      <w:pPr>
        <w:spacing w:after="0" w:line="292" w:lineRule="auto"/>
        <w:rPr>
          <w:sz w:val="20"/>
          <w:szCs w:val="20"/>
          <w:color w:val="auto"/>
        </w:rPr>
      </w:pPr>
      <w:r>
        <w:rPr>
          <w:rFonts w:ascii="Arial" w:cs="Arial" w:eastAsia="Arial" w:hAnsi="Arial"/>
          <w:sz w:val="16"/>
          <w:szCs w:val="16"/>
          <w:color w:val="auto"/>
        </w:rPr>
        <w:t>2019.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6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(2013 framework). Based upon this evaluation, our management has concluded that our internal control over financial reporting as of February 2, 2019 is effective.</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There were no changes in internal control over financial reporting (as defined in Exchange Act Rules 13a-15(f) and 15d-15(f)) that occurred during the fiscal 2018 fourth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8" w:name="page29"/>
    <w:bookmarkEnd w:id="28"/>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 the Shareholders and the Board of Directors of Build-A-Bear Workshop,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Build-A-Bear Workshop, Inc. and Subsidiaries’ internal control over financial reporting as of February 2, 2019, based on criteria established in Internal Control – Integrated Framework issued by the Committee of Sponsoring Organizations of the Treadway Commission (2013 framework) (the COSO criteria). In our opinion, Build-A-Bear Workshop, Inc. and Subsidiaries (the Company) maintained, in all material respects, effective internal control over financial reporting as of February 2, 2019, based on the COSO criteria.</w:t>
      </w:r>
    </w:p>
    <w:p>
      <w:pPr>
        <w:spacing w:after="0" w:line="18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Build-A-Bear Workshop, Inc. and Subsidiaries (collectively, the Company) as of February 2, 2019 and December 30, 2017, the related consolidated statements of operations and comprehensive income (loss), cash flows, and stockholders’ equity for the year ended February 2, 2019 and the year ended December 30, 2017 and the consolidated statements of operations and comprehensive income (loss), cash flows and stockholders’ equity for the five week transition period ended February 3, 2018 and the related notes and the financial statement schedule listed in the Index at Item 15(a)(2) and our report dated April 18, 2019 expressed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20" w:top="580" w:right="359" w:bottom="1440" w:gutter="0" w:footer="0" w:header="0"/>
        </w:sectPr>
      </w:pPr>
    </w:p>
    <w:bookmarkStart w:id="29" w:name="page30"/>
    <w:bookmarkEnd w:id="29"/>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right="280" w:firstLine="486"/>
        <w:spacing w:after="0" w:line="259" w:lineRule="auto"/>
        <w:rPr>
          <w:sz w:val="20"/>
          <w:szCs w:val="20"/>
          <w:color w:val="auto"/>
        </w:rPr>
      </w:pPr>
      <w:r>
        <w:rPr>
          <w:rFonts w:ascii="Arial" w:cs="Arial" w:eastAsia="Arial" w:hAnsi="Arial"/>
          <w:sz w:val="18"/>
          <w:szCs w:val="18"/>
          <w:color w:val="auto"/>
        </w:rPr>
        <w:t>Information concerning directors, appearing in the sections titled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Stockholders scheduled to be held on June 6, 2019,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information appearing in the sections titled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Sharon Price John</w:t>
      </w:r>
      <w:r>
        <w:rPr>
          <w:rFonts w:ascii="Arial" w:cs="Arial" w:eastAsia="Arial" w:hAnsi="Arial"/>
          <w:sz w:val="17"/>
          <w:szCs w:val="17"/>
          <w:color w:val="auto"/>
        </w:rPr>
        <w:t>, 55, was appointed to the Board of Directors on June 3, 2013, in connection with her employment as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Bear of the Company. Effective March 2016, she now holds the title of President and Chief Executive Officer.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Eric Fencl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56, joined Build-A-Bear Workshop in July 2008 as Chief Bearrister—General Counsel. Effective October 2015, he now holds the title of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he held legal positions at Monsanto Company, McDonnell Douglas Corporation and Bryan Cave LLP. Mr. Fencl began his career as an auditor with Arthur Young &amp; Company.</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J. Christopher Hurt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 joined Build-A-Bear Workshop in April 2015 as Chief Operations Officer. Prior to joining the Company, Mr. Hurt was at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Jennifer Kretchmar</w:t>
      </w:r>
      <w:r>
        <w:rPr>
          <w:rFonts w:ascii="Arial" w:cs="Arial" w:eastAsia="Arial" w:hAnsi="Arial"/>
          <w:sz w:val="18"/>
          <w:szCs w:val="18"/>
          <w:color w:val="auto"/>
        </w:rPr>
        <w:t>, 46, joined Build-A-Bear Workshop in August 2014 as Chief Product Officer and Innovation Bear. Effective March 2016, she now holds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title of Chief Merchandising Officer. Prior to joining the Company, Ms. 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Voin Todorovic</w:t>
      </w:r>
      <w:r>
        <w:rPr>
          <w:rFonts w:ascii="Arial" w:cs="Arial" w:eastAsia="Arial" w:hAnsi="Arial"/>
          <w:sz w:val="17"/>
          <w:szCs w:val="17"/>
          <w:color w:val="auto"/>
        </w:rPr>
        <w:t>, 44, joined Build-A-Bear Workshop in September 2014 as Chief Financial Officer. Prior to joining the Company, Mr. Todorovic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employed at Wolverine World Wide, Inc., a leading global footwear and apparel company, where since September 2013 he served as the head of finance and operations for its Lifestyle Group, which includes a portfolio of iconic brands such as Sperry Top-Sider®, Hush Puppies®, Keds®, and Stride Rite®. From 2011 to 2013 he was Vice President—Finance and Administration of the Stride Rite Children’s Group business, operating in wholesale, direct to consumer and international franchising, and from 2010 to 2011 he was Vice President of the Performance + Lifestyle Group. Prior to his tenure at Wolverine World Wide he held positions of increasing responsibility at Collective Brands, Inc. and Payless ShoeSource.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left="1000" w:right="34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220"/>
          </w:cols>
          <w:pgMar w:left="240" w:top="58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Plan category</w:t>
      </w:r>
    </w:p>
    <w:p>
      <w:pPr>
        <w:spacing w:after="0" w:line="200" w:lineRule="exact"/>
        <w:rPr>
          <w:sz w:val="20"/>
          <w:szCs w:val="20"/>
          <w:color w:val="auto"/>
        </w:rPr>
      </w:pPr>
    </w:p>
    <w:p>
      <w:pPr>
        <w:spacing w:after="0" w:line="367" w:lineRule="exact"/>
        <w:rPr>
          <w:sz w:val="20"/>
          <w:szCs w:val="20"/>
          <w:color w:val="auto"/>
        </w:rPr>
      </w:pPr>
    </w:p>
    <w:p>
      <w:pPr>
        <w:ind w:left="1440"/>
        <w:spacing w:after="0" w:line="258"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126"/>
        </w:trPr>
        <w:tc>
          <w:tcPr>
            <w:tcW w:w="14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90"/>
        </w:trPr>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126"/>
        </w:trPr>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90"/>
        </w:trPr>
        <w:tc>
          <w:tcPr>
            <w:tcW w:w="14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6"/>
              </w:rPr>
              <w:t>be issued upon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7"/>
              </w:rPr>
              <w:t>exercise price of</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126"/>
        </w:trPr>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90"/>
        </w:trPr>
        <w:tc>
          <w:tcPr>
            <w:tcW w:w="14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outstanding</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reflected in</w:t>
            </w:r>
          </w:p>
        </w:tc>
        <w:tc>
          <w:tcPr>
            <w:tcW w:w="0" w:type="dxa"/>
            <w:vAlign w:val="bottom"/>
          </w:tcPr>
          <w:p>
            <w:pPr>
              <w:spacing w:after="0"/>
              <w:rPr>
                <w:sz w:val="1"/>
                <w:szCs w:val="1"/>
                <w:color w:val="auto"/>
              </w:rPr>
            </w:pPr>
          </w:p>
        </w:tc>
      </w:tr>
      <w:tr>
        <w:trPr>
          <w:trHeight w:val="234"/>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rights</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736"/>
        </w:trPr>
        <w:tc>
          <w:tcPr>
            <w:tcW w:w="1460" w:type="dxa"/>
            <w:vAlign w:val="bottom"/>
          </w:tcPr>
          <w:p>
            <w:pPr>
              <w:jc w:val="right"/>
              <w:spacing w:after="0"/>
              <w:rPr>
                <w:sz w:val="20"/>
                <w:szCs w:val="20"/>
                <w:color w:val="auto"/>
              </w:rPr>
            </w:pPr>
            <w:r>
              <w:rPr>
                <w:rFonts w:ascii="Arial" w:cs="Arial" w:eastAsia="Arial" w:hAnsi="Arial"/>
                <w:sz w:val="18"/>
                <w:szCs w:val="18"/>
                <w:color w:val="auto"/>
              </w:rPr>
              <w:t>950,678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529,098</w:t>
            </w:r>
          </w:p>
        </w:tc>
        <w:tc>
          <w:tcPr>
            <w:tcW w:w="0" w:type="dxa"/>
            <w:vAlign w:val="bottom"/>
          </w:tcPr>
          <w:p>
            <w:pPr>
              <w:spacing w:after="0"/>
              <w:rPr>
                <w:sz w:val="1"/>
                <w:szCs w:val="1"/>
                <w:color w:val="auto"/>
              </w:rPr>
            </w:pPr>
          </w:p>
        </w:tc>
      </w:tr>
      <w:tr>
        <w:trPr>
          <w:trHeight w:val="108"/>
        </w:trPr>
        <w:tc>
          <w:tcPr>
            <w:tcW w:w="1460" w:type="dxa"/>
            <w:vAlign w:val="bottom"/>
            <w:tcBorders>
              <w:bottom w:val="single" w:sz="8" w:color="auto"/>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 w:type="dxa"/>
            <w:vAlign w:val="bottom"/>
            <w:vMerge w:val="restart"/>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950,678</w:t>
            </w:r>
          </w:p>
        </w:tc>
        <w:tc>
          <w:tcPr>
            <w:tcW w:w="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60" w:type="dxa"/>
            <w:vAlign w:val="bottom"/>
            <w:vMerge w:val="continue"/>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529,098</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40" w:space="280"/>
            <w:col w:w="6000"/>
          </w:cols>
          <w:pgMar w:left="240" w:top="580" w:right="439" w:bottom="1440" w:gutter="0" w:footer="0" w:header="0"/>
          <w:type w:val="continuous"/>
        </w:sectPr>
      </w:pP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PART IV</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60" w:type="dxa"/>
            <w:vAlign w:val="bottom"/>
            <w:gridSpan w:val="14"/>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14"/>
          </w:tcPr>
          <w:p>
            <w:pPr>
              <w:ind w:left="4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14"/>
          </w:tcPr>
          <w:p>
            <w:pPr>
              <w:ind w:left="420"/>
              <w:spacing w:after="0"/>
              <w:rPr>
                <w:sz w:val="20"/>
                <w:szCs w:val="20"/>
                <w:color w:val="auto"/>
              </w:rPr>
            </w:pPr>
            <w:r>
              <w:rPr>
                <w:rFonts w:ascii="Arial" w:cs="Arial" w:eastAsia="Arial" w:hAnsi="Arial"/>
                <w:sz w:val="18"/>
                <w:szCs w:val="18"/>
                <w:color w:val="auto"/>
                <w:w w:val="90"/>
              </w:rPr>
              <w:t>The financial statements and schedules set forth below are filed on the indicated pages as part of this Annual Report on Form 10-K.</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9380" w:type="dxa"/>
            <w:vAlign w:val="bottom"/>
            <w:gridSpan w:val="13"/>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9380" w:type="dxa"/>
            <w:vAlign w:val="bottom"/>
            <w:gridSpan w:val="13"/>
            <w:vMerge w:val="continue"/>
          </w:tcPr>
          <w:p>
            <w:pPr>
              <w:spacing w:after="0"/>
              <w:rPr>
                <w:sz w:val="14"/>
                <w:szCs w:val="14"/>
                <w:color w:val="auto"/>
              </w:rPr>
            </w:pPr>
          </w:p>
        </w:tc>
        <w:tc>
          <w:tcPr>
            <w:tcW w:w="880" w:type="dxa"/>
            <w:vAlign w:val="bottom"/>
          </w:tcPr>
          <w:p>
            <w:pPr>
              <w:jc w:val="center"/>
              <w:spacing w:after="0" w:line="170" w:lineRule="exact"/>
              <w:rPr>
                <w:sz w:val="20"/>
                <w:szCs w:val="20"/>
                <w:color w:val="auto"/>
              </w:rPr>
            </w:pPr>
            <w:r>
              <w:rPr>
                <w:rFonts w:ascii="Arial" w:cs="Arial" w:eastAsia="Arial" w:hAnsi="Arial"/>
                <w:sz w:val="18"/>
                <w:szCs w:val="18"/>
                <w:color w:val="auto"/>
                <w:w w:val="89"/>
              </w:rPr>
              <w:t>28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Balance Sheets as of February 2, 2019 and December 30, 2017</w:t>
              </w:r>
            </w:hyperlink>
          </w:p>
        </w:tc>
        <w:tc>
          <w:tcPr>
            <w:tcW w:w="3820" w:type="dxa"/>
            <w:vAlign w:val="bottom"/>
            <w:gridSpan w:val="4"/>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380" w:type="dxa"/>
            <w:vAlign w:val="bottom"/>
            <w:gridSpan w:val="13"/>
          </w:tcPr>
          <w:p>
            <w:pPr>
              <w:spacing w:after="0" w:line="19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Consolidated Statements of Operations and Comprehensive Income (Loss) for the fiscal years ended February 2, 2019</w:t>
              </w:r>
            </w:hyperlink>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and December 30, 2017 and the five weeks ended February 3, 2018</w:t>
              </w:r>
            </w:hyperlink>
          </w:p>
        </w:tc>
        <w:tc>
          <w:tcPr>
            <w:tcW w:w="3400" w:type="dxa"/>
            <w:vAlign w:val="bottom"/>
            <w:tcBorders>
              <w:top w:val="single" w:sz="8" w:color="0000EE"/>
            </w:tcBorders>
            <w:gridSpan w:val="2"/>
          </w:tcPr>
          <w:p>
            <w:pPr>
              <w:spacing w:after="0"/>
              <w:rPr>
                <w:sz w:val="17"/>
                <w:szCs w:val="17"/>
                <w:color w:val="auto"/>
              </w:rPr>
            </w:pPr>
          </w:p>
        </w:tc>
        <w:tc>
          <w:tcPr>
            <w:tcW w:w="860" w:type="dxa"/>
            <w:vAlign w:val="bottom"/>
            <w:gridSpan w:val="3"/>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380" w:type="dxa"/>
            <w:vAlign w:val="bottom"/>
            <w:gridSpan w:val="13"/>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Consolidated Statements of Stockholders’ Equity for the fiscal years ended February 2, 2019 and December 30, 2017 and the five</w:t>
              </w:r>
            </w:hyperlink>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weeks ended February 3, 2018</w:t>
              </w:r>
            </w:hyperlink>
          </w:p>
        </w:tc>
        <w:tc>
          <w:tcPr>
            <w:tcW w:w="6920" w:type="dxa"/>
            <w:vAlign w:val="bottom"/>
            <w:tcBorders>
              <w:top w:val="single" w:sz="8" w:color="0000EE"/>
            </w:tcBorders>
            <w:gridSpan w:val="8"/>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9380" w:type="dxa"/>
            <w:vAlign w:val="bottom"/>
            <w:gridSpan w:val="13"/>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Consolidated Statements of Cash Flows for the fiscal years ended February 2, 2019 and December 30, 2017 and the five weeks</w:t>
              </w:r>
            </w:hyperlink>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ended February 3, 2018</w:t>
              </w:r>
            </w:hyperlink>
          </w:p>
        </w:tc>
        <w:tc>
          <w:tcPr>
            <w:tcW w:w="220" w:type="dxa"/>
            <w:vAlign w:val="bottom"/>
            <w:gridSpan w:val="2"/>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38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9380" w:type="dxa"/>
            <w:vAlign w:val="bottom"/>
            <w:gridSpan w:val="1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Schedule II - Valuation and Qualifying Accounts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0" w:type="dxa"/>
            <w:vAlign w:val="bottom"/>
            <w:gridSpan w:val="2"/>
          </w:tcPr>
          <w:p>
            <w:pPr>
              <w:spacing w:after="0"/>
              <w:rPr>
                <w:sz w:val="24"/>
                <w:szCs w:val="24"/>
                <w:color w:val="auto"/>
              </w:rPr>
            </w:pPr>
          </w:p>
        </w:tc>
        <w:tc>
          <w:tcPr>
            <w:tcW w:w="3500" w:type="dxa"/>
            <w:vAlign w:val="bottom"/>
            <w:tcBorders>
              <w:top w:val="single" w:sz="8" w:color="0000EE"/>
            </w:tcBorders>
            <w:gridSpan w:val="5"/>
          </w:tcPr>
          <w:p>
            <w:pPr>
              <w:spacing w:after="0"/>
              <w:rPr>
                <w:sz w:val="24"/>
                <w:szCs w:val="24"/>
                <w:color w:val="auto"/>
              </w:rPr>
            </w:pPr>
          </w:p>
        </w:tc>
        <w:tc>
          <w:tcPr>
            <w:tcW w:w="2040" w:type="dxa"/>
            <w:vAlign w:val="bottom"/>
            <w:gridSpan w:val="3"/>
          </w:tcPr>
          <w:p>
            <w:pPr>
              <w:jc w:val="right"/>
              <w:ind w:right="340"/>
              <w:spacing w:after="0"/>
              <w:rPr>
                <w:sz w:val="20"/>
                <w:szCs w:val="20"/>
                <w:color w:val="auto"/>
              </w:rPr>
            </w:pPr>
            <w:r>
              <w:rPr>
                <w:rFonts w:ascii="Arial" w:cs="Arial" w:eastAsia="Arial" w:hAnsi="Arial"/>
                <w:sz w:val="18"/>
                <w:szCs w:val="18"/>
                <w:color w:val="auto"/>
              </w:rPr>
              <w:t>27</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 the Shareholders and the Board of Directors of Build-A-Bear Workshop,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audited the accompanying consolidated balance sheets of Build-A-Bear Workshop, Inc. and Subsidiaries (collectively, the Company) as of February 2, 2019 and December 30, 2017, the related consolidated statements of operations and comprehensive income (loss), cash flows, and stockholders’ equity for the year ended February 2, 2019 and the year ended December 30, 2017 and the consolidated statements of operations and comprehensive income (loss), cash flows and stockholders’ equity for the five week transition period ended February 3, 2018,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February 2, 2019 and December 30 2017, and the results of its operations and its cash flows for the year ended February 2, 2019, the year ended December 30, 2017 and the five week transition period ended February 3, 2018, in conformity with U.S. generally accepted accounting principles.</w:t>
      </w:r>
    </w:p>
    <w:p>
      <w:pPr>
        <w:spacing w:after="0" w:line="17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2, 2019, based on criteria established in Internal Control-Integrated Framework issued by the Committee of Sponsoring Organizations of the Treadway Commission (2013 framework), and our report dated April 18,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recognition in the five week transition period ended February 3, 2018 and the year ended February 2, 2019 due to the adoption of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580" w:right="3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February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58,356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12,960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10,047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Deferred revenue and 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Preferred stock, par value $0.01, Shares authorized: 15,000,000; No shares issued or outstanding at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February 2, 2019 and December 30, 2017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320"/>
              <w:spacing w:after="0" w:line="201" w:lineRule="exact"/>
              <w:rPr>
                <w:sz w:val="20"/>
                <w:szCs w:val="20"/>
                <w:color w:val="auto"/>
              </w:rPr>
            </w:pPr>
            <w:r>
              <w:rPr>
                <w:rFonts w:ascii="Arial" w:cs="Arial" w:eastAsia="Arial" w:hAnsi="Arial"/>
                <w:sz w:val="18"/>
                <w:szCs w:val="18"/>
                <w:color w:val="auto"/>
                <w:w w:val="90"/>
              </w:rPr>
              <w:t>Common stock, par value $0.01, Shares authorized: 50,000,000; Issued and outstanding: 14,953,142 and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640"/>
              <w:spacing w:after="0"/>
              <w:rPr>
                <w:sz w:val="20"/>
                <w:szCs w:val="20"/>
                <w:color w:val="auto"/>
              </w:rPr>
            </w:pPr>
            <w:r>
              <w:rPr>
                <w:rFonts w:ascii="Arial" w:cs="Arial" w:eastAsia="Arial" w:hAnsi="Arial"/>
                <w:sz w:val="18"/>
                <w:szCs w:val="18"/>
                <w:color w:val="auto"/>
              </w:rPr>
              <w:t>15,515,960 shares, 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96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94,314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Fiscal year ended</w:t>
            </w:r>
          </w:p>
        </w:tc>
        <w:tc>
          <w:tcPr>
            <w:tcW w:w="10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Five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February 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December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326,304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349,408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International franchising</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357,866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186,834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185,460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Store asset impairment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Cost of merchandise sold - commercial</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international franchising</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Total cost of merchandise sold</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197,831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188,893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168,973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157,176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13,813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(17,933)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7,916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(1.23)</w:t>
            </w:r>
          </w:p>
        </w:tc>
        <w:tc>
          <w:tcPr>
            <w:tcW w:w="2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0.50</w:t>
            </w:r>
          </w:p>
        </w:tc>
        <w:tc>
          <w:tcPr>
            <w:tcW w:w="28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14,591,270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15,572,045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14,860,511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14,591,270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15,757,060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14,860,511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7"/>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paid-in</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Retained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16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earnings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43,679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and retirement</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issued under employee stock plans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Adoption of new accounting standards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Balance, December 30, 2017</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68,962</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49,760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Share repurchase and retirement</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Adoption of new accounting standards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9,253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Balance, February 3, 2018</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66,843</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55,909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Share repurchase and retirement</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3"/>
              </w:rPr>
              <w:t>Shares issued under employee stock plans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(17,933)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rPr>
              <w:t>Balance, February 2, 2019</w:t>
            </w:r>
          </w:p>
        </w:tc>
        <w:tc>
          <w:tcPr>
            <w:tcW w:w="14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69,088</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37,094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560" w:type="dxa"/>
            <w:vAlign w:val="bottom"/>
            <w:gridSpan w:val="14"/>
          </w:tcPr>
          <w:p>
            <w:pPr>
              <w:jc w:val="right"/>
              <w:ind w:right="880"/>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Fiscal year ended</w:t>
            </w:r>
          </w:p>
        </w:tc>
        <w:tc>
          <w:tcPr>
            <w:tcW w:w="8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Five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February 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December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4"/>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(17,933)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7,916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16,165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(10,484)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Lease related liabilities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(3,376)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21,088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(17,763)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Proceeds from property insurance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financing activities: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Proceeds from the exercise of employee stock options, net of withholding tax</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Borrowings under line of credit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under line of credit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Payments made under capital leases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Company’s common stock</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17,894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30,445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cash paid (received) during the period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3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ind w:left="20" w:firstLine="486"/>
        <w:spacing w:after="0" w:line="302" w:lineRule="auto"/>
        <w:rPr>
          <w:sz w:val="20"/>
          <w:szCs w:val="20"/>
          <w:color w:val="auto"/>
        </w:rPr>
      </w:pPr>
      <w:r>
        <w:rPr>
          <w:rFonts w:ascii="Arial" w:cs="Arial" w:eastAsia="Arial" w:hAnsi="Arial"/>
          <w:sz w:val="16"/>
          <w:szCs w:val="16"/>
          <w:color w:val="auto"/>
        </w:rPr>
        <w:t>Build-A-Bear Workshop, Inc. and subsidiaries (collectively, the “Company”) is a specialty retailer of plush animals and related products. The Company began operations in October 1997. The Company sells its products through its 373 corporately-managed locations operated primarily in leased mall locations in the United States (“U.S.”), Canada, China, Denmark, Ireland, Puerto Rico and the United Kingdom (“U.K.”) along with its e-commerce sites. With the exception of China, operations in foreign countries where the Company does not have corporately-managed locations are through franchise agreements.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consolidated financial statements have been prepared in accordance with accounting principles generally accepted in the</w:t>
      </w:r>
    </w:p>
    <w:p>
      <w:pPr>
        <w:spacing w:after="0" w:line="35" w:lineRule="exact"/>
        <w:rPr>
          <w:sz w:val="20"/>
          <w:szCs w:val="20"/>
          <w:color w:val="auto"/>
        </w:rPr>
      </w:pPr>
    </w:p>
    <w:p>
      <w:pPr>
        <w:ind w:left="20" w:right="100"/>
        <w:spacing w:after="0" w:line="255" w:lineRule="auto"/>
        <w:rPr>
          <w:sz w:val="20"/>
          <w:szCs w:val="20"/>
          <w:color w:val="auto"/>
        </w:rPr>
      </w:pPr>
      <w:r>
        <w:rPr>
          <w:rFonts w:ascii="Arial" w:cs="Arial" w:eastAsia="Arial" w:hAnsi="Arial"/>
          <w:sz w:val="18"/>
          <w:szCs w:val="18"/>
          <w:color w:val="auto"/>
        </w:rPr>
        <w:t>U.S. (“GAAP”). Certain amounts in prior fiscal periods have been reclassified to conform to current year presentation with no impact to the consolidated statement of operations (e.g. store preopening is included within selling, general and administrative and store impairment is disclosed separately from cost of merchandise sold —retail).</w:t>
      </w:r>
    </w:p>
    <w:p>
      <w:pPr>
        <w:spacing w:after="0" w:line="200" w:lineRule="exact"/>
        <w:rPr>
          <w:sz w:val="20"/>
          <w:szCs w:val="20"/>
          <w:color w:val="auto"/>
        </w:rPr>
      </w:pPr>
    </w:p>
    <w:p>
      <w:pPr>
        <w:spacing w:after="0" w:line="229" w:lineRule="exact"/>
        <w:rPr>
          <w:sz w:val="20"/>
          <w:szCs w:val="20"/>
          <w:color w:val="auto"/>
        </w:rPr>
      </w:pPr>
    </w:p>
    <w:p>
      <w:pPr>
        <w:ind w:left="460" w:hanging="43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20" w:right="46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left="20" w:right="20" w:firstLine="441"/>
        <w:spacing w:after="0" w:line="255" w:lineRule="auto"/>
        <w:rPr>
          <w:sz w:val="20"/>
          <w:szCs w:val="20"/>
          <w:color w:val="auto"/>
        </w:rPr>
      </w:pPr>
      <w:r>
        <w:rPr>
          <w:rFonts w:ascii="Arial" w:cs="Arial" w:eastAsia="Arial" w:hAnsi="Arial"/>
          <w:sz w:val="18"/>
          <w:szCs w:val="18"/>
          <w:color w:val="auto"/>
        </w:rPr>
        <w:t>The Company operates on a 52- or 53-week fiscal year ending on the Saturday closest to January 31. The periods presented in these financial statements are fiscal 2018 (52 weeks ended February 2, 2019) and fiscal 2017 (52 weeks ended December 30, 2017). References to years in these financial statements relate to fiscal years or year ends rather than calendar years. In January 2018, the Company’s Board of Directors approved a change in the Company’s fiscal year-end, which previously ended on the Saturday closest to December 31, to the Saturday closest to January 31. Accordingly, the Company is presenting audited financial statements for a five week transition period, December 31, 2017 through February 3, 2018. See Note 16 — Transition Period Financial Information for additional information.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20" w:right="40" w:firstLine="441"/>
        <w:spacing w:after="0" w:line="277"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w:t>
      </w:r>
    </w:p>
    <w:p>
      <w:pPr>
        <w:spacing w:after="0" w:line="170" w:lineRule="exact"/>
        <w:rPr>
          <w:sz w:val="20"/>
          <w:szCs w:val="20"/>
          <w:color w:val="auto"/>
        </w:rPr>
      </w:pPr>
    </w:p>
    <w:p>
      <w:pPr>
        <w:ind w:left="20" w:right="40" w:firstLine="441"/>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20" w:right="180" w:firstLine="441"/>
        <w:spacing w:after="0" w:line="312" w:lineRule="auto"/>
        <w:rPr>
          <w:sz w:val="20"/>
          <w:szCs w:val="20"/>
          <w:color w:val="auto"/>
        </w:rPr>
      </w:pPr>
      <w:r>
        <w:rPr>
          <w:rFonts w:ascii="Arial" w:cs="Arial" w:eastAsia="Arial" w:hAnsi="Arial"/>
          <w:sz w:val="16"/>
          <w:szCs w:val="16"/>
          <w:color w:val="auto"/>
        </w:rPr>
        <w:t>Inventories are stated at the lower of cost or net realizable value, with cost determined on an average-cost basis. Inventory includes supplies of $2.9 million and $2.7 million as of February 2, 2019 and December 30, 2017, respectively. A reserve for estimated shortage is accrued throughout the year based on detailed historical averages. The inventory reserve was $0.9 million and $1.0 million as of February 2, 2019 and December 30, 2017,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left="20" w:right="160" w:firstLine="441"/>
        <w:spacing w:after="0" w:line="302"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$5.4 million and $3.1 million as of February 2, 2019 and December 30, 2017, respectively.</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20" w:firstLine="441"/>
        <w:spacing w:after="0" w:line="271"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0" w:right="239" w:bottom="95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420" w:firstLine="441"/>
        <w:spacing w:after="0" w:line="259" w:lineRule="auto"/>
        <w:rPr>
          <w:sz w:val="20"/>
          <w:szCs w:val="20"/>
          <w:color w:val="auto"/>
        </w:rPr>
      </w:pPr>
      <w:r>
        <w:rPr>
          <w:rFonts w:ascii="Arial" w:cs="Arial" w:eastAsia="Arial" w:hAnsi="Arial"/>
          <w:sz w:val="18"/>
          <w:szCs w:val="18"/>
          <w:color w:val="auto"/>
        </w:rPr>
        <w:t>Other assets consist primarily of the non-current portion of prepaid income taxes, deferred leasing fees and deferred costs related to franchise agreements.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Long-lived Assets</w:t>
      </w:r>
    </w:p>
    <w:p>
      <w:pPr>
        <w:spacing w:after="0" w:line="21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performs an annual assessment of the store assets in the direct-to-consumer (“DTC”) segment, based on operating performance and forecasts of future performance. Total impairment charges were $5.9 million and $0.1 million in fiscal years 2018 and 2017, respectively and recorded within cost of merchandise sold and selling, general and administrative (See Note 5 – Property and Equipment for further discussion regarding the impairment of long-lived assets).</w:t>
      </w:r>
    </w:p>
    <w:p>
      <w:pPr>
        <w:spacing w:after="0" w:line="178"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 Revenue for additional accounting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ind w:left="20" w:right="40" w:firstLine="441"/>
        <w:spacing w:after="0" w:line="255" w:lineRule="auto"/>
        <w:rPr>
          <w:sz w:val="20"/>
          <w:szCs w:val="20"/>
          <w:color w:val="auto"/>
        </w:rPr>
      </w:pPr>
      <w:r>
        <w:rPr>
          <w:rFonts w:ascii="Arial" w:cs="Arial" w:eastAsia="Arial" w:hAnsi="Arial"/>
          <w:sz w:val="18"/>
          <w:szCs w:val="18"/>
          <w:color w:val="auto"/>
        </w:rPr>
        <w:t>Cost of merchandise sold - retail includes the cost of the merchandise, including royalties paid to licensors of third-party branded merchandise; store occupancy cost, including store depreciation and store asset impairment charges (See Note 5 – Property and Equipment for further discussion regarding the impairment of long-lived assets); cost of warehousing and distribution; packaging; stuffing; damages and shortages; and shipping and handling costs incurred in shipment to customers.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customers.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20" w:firstLine="441"/>
        <w:spacing w:after="0" w:line="293" w:lineRule="auto"/>
        <w:rPr>
          <w:sz w:val="20"/>
          <w:szCs w:val="20"/>
          <w:color w:val="auto"/>
        </w:rPr>
      </w:pPr>
      <w:r>
        <w:rPr>
          <w:rFonts w:ascii="Arial" w:cs="Arial" w:eastAsia="Arial" w:hAnsi="Arial"/>
          <w:sz w:val="16"/>
          <w:szCs w:val="16"/>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 In addition, bad debt expenses and accounts receivable related charges are recorded. Further, it includes store preopening expenses which represent costs incurred prior to store openings, remodels and relocations including certain store set-up, labor and hiring costs, rental charges, payroll, marketing, travel and relocation costs. These costs are expensed as incurred and are included in selling, general and administrative expenses.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left="20" w:right="620"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$16.5 million and $19.0 million for fiscal years 2018 and 2017,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8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Company assesses its total liability for uncertain tax positions on a quarterly basis. The Company recognizes estimated interest and penalties related to unrecognized tax benefits in income tax expense. See Note 8—Income Taxes for further discussion including the impact of the December 22, 2017 enactment of The Tax Cuts and Job Act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Per Share</w:t>
      </w:r>
    </w:p>
    <w:p>
      <w:pPr>
        <w:spacing w:after="0" w:line="225" w:lineRule="exact"/>
        <w:rPr>
          <w:sz w:val="20"/>
          <w:szCs w:val="20"/>
          <w:color w:val="auto"/>
        </w:rPr>
      </w:pPr>
    </w:p>
    <w:p>
      <w:pPr>
        <w:ind w:left="20" w:right="160" w:firstLine="441"/>
        <w:spacing w:after="0" w:line="302" w:lineRule="auto"/>
        <w:rPr>
          <w:sz w:val="20"/>
          <w:szCs w:val="20"/>
          <w:color w:val="auto"/>
        </w:rPr>
      </w:pPr>
      <w:r>
        <w:rPr>
          <w:rFonts w:ascii="Arial" w:cs="Arial" w:eastAsia="Arial" w:hAnsi="Arial"/>
          <w:sz w:val="16"/>
          <w:szCs w:val="16"/>
          <w:color w:val="auto"/>
        </w:rPr>
        <w:t>Under the two-class method, 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20" w:right="100" w:firstLine="441"/>
        <w:spacing w:after="0" w:line="257" w:lineRule="auto"/>
        <w:rPr>
          <w:sz w:val="20"/>
          <w:szCs w:val="20"/>
          <w:color w:val="auto"/>
        </w:rPr>
      </w:pPr>
      <w:r>
        <w:rPr>
          <w:rFonts w:ascii="Arial" w:cs="Arial" w:eastAsia="Arial" w:hAnsi="Arial"/>
          <w:sz w:val="18"/>
          <w:szCs w:val="18"/>
          <w:color w:val="auto"/>
        </w:rPr>
        <w:t>The Company has share-based compensation plans covering certain management groups and its Board of Directors. The Company accounts for share-based payments utilizing the fair value recognition provisions of ASC 718. The Company recognizes compensation cost for equity awards over the requisite service period for the entire award and forfeitures as they occur. See Note 12 — Stock Incentive Plans for additional information. Selling, general and administrative expense included $3.4 million for both fiscal years 2018 and 2017 and $0.2 million for the five weeks ended February 3, 2018, of stock-based compensation expense.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584" w:right="25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(loss) is comprised of net income (loss) and foreign currency translation adjustments.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February 2, 2019, the current portions of the assets and related liabilities of less than $0.1 million are presented in prepaid expenses and other current assets and accrued expenses in the accompanying consolidated balance sheets, and the non-current portions of the assets and the related liabilities of $1.0 million are presented in other assets, net and other liabilities in the accompanying consolidated balance sheets. As of December 30, 2017, the current portions of the assets and related liabilities of $0.1 million are presented in prepaid expenses and other current assets and accrued expenses in the accompanying consolidated balance sheets, and the non-current portions of the assets and the related liabilities of $1.0 million are presented in other assets, net and other liabilities in the accompanying consolidated balance sheets.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For purposes of financial reporting, management has determined that the fair value of financial instruments, including cash and cash equivalents, receivables, short term investments, accounts payable and accrued expenses, approximates book value at February 2, 2019 and December 30, 2017.</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w:t>
      </w:r>
    </w:p>
    <w:p>
      <w:pPr>
        <w:spacing w:after="0" w:line="2" w:lineRule="exact"/>
        <w:rPr>
          <w:sz w:val="20"/>
          <w:szCs w:val="20"/>
          <w:color w:val="auto"/>
        </w:rPr>
      </w:pPr>
    </w:p>
    <w:p>
      <w:pPr>
        <w:ind w:right="640"/>
        <w:spacing w:after="0" w:line="290" w:lineRule="auto"/>
        <w:rPr>
          <w:sz w:val="20"/>
          <w:szCs w:val="20"/>
          <w:color w:val="auto"/>
        </w:rPr>
      </w:pPr>
      <w:r>
        <w:rPr>
          <w:rFonts w:ascii="Arial" w:cs="Arial" w:eastAsia="Arial" w:hAnsi="Arial"/>
          <w:sz w:val="17"/>
          <w:szCs w:val="17"/>
          <w:color w:val="auto"/>
        </w:rPr>
        <w:t>Significant items subject to such estimates and assumptions include the calculation of revenue from gift card breakage, valuation of long-lived assets, including deferred income tax assets, and the determination of deferred revenue under the Company’s customer loyalty program.</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loss of $1.0 million in fiscal 2018, income of $1.6 million and $0.4 million in fiscal 2017 and for the five weeks ended February 3, 2018,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 – Adopted in the current year</w:t>
      </w:r>
    </w:p>
    <w:p>
      <w:pPr>
        <w:spacing w:after="0" w:line="225" w:lineRule="exact"/>
        <w:rPr>
          <w:sz w:val="20"/>
          <w:szCs w:val="20"/>
          <w:color w:val="auto"/>
        </w:rPr>
      </w:pPr>
    </w:p>
    <w:p>
      <w:pPr>
        <w:jc w:val="both"/>
        <w:ind w:right="300" w:firstLine="441"/>
        <w:spacing w:after="0" w:line="276"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2018-15, Intangibles-Goodwill and Other-Internal-Use Software (Subtopic 350-40). This standard amends the existing guidance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Company adopted this standard, in the third quarter of 2018, and it did not have a material impact on the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right="80" w:firstLine="441"/>
        <w:spacing w:after="0" w:line="255" w:lineRule="auto"/>
        <w:rPr>
          <w:sz w:val="20"/>
          <w:szCs w:val="20"/>
          <w:color w:val="auto"/>
        </w:rPr>
      </w:pPr>
      <w:r>
        <w:rPr>
          <w:rFonts w:ascii="Arial" w:cs="Arial" w:eastAsia="Arial" w:hAnsi="Arial"/>
          <w:sz w:val="18"/>
          <w:szCs w:val="18"/>
          <w:color w:val="auto"/>
        </w:rPr>
        <w:t>In March 2018, the FASB issued ASU 2018-05, Income Taxes (Topic 740)—Amendments to SEC Paragraphs Pursuant to SEC Staff Accounting Bulletin No. 118, that codified SEC Staff Accounting Bulletin (“SAB”) No. 118, as it relates to allowing for recognition of provisional amounts related to the Act in the event that the accounting is not complete and a reasonable estimate can be made. Where necessary information is not available, prepared, or analyzed to determine a reasonable estimate, no provisional amount should be recorded. The guidance allows for a measurement period of up to one year from the enactment date to finalize the accounting related to the Act. The Company has applied the guidance in this update to its financial statements for fiscal years 2017 and 2018 and recorded adjustments related to the Act within the one year measurement period. See Note 8 — Income Taxes for additional information.</w:t>
      </w:r>
    </w:p>
    <w:p>
      <w:pPr>
        <w:spacing w:after="0" w:line="189"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Effective December 31, 2017, the Company adopted the new revenue recognition guidance (Topic 606) and all the related amendments using the modified retrospective method for contracts that were not completed as of December 31, 2017. Topic 606 requires an entity to recognize revenue for the transfer of goods or services equal to the amount that it expects to be entitled to receive for those goods or services. The standard also requires additional disclosure about the nature, amount, timing and uncertainty of revenue and cash flows arising from customer contracts, including significant judgments and changes in judgments. Nearly all of the Company’s revenue is derived from retail sales (including e-commerce sites) and is recognized when control of the merchandise is transferred to the customer.</w:t>
      </w:r>
    </w:p>
    <w:p>
      <w:pPr>
        <w:spacing w:after="0" w:line="193"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Company’s most significant Topic 606 impact relates to accounting for gift card breakage. The Company's adjustment for gift card breakage reflects the impact of the change to recognize gift card breakage proportionately as gift card balances are used rather than when it is deemed remote that the unused gift card balance would be redeemed, as done for certain categories of gift cards under the previous standards. In addition, the Company has identified minor changes to the timing of revenues for certain outbound licensing arrangements and international franchise agreements.</w:t>
      </w:r>
    </w:p>
    <w:p>
      <w:pPr>
        <w:spacing w:after="0" w:line="171" w:lineRule="exact"/>
        <w:rPr>
          <w:sz w:val="20"/>
          <w:szCs w:val="20"/>
          <w:color w:val="auto"/>
        </w:rPr>
      </w:pPr>
    </w:p>
    <w:p>
      <w:pPr>
        <w:jc w:val="both"/>
        <w:ind w:right="200" w:firstLine="441"/>
        <w:spacing w:after="0" w:line="302" w:lineRule="auto"/>
        <w:rPr>
          <w:sz w:val="20"/>
          <w:szCs w:val="20"/>
          <w:color w:val="auto"/>
        </w:rPr>
      </w:pPr>
      <w:r>
        <w:rPr>
          <w:rFonts w:ascii="Arial" w:cs="Arial" w:eastAsia="Arial" w:hAnsi="Arial"/>
          <w:sz w:val="16"/>
          <w:szCs w:val="16"/>
          <w:color w:val="auto"/>
        </w:rPr>
        <w:t>As a result of this change, the Company expects a negative impact to revenue and pre-tax income with the remaining balance of the cumulative effect adjustment predominantly impacting fiscal years 2019 and 2020. The comparative historical financial information has not been restated and continues to be reported under the accounting standards in effect for those periods. As a result of applying the modified retrospective method to transition to Topic 606, the following adjustments were made to the consolidated balance sheet as of December 31, 2017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Balance as of</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Adjustments due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 as of</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20"/>
                <w:szCs w:val="20"/>
                <w:color w:val="auto"/>
              </w:rPr>
            </w:pPr>
          </w:p>
        </w:tc>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30, 2017</w:t>
            </w:r>
          </w:p>
        </w:tc>
        <w:tc>
          <w:tcPr>
            <w:tcW w:w="18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to Topic 606</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13,346</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assets</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Pr>
          <w:p>
            <w:pPr>
              <w:spacing w:after="0" w:line="256"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15,189</w:t>
            </w:r>
          </w:p>
        </w:tc>
        <w:tc>
          <w:tcPr>
            <w:tcW w:w="18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Gift cards and customer deposits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33,926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49,760</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9,253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Adjustment: liabilities and 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60" w:hanging="222"/>
        <w:spacing w:after="0"/>
        <w:tabs>
          <w:tab w:leader="none" w:pos="360" w:val="left"/>
        </w:tabs>
        <w:numPr>
          <w:ilvl w:val="0"/>
          <w:numId w:val="15"/>
        </w:numPr>
        <w:rPr>
          <w:rFonts w:ascii="Arial" w:cs="Arial" w:eastAsia="Arial" w:hAnsi="Arial"/>
          <w:sz w:val="27"/>
          <w:szCs w:val="27"/>
          <w:color w:val="auto"/>
          <w:vertAlign w:val="superscript"/>
        </w:rPr>
      </w:pPr>
      <w:r>
        <w:rPr>
          <w:rFonts w:ascii="Arial" w:cs="Arial" w:eastAsia="Arial" w:hAnsi="Arial"/>
          <w:sz w:val="17"/>
          <w:szCs w:val="17"/>
          <w:color w:val="auto"/>
        </w:rPr>
        <w:t>- The impact on the balances due to the adoption of Topic 606 includes income tax payable.</w:t>
      </w:r>
    </w:p>
    <w:p>
      <w:pPr>
        <w:spacing w:after="0" w:line="202"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following tables reflect the impact of adoption of Topic 606 for select accounts on the Company’s consolidated statement of income for the fifty-two weeks ended February 2, 2019 and its consolidated balance sheet as of February 2, 2019 and the amounts as if the previous standards were in effect (“Without Adoption of Topic 606”)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gridSpan w:val="10"/>
          </w:tcPr>
          <w:p>
            <w:pPr>
              <w:jc w:val="right"/>
              <w:ind w:right="740"/>
              <w:spacing w:after="0"/>
              <w:rPr>
                <w:sz w:val="20"/>
                <w:szCs w:val="20"/>
                <w:color w:val="auto"/>
              </w:rPr>
            </w:pPr>
            <w:r>
              <w:rPr>
                <w:rFonts w:ascii="Arial" w:cs="Arial" w:eastAsia="Arial" w:hAnsi="Arial"/>
                <w:sz w:val="18"/>
                <w:szCs w:val="18"/>
                <w:b w:val="1"/>
                <w:bCs w:val="1"/>
                <w:color w:val="auto"/>
              </w:rPr>
              <w:t>For the fifty-two weeks ended February 2,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3"/>
              </w:rPr>
              <w:t>Without adoption</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Income Statement</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of Topic 606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Effect of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2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326,304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329,081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International franchising</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336,585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339,362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(17,933)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(15,245)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2" w:name="page43"/>
    <w:bookmarkEnd w:id="42"/>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(1)</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Gift cards and customer deposits (1)</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equity</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Retained earnings (1)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effect of Change in Liabilities and Stockholders' equity</w:t>
      </w:r>
    </w:p>
    <w:p>
      <w:pPr>
        <w:spacing w:after="0" w:line="20" w:lineRule="exact"/>
        <w:rPr>
          <w:sz w:val="20"/>
          <w:szCs w:val="20"/>
          <w:color w:val="auto"/>
        </w:rPr>
      </w:pPr>
      <w:r>
        <w:rPr>
          <w:sz w:val="20"/>
          <w:szCs w:val="20"/>
          <w:color w:val="auto"/>
        </w:rPr>
        <w:br w:type="column"/>
      </w:r>
    </w:p>
    <w:p>
      <w:pPr>
        <w:ind w:left="1800"/>
        <w:spacing w:after="0"/>
        <w:rPr>
          <w:sz w:val="20"/>
          <w:szCs w:val="20"/>
          <w:color w:val="auto"/>
        </w:rPr>
      </w:pPr>
      <w:r>
        <w:rPr>
          <w:rFonts w:ascii="Arial" w:cs="Arial" w:eastAsia="Arial" w:hAnsi="Arial"/>
          <w:sz w:val="18"/>
          <w:szCs w:val="18"/>
          <w:b w:val="1"/>
          <w:bCs w:val="1"/>
          <w:color w:val="auto"/>
        </w:rPr>
        <w:t>February 2,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Without adoption</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of Topic 606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Effect of Change</w:t>
            </w:r>
          </w:p>
        </w:tc>
        <w:tc>
          <w:tcPr>
            <w:tcW w:w="60" w:type="dxa"/>
            <w:vAlign w:val="bottom"/>
          </w:tcPr>
          <w:p>
            <w:pPr>
              <w:spacing w:after="0"/>
              <w:rPr>
                <w:sz w:val="20"/>
                <w:szCs w:val="20"/>
                <w:color w:val="auto"/>
              </w:rPr>
            </w:pPr>
          </w:p>
        </w:tc>
      </w:tr>
      <w:tr>
        <w:trPr>
          <w:trHeight w:val="41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10,047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9,985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8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31,163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9,520</w:t>
            </w:r>
          </w:p>
        </w:tc>
        <w:tc>
          <w:tcPr>
            <w:tcW w:w="60" w:type="dxa"/>
            <w:vAlign w:val="bottom"/>
          </w:tcPr>
          <w:p>
            <w:pPr>
              <w:spacing w:after="0"/>
              <w:rPr>
                <w:sz w:val="20"/>
                <w:szCs w:val="20"/>
                <w:color w:val="auto"/>
              </w:rPr>
            </w:pPr>
          </w:p>
        </w:tc>
      </w:tr>
      <w:tr>
        <w:trPr>
          <w:trHeight w:val="648"/>
        </w:trPr>
        <w:tc>
          <w:tcPr>
            <w:tcW w:w="18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37,094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30,529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(6,565)</w:t>
            </w:r>
          </w:p>
        </w:tc>
      </w:tr>
      <w:tr>
        <w:trPr>
          <w:trHeight w:val="210"/>
        </w:trPr>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-994410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-719455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-445135</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-162560</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5020"/>
          </w:cols>
          <w:pgMar w:left="220" w:top="580" w:right="239" w:bottom="0" w:gutter="0" w:footer="0" w:header="0"/>
        </w:sectPr>
      </w:pPr>
    </w:p>
    <w:p>
      <w:pPr>
        <w:spacing w:after="0" w:line="42" w:lineRule="exact"/>
        <w:rPr>
          <w:sz w:val="20"/>
          <w:szCs w:val="20"/>
          <w:color w:val="auto"/>
        </w:rPr>
      </w:pPr>
    </w:p>
    <w:p>
      <w:pPr>
        <w:ind w:left="160" w:right="240" w:hanging="2"/>
        <w:spacing w:after="0" w:line="221" w:lineRule="auto"/>
        <w:tabs>
          <w:tab w:leader="none" w:pos="377"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The impact on the balances without adoption of Topic 606 includes the activity for the fifty-two weeks ended February 2, 2019, and the December 31, 2017 adjustment. The activity for the five weeks ended February 3, 2018 was not significant.</w:t>
      </w:r>
    </w:p>
    <w:p>
      <w:pPr>
        <w:spacing w:after="0" w:line="204" w:lineRule="exact"/>
        <w:rPr>
          <w:sz w:val="20"/>
          <w:szCs w:val="20"/>
          <w:color w:val="auto"/>
        </w:rPr>
      </w:pPr>
    </w:p>
    <w:p>
      <w:pPr>
        <w:ind w:left="20" w:right="300" w:firstLine="441"/>
        <w:spacing w:after="0" w:line="277" w:lineRule="auto"/>
        <w:rPr>
          <w:sz w:val="20"/>
          <w:szCs w:val="20"/>
          <w:color w:val="auto"/>
        </w:rPr>
      </w:pPr>
      <w:r>
        <w:rPr>
          <w:rFonts w:ascii="Arial" w:cs="Arial" w:eastAsia="Arial" w:hAnsi="Arial"/>
          <w:sz w:val="18"/>
          <w:szCs w:val="18"/>
          <w:color w:val="auto"/>
        </w:rPr>
        <w:t>The impact of adoption of Topic 606 on the Company's consolidated statement of cash flows from operating activities for the fifty-two weeks ended February 2, 2019 was not significant.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 – Pending adoption</w:t>
      </w:r>
    </w:p>
    <w:p>
      <w:pPr>
        <w:spacing w:after="0" w:line="225" w:lineRule="exact"/>
        <w:rPr>
          <w:sz w:val="20"/>
          <w:szCs w:val="20"/>
          <w:color w:val="auto"/>
        </w:rPr>
      </w:pPr>
    </w:p>
    <w:p>
      <w:pPr>
        <w:ind w:left="20" w:right="100" w:firstLine="441"/>
        <w:spacing w:after="0" w:line="268" w:lineRule="auto"/>
        <w:rPr>
          <w:sz w:val="20"/>
          <w:szCs w:val="20"/>
          <w:color w:val="auto"/>
        </w:rPr>
      </w:pPr>
      <w:r>
        <w:rPr>
          <w:rFonts w:ascii="Arial" w:cs="Arial" w:eastAsia="Arial" w:hAnsi="Arial"/>
          <w:sz w:val="17"/>
          <w:szCs w:val="17"/>
          <w:color w:val="auto"/>
        </w:rPr>
        <w:t>In February 2016, the FASB issued new guidance on leases (“Topic 842”), which will replace most existing lease accounting guidance in U.S. GAAP. The core principle of Topic 842 is that an entity should recognize the rights and obligations resulting from leases as assets and liabilities for all leases with terms greater than 12 months. The lease liability will be measured at the present value of the lease payments over the lease term. The right-of-use asset (“ROU”) will be measured at the lease liability amount, adjusted for lease prepayments, lease incentives received and the lessee’s initial direct costs (e.g., commissions). Presentation of leases within the consolidated statements of operations, except for additional impairment of ROU assets, which could be material given the size of ROU assets, and consolidated statements of cash flows will be generally consistent with the current lease accounting guidance. Topic 842 requires qualitative and specific quantitative disclosures to supplement the amounts recorded in the financial statements so that users can understand more about the nature of an entity’s leasing activities, including significant judgments and changes in judgments. In fiscal 2017, the Company established a cross-functional team to use a detailed approach to assess the impact of the new standard. The assessment included reviewing all forms of leases, performing a completeness assessment over the lease population, considering the policy elections offered by the standard and evaluating its business processes and internal controls to meet Topic 842’s accounting, reporting and disclosure requirements. The Company has made enhancements to its financial information systems and internal controls in response to the new rule requirements including the implementation of a lease tracking software for managing and reporting information related to its retail leases.</w:t>
      </w:r>
    </w:p>
    <w:p>
      <w:pPr>
        <w:spacing w:after="0" w:line="188" w:lineRule="exact"/>
        <w:rPr>
          <w:sz w:val="20"/>
          <w:szCs w:val="20"/>
          <w:color w:val="auto"/>
        </w:rPr>
      </w:pPr>
    </w:p>
    <w:p>
      <w:pPr>
        <w:ind w:right="320" w:firstLine="486"/>
        <w:spacing w:after="0" w:line="290" w:lineRule="auto"/>
        <w:rPr>
          <w:sz w:val="20"/>
          <w:szCs w:val="20"/>
          <w:color w:val="auto"/>
        </w:rPr>
      </w:pPr>
      <w:r>
        <w:rPr>
          <w:rFonts w:ascii="Arial" w:cs="Arial" w:eastAsia="Arial" w:hAnsi="Arial"/>
          <w:sz w:val="16"/>
          <w:szCs w:val="16"/>
          <w:color w:val="auto"/>
        </w:rPr>
        <w:t>Topic 842 will be effective for the Company beginning in fiscal 2019 and requires the use of a modified retrospective transition approach, which includes a number of optional practical expedients that entities may elect to apply. The Company has elected certain practical expedients, including the package of practical expedients to not reassess prior conclusions related to contracts containing leases, lease classification and initial direct costs as well as an accounting policy to account for lease and non-lease components as a single component for certain classes of assets. The Company also elected the optional transition method that gives companies the option to use the effective date as the date of initial application on transition, and as a result, the Company will not adjust its comparative period financial information or make the new required lease disclosures for periods before the effective date. The Company has elected to make the accounting policy election for short-term leases. Consequently, short-term leases will be recorded as an expense on a straight-line basis over the lease term. The Company did not elect the hindsight practical expedient.</w:t>
      </w:r>
    </w:p>
    <w:p>
      <w:pPr>
        <w:spacing w:after="0" w:line="166"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Upon adoption of Topic 842 on February 3, 2019 or the first day of fiscal year 2019, management expects a significant impact, exclusive of any impairment considerations, on its consolidated balance sheet as the Company will record material assets and obligations primarily related to approximately 350 retail and corporate office locations. The Company is finalizing the impact of Topic 842 on its consolidated financial statements and expects the adoption to result in the recording of operating lease liabilities of approximately $200 million as of the effective date, excluding non-lease components which the Company is still accumulating and evaluating. The Company expects that the right of use asset will be lower than the lease liability upon adoption of Topic 842 due to certain impairments of the right of use assets at the effective date. The Company is still evaluating the possible effects of impairment of certain ROU assets as of the effective date and the associated cumulative-effect adjustment to the opening balance of retained earnings. The Company does not expect that the adoption of ASC 842 will result in a material impact to its consolidated statements of cash flows and they are currently assessing the impact to its consolidated statements of operations. See Note 10 – Commitments and Contingencies for further detail of the Company’s future minimum lease payments.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49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20" w:right="40" w:firstLine="441"/>
        <w:spacing w:after="0" w:line="273" w:lineRule="auto"/>
        <w:rPr>
          <w:sz w:val="20"/>
          <w:szCs w:val="20"/>
          <w:color w:val="auto"/>
        </w:rPr>
      </w:pPr>
      <w:r>
        <w:rPr>
          <w:rFonts w:ascii="Arial" w:cs="Arial" w:eastAsia="Arial" w:hAnsi="Arial"/>
          <w:sz w:val="17"/>
          <w:szCs w:val="17"/>
          <w:color w:val="auto"/>
        </w:rPr>
        <w:t>Nearly all of the Company’s revenue is derived from retail sales (including e-commerce sites) and is recognized when control of the merchandise is transferred to the customer. The Company accounts for revenue in accordance with Topic 606 which was adopted December 31, 2017 (See the consolidated statements of stockholders’ equity and Note 2— Summary of Significant Accounting Policies for additional information). The Company's disaggregated revenue is fully disclosed as net sales to external customers by reporting segment and by geographic area (See Note 15 — Segment Information for additional information). The Company's direct-to-consumer reporting segment represents nearly 97% of consolidated revenue. The majority of these sales transactions are single performance obligations that are recorded when control is transferred to the customer.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description of principal activities from which the Company generates its revenue, by reportable segment.</w:t>
      </w:r>
    </w:p>
    <w:p>
      <w:pPr>
        <w:spacing w:after="0" w:line="225" w:lineRule="exact"/>
        <w:rPr>
          <w:sz w:val="20"/>
          <w:szCs w:val="20"/>
          <w:color w:val="auto"/>
        </w:rPr>
      </w:pPr>
    </w:p>
    <w:p>
      <w:pPr>
        <w:ind w:left="20" w:firstLine="441"/>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one-tenth of one percent due to the interactive nature of sales, where consumers customize their own stuffed animal. The Company has elected to exclude from revenue all collected sales, value add and other taxes paid by its customers.</w:t>
      </w:r>
    </w:p>
    <w:p>
      <w:pPr>
        <w:sectPr>
          <w:pgSz w:w="11900" w:h="16838" w:orient="portrait"/>
          <w:cols w:equalWidth="0" w:num="1">
            <w:col w:w="11440"/>
          </w:cols>
          <w:pgMar w:left="220" w:top="580" w:right="239" w:bottom="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firstLine="441"/>
        <w:spacing w:after="0" w:line="289" w:lineRule="auto"/>
        <w:rPr>
          <w:sz w:val="20"/>
          <w:szCs w:val="20"/>
          <w:color w:val="auto"/>
        </w:rPr>
      </w:pPr>
      <w:r>
        <w:rPr>
          <w:rFonts w:ascii="Arial" w:cs="Arial" w:eastAsia="Arial" w:hAnsi="Arial"/>
          <w:sz w:val="16"/>
          <w:szCs w:val="16"/>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pattern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regards to the consolidated balance sheet, contract liabilities for gift cards are classified as gift cards and customer deposits.</w:t>
      </w:r>
    </w:p>
    <w:p>
      <w:pPr>
        <w:spacing w:after="0" w:line="16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The Company’s commercial segment includes transactions with other businesses and are mainly comprised of licensing the Company’s intellectual properties for third-party use and wholesale sales of merchandise,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and other on the consolidated balance sheet.</w:t>
      </w:r>
    </w:p>
    <w:p>
      <w:pPr>
        <w:spacing w:after="0" w:line="178"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79"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Prepaid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Prepaid income taxes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February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30,</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5,497</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91" w:lineRule="exact"/>
              <w:rPr>
                <w:sz w:val="20"/>
                <w:szCs w:val="20"/>
                <w:color w:val="auto"/>
              </w:rPr>
            </w:pPr>
            <w:r>
              <w:rPr>
                <w:rFonts w:ascii="Arial" w:cs="Arial" w:eastAsia="Arial" w:hAnsi="Arial"/>
                <w:sz w:val="18"/>
                <w:szCs w:val="18"/>
                <w:color w:val="auto"/>
              </w:rPr>
              <w:t>7,688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5,218</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560" w:space="720"/>
            <w:col w:w="4140"/>
          </w:cols>
          <w:pgMar w:left="240" w:top="584" w:right="239" w:bottom="1440" w:gutter="0" w:footer="0" w:header="0"/>
          <w:type w:val="continuous"/>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 net</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30,</w:t>
            </w:r>
          </w:p>
        </w:tc>
      </w:tr>
      <w:tr>
        <w:trPr>
          <w:trHeight w:val="216"/>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Land</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2,261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Computer hardware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25,659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27,122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104,858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111,717</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240,964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250,946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174,596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173,195</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66,368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77,751</w:t>
            </w:r>
          </w:p>
        </w:tc>
        <w:tc>
          <w:tcPr>
            <w:tcW w:w="80" w:type="dxa"/>
            <w:vAlign w:val="bottom"/>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-1697355</wp:posOffset>
            </wp:positionV>
            <wp:extent cx="5797550" cy="420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97550" cy="420370"/>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fiscal 2018, 2017 and the five weeks ended February 3, 2018, depreciation expense was $15.3 million, $15.1 million and $1.4 million, respectively.</w:t>
      </w:r>
    </w:p>
    <w:p>
      <w:pPr>
        <w:spacing w:after="0" w:line="248" w:lineRule="exact"/>
        <w:rPr>
          <w:sz w:val="20"/>
          <w:szCs w:val="20"/>
          <w:color w:val="auto"/>
        </w:rPr>
      </w:pPr>
    </w:p>
    <w:p>
      <w:pPr>
        <w:ind w:right="120" w:firstLine="441"/>
        <w:spacing w:after="0" w:line="283" w:lineRule="auto"/>
        <w:rPr>
          <w:sz w:val="20"/>
          <w:szCs w:val="20"/>
          <w:color w:val="auto"/>
        </w:rPr>
      </w:pPr>
      <w:r>
        <w:rPr>
          <w:rFonts w:ascii="Arial" w:cs="Arial" w:eastAsia="Arial" w:hAnsi="Arial"/>
          <w:sz w:val="16"/>
          <w:szCs w:val="16"/>
          <w:color w:val="auto"/>
        </w:rPr>
        <w:t>During 2018, the Company reviewed the operating performance and forecasts of future performance for the stores in its DTC segment. As a result of that review, it was determined that certain stores would not be able to recover the carrying value of certain store assets through expected undiscounted cash flows over the remaining life of the related assets. Accordingly, the carrying value of the assets was reduced to fair value, calculated as the net present value of estimated future cash flows for each asset group, and any remaining net book value will be depreciated over the remaining life of the asset. Store asset impairment charges of $5.2 million were recorded in fiscal 2018, which were recorded as a separate line in the statement of operations. Similar impairment charges were not significant for fiscal 2017 and the five weeks ended February 3, 2018. The inputs used to determine the fair value of the assets are Level 3 fair value inputs. In the event that we decide to close any or all of these stores in the future, we may be required to record additional impairment, lease termination fees, severance charges and other costs. In addition, the Company considers a more likely than not assessment that an individual location will close or be remodeled prior to the end of its original lease term as a triggering event to review the store asset group for recoverability. As a result of these reviews, it was determined that certain stores would not be able to recover the carrying value of store assets through expected undiscounted cash flows over the shortened remaining life of the related assets. Asset impairment charges of $0.7 million and $0.1 million were recorded in 2018 and 2017, respectively, which were included in selling, general and administrative expenses. No impairment charges were recorded for the five weeks ended February 3,</w:t>
      </w:r>
    </w:p>
    <w:p>
      <w:pPr>
        <w:spacing w:after="0" w:line="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2018. Accordingly, the carrying value of the assets were reduced to fair value, calculated as the net present value of estimated future cash flows for each asset group, and any remaining net book value will be depreciated over the remaining life of the asset.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(6)   Other Intangible Assets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Other intangible assets consist of the following (in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February 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30,</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Trademarks and other intellectual property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16,215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Total, net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Trademarks and intellectual property are amortized over three years. Amortization expense related to trademarks and intellectual property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$0.7 million, $1.0 million and $0.1 million in fiscal 2018, 2017 and the five weeks ended February 3, 2018, respectively. Estimated amortization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other intangible assets in the subsequent five-year period is: 2019 - $0.7 million; and not significant for fiscal 2020 through 2023.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23" w:right="299" w:bottom="1440" w:gutter="0" w:footer="0" w:header="0"/>
        </w:sectPr>
      </w:pPr>
    </w:p>
    <w:bookmarkStart w:id="46" w:name="page47"/>
    <w:bookmarkEnd w:id="46"/>
    <w:p>
      <w:pPr>
        <w:ind w:left="460" w:hanging="43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Accrued wages, bonuses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-99695</wp:posOffset>
            </wp:positionV>
            <wp:extent cx="57975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Sales tax payable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Accrued rent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-130810</wp:posOffset>
            </wp:positionV>
            <wp:extent cx="57975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Current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14605</wp:posOffset>
            </wp:positionV>
            <wp:extent cx="579755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ind w:left="460" w:hanging="43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February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30,</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191"/>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5,453</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91" w:lineRule="exact"/>
              <w:rPr>
                <w:sz w:val="20"/>
                <w:szCs w:val="20"/>
                <w:color w:val="auto"/>
              </w:rPr>
            </w:pPr>
            <w:r>
              <w:rPr>
                <w:rFonts w:ascii="Arial" w:cs="Arial" w:eastAsia="Arial" w:hAnsi="Arial"/>
                <w:sz w:val="18"/>
                <w:szCs w:val="18"/>
                <w:color w:val="auto"/>
              </w:rPr>
              <w:t>5,863</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580" w:space="720"/>
            <w:col w:w="3980"/>
          </w:cols>
          <w:pgMar w:left="220" w:top="823" w:right="399" w:bottom="1440" w:gutter="0" w:footer="0" w:header="0"/>
        </w:sectPr>
      </w:pPr>
    </w:p>
    <w:p>
      <w:pPr>
        <w:spacing w:after="0" w:line="29"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The Company’s income (loss) before income taxes from domestic and foreign operations (which include the U.K., Canada, China, Denmark and Ireland), is as follows (in thousands):</w:t>
      </w:r>
    </w:p>
    <w:p>
      <w:pPr>
        <w:spacing w:after="0" w:line="38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Fiscal year ended</w:t>
            </w:r>
          </w:p>
        </w:tc>
        <w:tc>
          <w:tcPr>
            <w:tcW w:w="1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2"/>
              </w:rPr>
              <w:t>Five weeks ended</w:t>
            </w: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February 2,</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December 30,</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8"/>
              </w:rPr>
              <w:t>February 3,</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(4,175</w:t>
            </w: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(14,332</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(loss) before income taxes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(18,507</w:t>
            </w: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income tax expense (benefit) are as follows (in thousands):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Fiscal year ended</w:t>
            </w:r>
          </w:p>
        </w:tc>
        <w:tc>
          <w:tcPr>
            <w:tcW w:w="10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Five weeks ended</w:t>
            </w:r>
          </w:p>
        </w:tc>
      </w:tr>
      <w:tr>
        <w:trPr>
          <w:trHeight w:val="191"/>
        </w:trPr>
        <w:tc>
          <w:tcPr>
            <w:tcW w:w="5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February 2,</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3"/>
              </w:rPr>
              <w:t>December 30,</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February 3,</w:t>
            </w:r>
          </w:p>
        </w:tc>
        <w:tc>
          <w:tcPr>
            <w:tcW w:w="100" w:type="dxa"/>
            <w:vAlign w:val="bottom"/>
          </w:tcPr>
          <w:p>
            <w:pPr>
              <w:spacing w:after="0"/>
              <w:rPr>
                <w:sz w:val="16"/>
                <w:szCs w:val="16"/>
                <w:color w:val="auto"/>
              </w:rPr>
            </w:pPr>
          </w:p>
        </w:tc>
      </w:tr>
      <w:tr>
        <w:trPr>
          <w:trHeight w:val="234"/>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(508</w:t>
            </w: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16"/>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(263</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(448</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2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(836</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tcPr>
          <w:p>
            <w:pPr>
              <w:ind w:left="32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5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(574</w:t>
            </w: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The provision for income taxes was a benefit of $0.6 million in fiscal 2018 compared to income tax expense of $5.9 million in fiscal 2017. The 2018 effective rate of 3.1% differed from the statutory rate of 21% primarily due to the valuation allowance recorded in certain foreign jurisdictions. The 2017 effective rate of 42.7% differed from the statutory rate of 34% primarily due to the effect of the provisional tax charge of $1.4 million for the re-measurement of U.S. net deferred tax assets as a result of the enactment of the Act reducing the U.S. federal statutory rate to 21% effective January 1, 2018.</w:t>
      </w:r>
    </w:p>
    <w:p>
      <w:pPr>
        <w:spacing w:after="0" w:line="154"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the five weeks ended February 3, 2018, the income tax provision was a benefit of $0.2 million with an effective rate of 17.8% compared to the statutory rate of 21%.</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the Company has incurred a cumulative book loss in the U.K. over the three-year period ended February 2, 2019, management evaluated the realizability of the Company’s U.K. deferred tax assets, including an analysis of all available positive and negative evidence. The three-year cumulative loss is a significant piece of negative evidence. ASC 740 requires objective historical evidence be given more weight than subjective evidence, such as forecasts of future income. Accordingly, in the fourth quarter of fiscal 2018, the Company recorded a $3.7 million valuation allowance on its U.K. deferred tax assets. In fiscal 2018, the Company recorded an additional allowance of $0.5 million in certain other foreign jurisdictions. In fiscal 2017, the Company recorded an additional allowance of $0.3 million on its deferred tax assets in certain foreign jurisdictions due to cumulative losses and uncertainty about future earnings forecast.</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20" w:top="823" w:right="399" w:bottom="1440" w:gutter="0" w:footer="0" w:header="0"/>
          <w:type w:val="continuous"/>
        </w:sectPr>
      </w:pPr>
    </w:p>
    <w:bookmarkStart w:id="47" w:name="page48"/>
    <w:bookmarkEnd w:id="47"/>
    <w:p>
      <w:pPr>
        <w:ind w:left="48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February 2,</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30,</w:t>
            </w:r>
          </w:p>
        </w:tc>
      </w:tr>
      <w:tr>
        <w:trPr>
          <w:trHeight w:val="234"/>
        </w:trPr>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4,371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764</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2,661</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w:t>
            </w: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1,414</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rents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1,203</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Carryforward of tax credits</w:t>
            </w: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861</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 write-offs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r>
      <w:tr>
        <w:trPr>
          <w:trHeight w:val="20"/>
        </w:trPr>
        <w:tc>
          <w:tcPr>
            <w:tcW w:w="6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500" w:type="dxa"/>
            <w:vAlign w:val="bottom"/>
          </w:tcPr>
          <w:p>
            <w:pPr>
              <w:ind w:left="660"/>
              <w:spacing w:after="0"/>
              <w:rPr>
                <w:sz w:val="20"/>
                <w:szCs w:val="20"/>
                <w:color w:val="auto"/>
              </w:rPr>
            </w:pPr>
            <w:r>
              <w:rPr>
                <w:rFonts w:ascii="Arial" w:cs="Arial" w:eastAsia="Arial" w:hAnsi="Arial"/>
                <w:sz w:val="18"/>
                <w:szCs w:val="18"/>
                <w:color w:val="auto"/>
              </w:rPr>
              <w:t>Total gross deferred tax assets</w:t>
            </w: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14,634</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11,354</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Valuation allowance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5,079</w:t>
            </w: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r>
      <w:tr>
        <w:trPr>
          <w:trHeight w:val="20"/>
        </w:trPr>
        <w:tc>
          <w:tcPr>
            <w:tcW w:w="6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500" w:type="dxa"/>
            <w:vAlign w:val="bottom"/>
          </w:tcPr>
          <w:p>
            <w:pPr>
              <w:ind w:left="660"/>
              <w:spacing w:after="0"/>
              <w:rPr>
                <w:sz w:val="20"/>
                <w:szCs w:val="20"/>
                <w:color w:val="auto"/>
              </w:rPr>
            </w:pPr>
            <w:r>
              <w:rPr>
                <w:rFonts w:ascii="Arial" w:cs="Arial" w:eastAsia="Arial" w:hAnsi="Arial"/>
                <w:sz w:val="18"/>
                <w:szCs w:val="18"/>
                <w:color w:val="auto"/>
              </w:rPr>
              <w:t>Total deferred tax assets, net of valuation allowance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10,053</w:t>
            </w:r>
          </w:p>
        </w:tc>
      </w:tr>
      <w:tr>
        <w:trPr>
          <w:trHeight w:val="210"/>
        </w:trPr>
        <w:tc>
          <w:tcPr>
            <w:tcW w:w="6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(4,088)</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(1,113</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(1,704)</w:t>
            </w:r>
          </w:p>
        </w:tc>
      </w:tr>
      <w:tr>
        <w:trPr>
          <w:trHeight w:val="216"/>
        </w:trPr>
        <w:tc>
          <w:tcPr>
            <w:tcW w:w="6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expense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(763</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w:t>
            </w:r>
          </w:p>
        </w:tc>
      </w:tr>
      <w:tr>
        <w:trPr>
          <w:trHeight w:val="216"/>
        </w:trPr>
        <w:tc>
          <w:tcPr>
            <w:tcW w:w="6500" w:type="dxa"/>
            <w:vAlign w:val="bottom"/>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(492</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0"/>
        </w:trPr>
        <w:tc>
          <w:tcPr>
            <w:tcW w:w="6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(6,456</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(3,672)</w:t>
            </w:r>
          </w:p>
        </w:tc>
      </w:tr>
      <w:tr>
        <w:trPr>
          <w:trHeight w:val="20"/>
        </w:trPr>
        <w:tc>
          <w:tcPr>
            <w:tcW w:w="6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500" w:type="dxa"/>
            <w:vAlign w:val="bottom"/>
          </w:tcPr>
          <w:p>
            <w:pPr>
              <w:ind w:left="660"/>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6,381</w:t>
            </w:r>
          </w:p>
        </w:tc>
      </w:tr>
      <w:tr>
        <w:trPr>
          <w:trHeight w:val="20"/>
        </w:trPr>
        <w:tc>
          <w:tcPr>
            <w:tcW w:w="6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As of February 2, 2019, the Company had gross net operating loss (NOL) carryforwards of approximately $21.0 million, most of which relate to the U.K. and U.S. federal jurisdictions where NOLs have no expiration date. As of February 2, 2019, the Company had tax credit carryforwards of $0.9 million primarily related to U.S. federal credits which expire in 2038. The NOL and credit carryforward amounts were not material as of December 30, 2017.</w:t>
      </w:r>
    </w:p>
    <w:p>
      <w:pPr>
        <w:spacing w:after="0" w:line="147" w:lineRule="exact"/>
        <w:rPr>
          <w:sz w:val="20"/>
          <w:szCs w:val="20"/>
          <w:color w:val="auto"/>
        </w:rPr>
      </w:pPr>
    </w:p>
    <w:p>
      <w:pPr>
        <w:ind w:left="160" w:right="260" w:firstLine="324"/>
        <w:spacing w:after="0" w:line="277" w:lineRule="auto"/>
        <w:rPr>
          <w:sz w:val="20"/>
          <w:szCs w:val="20"/>
          <w:color w:val="auto"/>
        </w:rPr>
      </w:pPr>
      <w:r>
        <w:rPr>
          <w:rFonts w:ascii="Arial" w:cs="Arial" w:eastAsia="Arial" w:hAnsi="Arial"/>
          <w:sz w:val="18"/>
          <w:szCs w:val="18"/>
          <w:color w:val="auto"/>
        </w:rPr>
        <w:t>The Company continues to assert its investments in foreign subsidiaries are permanent in duration and it is not practical to estimate the income tax liability on the outside basis differences.</w:t>
      </w:r>
    </w:p>
    <w:p>
      <w:pPr>
        <w:spacing w:after="0" w:line="170"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On December 22, 2017, the Act was enacted, which significantly changes U.S. tax law by, among other things, lowering corporate income tax rates, implementing a territorial tax system and imposing a repatriation tax on deemed repatriated earnings of foreign subsidiaries. The Act permanently reduces the U.S. federal statutory rate to 21%, effective January 1, 2018. The Act also provided for a one-time deemed repatriation of post-1986 undistributed foreign subsidiary E&amp;P through the year ended December 30, 2017. Under SAB 118, the Company recorded a provisional tax charge of $1.4 million for the re-measurement of its U.S. net deferred tax assets and estimated no cost for this one-time deemed repatriation in fiscal 2017. The Company has completed its analysis based on legislative updates relating to the Act currently available, which resulted in a tax benefit of $0.2 million for fiscal 2018. A favorable adjustment of $0.1 million was recorded for the revaluation of deferred tax assets and liabilities. In addition, a favorable adjustment of $0.1 million was recorded for the impact of the one-time deemed repatriation of undistributed foreign subsidiary E&amp;P.</w:t>
      </w:r>
    </w:p>
    <w:p>
      <w:pPr>
        <w:spacing w:after="0" w:line="16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As of February 2, 2019, the Company had total unrecognized tax benefits of $0.4 million, of which approximately $0.2 million would favorably impact the Company’s provision for income taxes if recognized. As of December 30, 2017, the Company had total unrecognized tax benefits of $0.7 million, of which approximately $0.3 million would favorably impact the Company’s provision for income taxes if recognized. The Company reviews its uncertain tax positions periodically and accrues interest and penalties accordingly. Accrued interest and penalties included within other liabilities in the consolidated balance sheets were less than $0.1 million for both years ended as of February 2, 2019 and December 30, 2017. The Company recognizes accrued interest and penalties related to unrecognized tax benefits as a component of the provision for income taxes within the consolidated statement of operations. For the years ended February 2, 2019 and December 30, 2017, the Company recognized an expense of less than $0.1 million for interest and penalties for each year. For the five weeks ended February 3, 2018, the Company recognized an expense of less than $0.1 million for interest and penalties.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584" w:right="379" w:bottom="1440" w:gutter="0" w:footer="0" w:header="0"/>
        </w:sectPr>
      </w:pPr>
    </w:p>
    <w:bookmarkStart w:id="48" w:name="page49"/>
    <w:bookmarkEnd w:id="48"/>
    <w:p>
      <w:pPr>
        <w:ind w:left="520"/>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pacing w:after="0" w:line="24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-121920</wp:posOffset>
            </wp:positionV>
            <wp:extent cx="57975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Increases for prior year tax positions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-130810</wp:posOffset>
            </wp:positionV>
            <wp:extent cx="579755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60"/>
        <w:spacing w:after="0" w:line="195" w:lineRule="auto"/>
        <w:rPr>
          <w:sz w:val="20"/>
          <w:szCs w:val="20"/>
          <w:color w:val="auto"/>
        </w:rPr>
      </w:pPr>
      <w:r>
        <w:rPr>
          <w:rFonts w:ascii="Arial" w:cs="Arial" w:eastAsia="Arial" w:hAnsi="Arial"/>
          <w:sz w:val="18"/>
          <w:szCs w:val="18"/>
          <w:b w:val="1"/>
          <w:bCs w:val="1"/>
          <w:color w:val="auto"/>
        </w:rPr>
        <w:t xml:space="preserve">Balance as of December 30, 2017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0</wp:posOffset>
            </wp:positionV>
            <wp:extent cx="57975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b w:val="1"/>
          <w:bCs w:val="1"/>
          <w:color w:val="auto"/>
        </w:rPr>
        <w:t>Increases for prior year tax positions</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Decreases for prior year tax positions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-130810</wp:posOffset>
            </wp:positionV>
            <wp:extent cx="57975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b w:val="1"/>
          <w:bCs w:val="1"/>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14605</wp:posOffset>
            </wp:positionV>
            <wp:extent cx="579755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Balance as of February 2, 2019</w:t>
      </w:r>
    </w:p>
    <w:p>
      <w:pPr>
        <w:ind w:left="1700" w:hanging="213"/>
        <w:spacing w:after="0" w:line="227" w:lineRule="auto"/>
        <w:tabs>
          <w:tab w:leader="none" w:pos="1700" w:val="left"/>
        </w:tabs>
        <w:numPr>
          <w:ilvl w:val="0"/>
          <w:numId w:val="21"/>
        </w:numPr>
        <w:rPr>
          <w:rFonts w:ascii="Arial" w:cs="Arial" w:eastAsia="Arial" w:hAnsi="Arial"/>
          <w:sz w:val="26"/>
          <w:szCs w:val="26"/>
          <w:color w:val="auto"/>
          <w:vertAlign w:val="superscript"/>
        </w:rPr>
      </w:pPr>
      <w:r>
        <w:rPr>
          <w:rFonts w:ascii="Arial" w:cs="Arial" w:eastAsia="Arial" w:hAnsi="Arial"/>
          <w:sz w:val="16"/>
          <w:szCs w:val="16"/>
          <w:color w:val="auto"/>
        </w:rPr>
        <w:t>For the five week transition period ending February 3, 2018, there was no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086" w:hanging="1086"/>
        <w:spacing w:after="0"/>
        <w:tabs>
          <w:tab w:leader="none" w:pos="10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961</w:t>
      </w:r>
    </w:p>
    <w:p>
      <w:pPr>
        <w:spacing w:after="0" w:line="23" w:lineRule="exact"/>
        <w:rPr>
          <w:rFonts w:ascii="Arial" w:cs="Arial" w:eastAsia="Arial" w:hAnsi="Arial"/>
          <w:sz w:val="18"/>
          <w:szCs w:val="18"/>
          <w:color w:val="auto"/>
        </w:rPr>
      </w:pPr>
    </w:p>
    <w:p>
      <w:pPr>
        <w:ind w:left="1186"/>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(359)</w:t>
      </w:r>
    </w:p>
    <w:p>
      <w:pPr>
        <w:spacing w:after="0" w:line="45" w:lineRule="exact"/>
        <w:rPr>
          <w:sz w:val="20"/>
          <w:szCs w:val="20"/>
          <w:color w:val="auto"/>
        </w:rPr>
      </w:pPr>
    </w:p>
    <w:p>
      <w:pPr>
        <w:ind w:left="1086"/>
        <w:spacing w:after="0"/>
        <w:rPr>
          <w:sz w:val="20"/>
          <w:szCs w:val="20"/>
          <w:color w:val="auto"/>
        </w:rPr>
      </w:pPr>
      <w:r>
        <w:rPr>
          <w:rFonts w:ascii="Arial" w:cs="Arial" w:eastAsia="Arial" w:hAnsi="Arial"/>
          <w:sz w:val="18"/>
          <w:szCs w:val="18"/>
          <w:b w:val="1"/>
          <w:bCs w:val="1"/>
          <w:color w:val="auto"/>
        </w:rPr>
        <w:t>659</w:t>
      </w:r>
    </w:p>
    <w:p>
      <w:pPr>
        <w:spacing w:after="0" w:line="27" w:lineRule="exact"/>
        <w:rPr>
          <w:sz w:val="20"/>
          <w:szCs w:val="20"/>
          <w:color w:val="auto"/>
        </w:rPr>
      </w:pPr>
    </w:p>
    <w:p>
      <w:pPr>
        <w:ind w:left="1086"/>
        <w:spacing w:after="0"/>
        <w:rPr>
          <w:sz w:val="20"/>
          <w:szCs w:val="20"/>
          <w:color w:val="auto"/>
        </w:rPr>
      </w:pPr>
      <w:r>
        <w:rPr>
          <w:rFonts w:ascii="Arial" w:cs="Arial" w:eastAsia="Arial" w:hAnsi="Arial"/>
          <w:sz w:val="18"/>
          <w:szCs w:val="18"/>
          <w:b w:val="1"/>
          <w:bCs w:val="1"/>
          <w:color w:val="auto"/>
        </w:rPr>
        <w:t>288</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(333</w:t>
      </w:r>
      <w:r>
        <w:rPr>
          <w:rFonts w:ascii="Arial" w:cs="Arial" w:eastAsia="Arial" w:hAnsi="Arial"/>
          <w:sz w:val="18"/>
          <w:szCs w:val="18"/>
          <w:color w:val="auto"/>
        </w:rPr>
        <w:t>)</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(183</w:t>
      </w:r>
      <w:r>
        <w:rPr>
          <w:rFonts w:ascii="Arial" w:cs="Arial" w:eastAsia="Arial" w:hAnsi="Arial"/>
          <w:sz w:val="18"/>
          <w:szCs w:val="18"/>
          <w:color w:val="auto"/>
        </w:rPr>
        <w:t>)</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8661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 w:lineRule="exact"/>
        <w:rPr>
          <w:sz w:val="20"/>
          <w:szCs w:val="20"/>
          <w:color w:val="auto"/>
        </w:rPr>
      </w:pPr>
    </w:p>
    <w:p>
      <w:pPr>
        <w:ind w:left="1086" w:hanging="1086"/>
        <w:spacing w:after="0"/>
        <w:tabs>
          <w:tab w:leader="none" w:pos="108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418</w:t>
      </w:r>
    </w:p>
    <w:p>
      <w:pPr>
        <w:spacing w:after="0" w:line="504" w:lineRule="exact"/>
        <w:rPr>
          <w:sz w:val="20"/>
          <w:szCs w:val="20"/>
          <w:color w:val="auto"/>
        </w:rPr>
      </w:pPr>
    </w:p>
    <w:p>
      <w:pPr>
        <w:sectPr>
          <w:pgSz w:w="11900" w:h="16838" w:orient="portrait"/>
          <w:cols w:equalWidth="0" w:num="2">
            <w:col w:w="8480" w:space="374"/>
            <w:col w:w="2586"/>
          </w:cols>
          <w:pgMar w:left="220" w:top="584" w:right="239" w:bottom="0" w:gutter="0" w:footer="0" w:header="0"/>
        </w:sectPr>
      </w:pPr>
    </w:p>
    <w:p>
      <w:pPr>
        <w:spacing w:after="0" w:line="3"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Management estimates it is reasonably possible that the amount of unrecognized tax benefits could decrease by as much as $0.4 million in the next twelve months as a result of the resolution of audits currently in progress involving issues common to multinational corporations and the lapsing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tax years remain open in the Company’s major taxing jurisdictions as of February 2, 2019:</w:t>
      </w:r>
    </w:p>
    <w:p>
      <w:pPr>
        <w:spacing w:after="0" w:line="23"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United States (Federal)</w:t>
      </w:r>
      <w:r>
        <w:rPr>
          <w:sz w:val="20"/>
          <w:szCs w:val="20"/>
          <w:color w:val="auto"/>
        </w:rPr>
        <w:tab/>
      </w:r>
      <w:r>
        <w:rPr>
          <w:rFonts w:ascii="Arial" w:cs="Arial" w:eastAsia="Arial" w:hAnsi="Arial"/>
          <w:sz w:val="16"/>
          <w:szCs w:val="16"/>
          <w:color w:val="auto"/>
        </w:rPr>
        <w:t>2016 through 2018</w:t>
      </w:r>
    </w:p>
    <w:p>
      <w:pPr>
        <w:spacing w:after="0" w:line="9"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United Kingdom</w:t>
      </w:r>
      <w:r>
        <w:rPr>
          <w:sz w:val="20"/>
          <w:szCs w:val="20"/>
          <w:color w:val="auto"/>
        </w:rPr>
        <w:tab/>
      </w:r>
      <w:r>
        <w:rPr>
          <w:rFonts w:ascii="Arial" w:cs="Arial" w:eastAsia="Arial" w:hAnsi="Arial"/>
          <w:sz w:val="16"/>
          <w:szCs w:val="16"/>
          <w:color w:val="auto"/>
        </w:rPr>
        <w:t>2016 through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3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ind w:left="20" w:firstLine="486"/>
        <w:spacing w:after="0" w:line="277" w:lineRule="auto"/>
        <w:rPr>
          <w:sz w:val="20"/>
          <w:szCs w:val="20"/>
          <w:color w:val="auto"/>
        </w:rPr>
      </w:pPr>
      <w:r>
        <w:rPr>
          <w:rFonts w:ascii="Arial" w:cs="Arial" w:eastAsia="Arial" w:hAnsi="Arial"/>
          <w:sz w:val="18"/>
          <w:szCs w:val="18"/>
          <w:color w:val="auto"/>
        </w:rPr>
        <w:t>As of February 2, 2019, the Company had a bank line of credit that provides borrowing capacity of $35 million. Borrowings under the credit agreement are secured by its assets and a pledge of 66% of the Company’s ownership interest in certain of its foreign subsidiaries.</w:t>
      </w:r>
    </w:p>
    <w:p>
      <w:pPr>
        <w:spacing w:after="0" w:line="170" w:lineRule="exact"/>
        <w:rPr>
          <w:sz w:val="20"/>
          <w:szCs w:val="20"/>
          <w:color w:val="auto"/>
        </w:rPr>
      </w:pPr>
    </w:p>
    <w:p>
      <w:pPr>
        <w:ind w:left="20" w:right="80" w:firstLine="486"/>
        <w:spacing w:after="0" w:line="273" w:lineRule="auto"/>
        <w:rPr>
          <w:sz w:val="20"/>
          <w:szCs w:val="20"/>
          <w:color w:val="auto"/>
        </w:rPr>
      </w:pPr>
      <w:r>
        <w:rPr>
          <w:rFonts w:ascii="Arial" w:cs="Arial" w:eastAsia="Arial" w:hAnsi="Arial"/>
          <w:sz w:val="17"/>
          <w:szCs w:val="17"/>
          <w:color w:val="auto"/>
        </w:rPr>
        <w:t>On December 14, 2018, the Company entered into an eighteenth amendment which amends the Company’s Fourth Amended and Restated Loan Agreement (the “Credit Agreement”) and the Fourth Amended and Restated Revolving Credit Note (the “Revolving Credit Note”) with its lender. The eighteenth amendment decreased the interest rate from LIBOR plus 1.80% to LIBOR plus 1.25%; extended the expiration date of the facility from December 31, 2018 to December 31, 2020; decreased the commitment fee from 0.125% per annum to 0.075% per annum; and amended the redemptions covenant to permit the Company to acquire outstanding shares of stock so long as during the 365-consecutive day period prior to each such redemption there is no outstanding principal balance under the revolving credit loan for at least 30 consecutive days.</w:t>
      </w:r>
    </w:p>
    <w:p>
      <w:pPr>
        <w:spacing w:after="0" w:line="178" w:lineRule="exact"/>
        <w:rPr>
          <w:sz w:val="20"/>
          <w:szCs w:val="20"/>
          <w:color w:val="auto"/>
        </w:rPr>
      </w:pPr>
    </w:p>
    <w:p>
      <w:pPr>
        <w:ind w:right="140" w:firstLine="486"/>
        <w:spacing w:after="0" w:line="283" w:lineRule="auto"/>
        <w:rPr>
          <w:sz w:val="20"/>
          <w:szCs w:val="20"/>
          <w:color w:val="auto"/>
        </w:rPr>
      </w:pPr>
      <w:r>
        <w:rPr>
          <w:rFonts w:ascii="Arial" w:cs="Arial" w:eastAsia="Arial" w:hAnsi="Arial"/>
          <w:sz w:val="16"/>
          <w:szCs w:val="16"/>
          <w:color w:val="auto"/>
        </w:rPr>
        <w:t>On April 16, 2019, the Company entered into the nineteenth amendment which amends the Credit Agreement and the Revolving Credit Note with its lender. The nineteenth amendment established a minimum cumulative EBITDA covenant for each of the first three quarters of fiscal 2019; revised the methodology for calculating the funded debt ratio to increase the EBITDA amount that will be included in the denominator for the four quarter periods ending the fourth quarter of fiscal 2018 and each of the first three quarters of fiscal 2019, while leaving unchanged the minimum required ratio; suspended, effective immediately prior to the end of the fourth quarter of fiscal 2018, the fixed charge coverage ratio until the fourth quarter of fiscal 2019; amended (i) the dividends covenant to permit the Company to declare or pay dividends or other distributions, and (ii) the redemptions covenant to permit the Company to acquire outstanding shares of its capital stock, only if each of the following conditions are met: (a) the outstanding principal balance of the Revolving Credit Note is $0 prior to and after giving effect to such payment; (b) Company’s cash balance is not less than $10.0 million prior to and after giving effect to such payment; (c) the aggregate amount of such payments during a fiscal year do not exceed $1.0 million without the lender’s consent; and (d) no event of default or default exists or will exist as a result of any such payment; and established a minimum liquidity covenant for the first three quarters of fiscal</w:t>
      </w:r>
    </w:p>
    <w:p>
      <w:pPr>
        <w:spacing w:after="0" w:line="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2019. The Credit Agreement contains various restrictions on indebtedness, liens, guarantees, redemptions, mergers, acquisitions or sale of assets, loans, transactions with affiliates, and investments.</w:t>
      </w:r>
    </w:p>
    <w:p>
      <w:pPr>
        <w:spacing w:after="0" w:line="18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As of the end of fiscal 2018 under the Credit Agreement as currently amended: (i) the Company was in compliance with all covenants; (ii) there were no borrowings under the line of credit; and (iii) there was $35.0 million available for borrowing under the line of credit.</w:t>
      </w:r>
    </w:p>
    <w:p>
      <w:pPr>
        <w:spacing w:after="0" w:line="200" w:lineRule="exact"/>
        <w:rPr>
          <w:sz w:val="20"/>
          <w:szCs w:val="20"/>
          <w:color w:val="auto"/>
        </w:rPr>
      </w:pPr>
    </w:p>
    <w:p>
      <w:pPr>
        <w:spacing w:after="0" w:line="210" w:lineRule="exact"/>
        <w:rPr>
          <w:sz w:val="20"/>
          <w:szCs w:val="20"/>
          <w:color w:val="auto"/>
        </w:rPr>
      </w:pPr>
    </w:p>
    <w:p>
      <w:pPr>
        <w:ind w:left="460" w:hanging="43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00" w:hanging="426"/>
        <w:spacing w:after="0"/>
        <w:tabs>
          <w:tab w:leader="none" w:pos="90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20" w:right="80" w:firstLine="441"/>
        <w:spacing w:after="0" w:line="302" w:lineRule="auto"/>
        <w:rPr>
          <w:sz w:val="20"/>
          <w:szCs w:val="20"/>
          <w:color w:val="auto"/>
        </w:rPr>
      </w:pPr>
      <w:r>
        <w:rPr>
          <w:rFonts w:ascii="Arial" w:cs="Arial" w:eastAsia="Arial" w:hAnsi="Arial"/>
          <w:sz w:val="16"/>
          <w:szCs w:val="16"/>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$45.9 million, $45.0 million and $3.7 million in fiscal 2018, 2017 and the five weeks ended February 3, 2018, respectively. Contingent rent expense was $1.5 million, $1.2 million and less than $0.1 million in fiscal 2018, 2017 and the five weeks ended February 3, 2018, respectively.</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9200" w:type="dxa"/>
            <w:vAlign w:val="bottom"/>
          </w:tcPr>
          <w:p>
            <w:pPr>
              <w:ind w:left="140"/>
              <w:spacing w:after="0"/>
              <w:rPr>
                <w:sz w:val="20"/>
                <w:szCs w:val="20"/>
                <w:color w:val="auto"/>
              </w:rPr>
            </w:pPr>
            <w:r>
              <w:rPr>
                <w:rFonts w:ascii="Arial" w:cs="Arial" w:eastAsia="Arial" w:hAnsi="Arial"/>
                <w:sz w:val="18"/>
                <w:szCs w:val="18"/>
                <w:color w:val="auto"/>
              </w:rPr>
              <w:t>Future minimum lease payments at February 2, 2019, were as follows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35,192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29,265</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24,961</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Subsequent to 2023</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49,782</w:t>
            </w:r>
          </w:p>
        </w:tc>
        <w:tc>
          <w:tcPr>
            <w:tcW w:w="100" w:type="dxa"/>
            <w:vAlign w:val="bottom"/>
          </w:tcPr>
          <w:p>
            <w:pPr>
              <w:spacing w:after="0"/>
              <w:rPr>
                <w:sz w:val="18"/>
                <w:szCs w:val="18"/>
                <w:color w:val="auto"/>
              </w:rPr>
            </w:pPr>
          </w:p>
        </w:tc>
      </w:tr>
      <w:tr>
        <w:trPr>
          <w:trHeight w:val="250"/>
        </w:trPr>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212,940</w:t>
            </w:r>
          </w:p>
        </w:tc>
        <w:tc>
          <w:tcPr>
            <w:tcW w:w="100" w:type="dxa"/>
            <w:vAlign w:val="bottom"/>
            <w:tcBorders>
              <w:bottom w:val="single" w:sz="8" w:color="CCEEFF"/>
            </w:tcBorders>
            <w:shd w:val="clear" w:color="auto" w:fill="CCEEFF"/>
          </w:tcPr>
          <w:p>
            <w:pPr>
              <w:spacing w:after="0"/>
              <w:rPr>
                <w:sz w:val="21"/>
                <w:szCs w:val="21"/>
                <w:color w:val="auto"/>
              </w:rPr>
            </w:pPr>
          </w:p>
        </w:tc>
      </w:tr>
    </w:tbl>
    <w:p>
      <w:pPr>
        <w:sectPr>
          <w:pgSz w:w="11900" w:h="16838" w:orient="portrait"/>
          <w:cols w:equalWidth="0" w:num="1">
            <w:col w:w="11440"/>
          </w:cols>
          <w:pgMar w:left="220" w:top="584" w:right="239" w:bottom="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880" w:hanging="426"/>
        <w:spacing w:after="0"/>
        <w:tabs>
          <w:tab w:leader="none" w:pos="8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147"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loss contingencies when it believes that it is both probable that a liability has been incurred and that it can reasonably estimate the amount of the loss. Gain contingencies are recorded when the underlying uncertainty has been settled. Assessments made by the U.K. customs authority in 2012 have been appealed by the Company, which has paid the disputed duty, strictly under protest, pending the outcome of the continuing dispute, and this is included in receivables in the DTC segment. The U.K. customs authority is contesting the Company's appeal. The Company maintains a provision against the related receivable, based on a current evaluation of the collectability, using the latest facts available in the dispute. As of February 2, 2019, the Company had a gross receivable balance of $3.9 million and a reserve of $3.1 million, leaving a net receivable of $0.8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229"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income (loss) per share (in thousands, except share and per share data):</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6"/>
          </w:tcPr>
          <w:p>
            <w:pPr>
              <w:ind w:left="780"/>
              <w:spacing w:after="0"/>
              <w:rPr>
                <w:sz w:val="20"/>
                <w:szCs w:val="20"/>
                <w:color w:val="auto"/>
              </w:rPr>
            </w:pPr>
            <w:r>
              <w:rPr>
                <w:rFonts w:ascii="Arial" w:cs="Arial" w:eastAsia="Arial" w:hAnsi="Arial"/>
                <w:sz w:val="18"/>
                <w:szCs w:val="18"/>
                <w:b w:val="1"/>
                <w:bCs w:val="1"/>
                <w:color w:val="auto"/>
              </w:rPr>
              <w:t>Fiscal year ended</w:t>
            </w:r>
          </w:p>
        </w:tc>
        <w:tc>
          <w:tcPr>
            <w:tcW w:w="10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Five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February 2,</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3"/>
              </w:rPr>
              <w:t>December 30,</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ind w:left="140"/>
              <w:spacing w:after="0" w:line="201" w:lineRule="exact"/>
              <w:rPr>
                <w:sz w:val="20"/>
                <w:szCs w:val="20"/>
                <w:color w:val="auto"/>
              </w:rPr>
            </w:pPr>
            <w:r>
              <w:rPr>
                <w:rFonts w:ascii="Arial" w:cs="Arial" w:eastAsia="Arial" w:hAnsi="Arial"/>
                <w:sz w:val="18"/>
                <w:szCs w:val="18"/>
                <w:color w:val="auto"/>
              </w:rPr>
              <w:t>Net income (loss) before allocation of earnings to participating</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(17,933)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Less: Earnings allocated to participating securities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(17,933)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Weighted average number of common shares outstanding - basic</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14,591,270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15,572,045</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620"/>
              <w:spacing w:after="0"/>
              <w:rPr>
                <w:sz w:val="20"/>
                <w:szCs w:val="20"/>
                <w:color w:val="auto"/>
              </w:rPr>
            </w:pPr>
            <w:r>
              <w:rPr>
                <w:rFonts w:ascii="Arial" w:cs="Arial" w:eastAsia="Arial" w:hAnsi="Arial"/>
                <w:sz w:val="18"/>
                <w:szCs w:val="18"/>
                <w:color w:val="auto"/>
              </w:rPr>
              <w:t>Dilutive effect of share-based awards: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Weighted average number of common shares outstanding - dilutive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14,591,270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15,757,060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14,860,511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20" w:type="dxa"/>
            <w:vAlign w:val="bottom"/>
          </w:tcPr>
          <w:p>
            <w:pPr>
              <w:spacing w:after="0" w:line="182" w:lineRule="exact"/>
              <w:rPr>
                <w:sz w:val="20"/>
                <w:szCs w:val="20"/>
                <w:color w:val="auto"/>
              </w:rPr>
            </w:pPr>
            <w:r>
              <w:rPr>
                <w:rFonts w:ascii="Arial" w:cs="Arial" w:eastAsia="Arial" w:hAnsi="Arial"/>
                <w:sz w:val="18"/>
                <w:szCs w:val="18"/>
                <w:color w:val="auto"/>
                <w:w w:val="95"/>
              </w:rPr>
              <w:t>Basic income (loss) per common share attributable to Build-A-Bear</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(1.23)</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0.50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0"/>
        </w:trPr>
        <w:tc>
          <w:tcPr>
            <w:tcW w:w="5140" w:type="dxa"/>
            <w:vAlign w:val="bottom"/>
            <w:gridSpan w:val="2"/>
          </w:tcPr>
          <w:p>
            <w:pPr>
              <w:spacing w:after="0" w:line="190" w:lineRule="exact"/>
              <w:rPr>
                <w:sz w:val="20"/>
                <w:szCs w:val="20"/>
                <w:color w:val="auto"/>
              </w:rPr>
            </w:pPr>
            <w:r>
              <w:rPr>
                <w:rFonts w:ascii="Arial" w:cs="Arial" w:eastAsia="Arial" w:hAnsi="Arial"/>
                <w:sz w:val="18"/>
                <w:szCs w:val="18"/>
                <w:color w:val="auto"/>
              </w:rPr>
              <w:t>Workshop, Inc. stockholders</w:t>
            </w:r>
          </w:p>
        </w:tc>
        <w:tc>
          <w:tcPr>
            <w:tcW w:w="22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Diluted income (loss) per common share attributable to Build-A-Bear</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Workshop, Inc. stockholders</w:t>
            </w:r>
          </w:p>
        </w:tc>
        <w:tc>
          <w:tcPr>
            <w:tcW w:w="22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In calculating diluted earnings per share for fiscal 2018 and 2017 and the five week transition period ending February 3, 2018, options to purchase 572,239; 325,427; and 380,496; respectively, shares of common stock were outstanding at the end of the period, but were not included in the computation of diluted income per share due to their anti-dilutive effect under provisions of ASC 260-10.</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 2004, the Company adopted the Build-A-Bear Workshop, Inc. 2004 Stock Incentive Plan which the Company amended and restated in 2009 and 2014 (collectively, the Incentive Plans).</w:t>
      </w:r>
    </w:p>
    <w:p>
      <w:pPr>
        <w:spacing w:after="0" w:line="17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Incentive Plans that on or after March 21, 2017 may be forfeited, expire or be settled for cash.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880" w:hanging="426"/>
        <w:spacing w:after="0"/>
        <w:tabs>
          <w:tab w:leader="none" w:pos="8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Intrinsic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200" w:type="dxa"/>
            <w:vAlign w:val="bottom"/>
          </w:tcPr>
          <w:p>
            <w:pPr>
              <w:ind w:left="3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8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Term</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757,784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72,051</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8.85</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(26,795)</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13.45</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Outstanding, December 30, 2017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791,567</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9.67</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9"/>
                <w:szCs w:val="29"/>
                <w:color w:val="auto"/>
                <w:vertAlign w:val="superscript"/>
              </w:rPr>
              <w:t>(1)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213,687</w:t>
            </w: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8.60</w:t>
            </w: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spacing w:after="0" w:line="256" w:lineRule="exact"/>
              <w:rPr>
                <w:sz w:val="20"/>
                <w:szCs w:val="20"/>
                <w:color w:val="auto"/>
              </w:rPr>
            </w:pPr>
            <w:r>
              <w:rPr>
                <w:rFonts w:ascii="Arial" w:cs="Arial" w:eastAsia="Arial" w:hAnsi="Arial"/>
                <w:sz w:val="18"/>
                <w:szCs w:val="18"/>
                <w:color w:val="auto"/>
              </w:rPr>
              <w:t xml:space="preserve">Exercised </w:t>
            </w:r>
            <w:r>
              <w:rPr>
                <w:rFonts w:ascii="Arial" w:cs="Arial" w:eastAsia="Arial" w:hAnsi="Arial"/>
                <w:sz w:val="29"/>
                <w:szCs w:val="29"/>
                <w:color w:val="auto"/>
                <w:vertAlign w:val="superscript"/>
              </w:rPr>
              <w:t>(1)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(53,040)</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5.20</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11.19</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Outstanding, February 2, 2019</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950,678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9.67</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w:t>
            </w:r>
          </w:p>
        </w:tc>
        <w:tc>
          <w:tcPr>
            <w:tcW w:w="1160" w:type="dxa"/>
            <w:vAlign w:val="bottom"/>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Options Exercisable as of:</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February 2, 2019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625,663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9.69</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60" w:hanging="211"/>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No options were granted or exercised for the five weeks ended February 3, 2018.</w:t>
      </w:r>
    </w:p>
    <w:p>
      <w:pPr>
        <w:spacing w:after="0" w:line="20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expense recorded related to options granted during fiscal 2018 and 2017 was determined using the Black-Scholes option pricing model and the provisions of SAB 107 and 110, which allow the use of a simplified method to estimate the expected term of “plain vanilla” options. The assumptions used in the option pricing model during fiscal 2018 and 2017 were: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Historical volatility</w:t>
            </w: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Expected life</w:t>
            </w: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5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total grant date fair value of options exercised in fiscal 2018 and 2017 was approximately $0.2 million and less than $0.1 million, respectively. The total intrinsic value of options exercised in fiscal 2018 and 2017 was approximately $0.2 million and less than $0.1 million, respectively. The Company generally issues new shares to satisfy option exercises.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Future shares available for option, non-vested stock and restricted stock grants were 529,098 and 984,758 at the end of 2018 and 2017, respectively.</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2" w:name="page53"/>
    <w:bookmarkEnd w:id="52"/>
    <w:p>
      <w:pPr>
        <w:ind w:left="880" w:hanging="426"/>
        <w:spacing w:after="0"/>
        <w:tabs>
          <w:tab w:leader="none" w:pos="8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Company granted restricted stock awards that vest over a one to three-year period. Recipients of time-based restricted stock awards have the right to vote and receive dividends as to all unvested shares.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120"/>
              <w:spacing w:after="0"/>
              <w:rPr>
                <w:sz w:val="20"/>
                <w:szCs w:val="20"/>
                <w:color w:val="auto"/>
              </w:rPr>
            </w:pPr>
            <w:r>
              <w:rPr>
                <w:rFonts w:ascii="Arial" w:cs="Arial" w:eastAsia="Arial" w:hAnsi="Arial"/>
                <w:sz w:val="18"/>
                <w:szCs w:val="18"/>
                <w:b w:val="1"/>
                <w:bCs w:val="1"/>
                <w:color w:val="auto"/>
                <w:w w:val="97"/>
              </w:rPr>
              <w:t>Performance-Based Restricted</w:t>
            </w:r>
          </w:p>
        </w:tc>
      </w:tr>
      <w:tr>
        <w:trPr>
          <w:trHeight w:val="234"/>
        </w:trPr>
        <w:tc>
          <w:tcPr>
            <w:tcW w:w="5320" w:type="dxa"/>
            <w:vAlign w:val="bottom"/>
          </w:tcPr>
          <w:p>
            <w:pPr>
              <w:spacing w:after="0"/>
              <w:rPr>
                <w:sz w:val="20"/>
                <w:szCs w:val="20"/>
                <w:color w:val="auto"/>
              </w:rPr>
            </w:pPr>
          </w:p>
        </w:tc>
        <w:tc>
          <w:tcPr>
            <w:tcW w:w="28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5"/>
              </w:rPr>
              <w:t>Time-Based Restricted Stock</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3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320" w:type="dxa"/>
            <w:vAlign w:val="bottom"/>
          </w:tcPr>
          <w:p>
            <w:pPr>
              <w:spacing w:after="0"/>
              <w:rPr>
                <w:sz w:val="20"/>
                <w:szCs w:val="20"/>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241,141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258,060</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83,897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(179,132)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(33,505)</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(15,247)</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r>
      <w:tr>
        <w:trPr>
          <w:trHeight w:val="20"/>
        </w:trPr>
        <w:tc>
          <w:tcPr>
            <w:tcW w:w="5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Outstanding, December 30, 2017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361,539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289,615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13.66</w:t>
            </w:r>
          </w:p>
        </w:tc>
      </w:tr>
      <w:tr>
        <w:trPr>
          <w:trHeight w:val="257"/>
        </w:trPr>
        <w:tc>
          <w:tcPr>
            <w:tcW w:w="5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9"/>
                <w:szCs w:val="29"/>
                <w:color w:val="auto"/>
                <w:vertAlign w:val="superscript"/>
              </w:rPr>
              <w:t>(1)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208,913</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83,256</w:t>
            </w: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8.60</w:t>
            </w:r>
          </w:p>
        </w:tc>
      </w:tr>
      <w:tr>
        <w:trPr>
          <w:trHeight w:val="257"/>
        </w:trPr>
        <w:tc>
          <w:tcPr>
            <w:tcW w:w="5320" w:type="dxa"/>
            <w:vAlign w:val="bottom"/>
          </w:tcPr>
          <w:p>
            <w:pPr>
              <w:spacing w:after="0" w:line="256"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9"/>
                <w:szCs w:val="29"/>
                <w:color w:val="auto"/>
                <w:vertAlign w:val="superscript"/>
              </w:rPr>
              <w:t>(1)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(178,329)</w:t>
            </w:r>
          </w:p>
        </w:tc>
        <w:tc>
          <w:tcPr>
            <w:tcW w:w="1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11.82</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(6,323)</w:t>
            </w:r>
          </w:p>
        </w:tc>
        <w:tc>
          <w:tcPr>
            <w:tcW w:w="14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20.58</w:t>
            </w:r>
          </w:p>
        </w:tc>
      </w:tr>
      <w:tr>
        <w:trPr>
          <w:trHeight w:val="257"/>
        </w:trPr>
        <w:tc>
          <w:tcPr>
            <w:tcW w:w="5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9"/>
                <w:szCs w:val="29"/>
                <w:color w:val="auto"/>
                <w:vertAlign w:val="superscript"/>
              </w:rPr>
              <w:t>(1)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(12,345)</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Canceled or expired</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(199,395)</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15.47</w:t>
            </w:r>
          </w:p>
        </w:tc>
      </w:tr>
      <w:tr>
        <w:trPr>
          <w:trHeight w:val="20"/>
        </w:trPr>
        <w:tc>
          <w:tcPr>
            <w:tcW w:w="5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2, 2019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379,778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167,153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8.73</w:t>
            </w: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2" w:lineRule="exact"/>
        <w:rPr>
          <w:sz w:val="20"/>
          <w:szCs w:val="20"/>
          <w:color w:val="auto"/>
        </w:rPr>
      </w:pPr>
    </w:p>
    <w:p>
      <w:pPr>
        <w:ind w:firstLine="449"/>
        <w:spacing w:after="0" w:line="243" w:lineRule="auto"/>
        <w:tabs>
          <w:tab w:leader="none" w:pos="653"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Restricted stock for the five weeks ended February 3, 2018 included the following activity: granted 3,479 shares with a weighted average grant date fair value of $9.25, vested 129 shares with a weighted average grant date fair value of $11.65 and forfeited 7,477 shares with a weighted average grant date fair value of $10.70. No performance shares activity occurred for the five weeks ended February 3, 2018.</w:t>
      </w:r>
    </w:p>
    <w:p>
      <w:pPr>
        <w:spacing w:after="0" w:line="20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2018, the Company awarded three-year performance-based restricted stock subject to the achievement of pre-established consolidated pre-tax income growth objectives for fiscal 2018, 2019 and 2020. The target number of shares awarded was 62,500 with a weighted average grant date fair value of $8.60 per share. In addition, the Company awarded three-year performance-based restricted stock subject to the achievement of pre-established consolidated revenue growth objectives for fiscal 2018, 2019 and 2020. The target number of shares awarded was 20,756 with a weighted average grant date fair value of $8.60 per share. Both of these performance-based restricted stock awards had a payout opportunity ranging from 25% to 200% of the target number of shares. Based on the Company’s financial results for fiscal 2018, the Company is currently unable to estimate the total number of these shares expected to be earned.</w:t>
      </w:r>
    </w:p>
    <w:p>
      <w:pPr>
        <w:spacing w:after="0" w:line="189"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In 2017, the Company awarded three-year performance-based restricted stock subject to the achievement of pre-established pre-tax income growth objectives for fiscal 2017, 2018 and 2019. The target number of shares awarded was 83,897 with a weighted average grant date fair value of $8.85 per share. These shares of performance-based restricted stock had a payout opportunity ranging from 25% to 200% of the target number of shares. Based on the Company’s pre-tax income results for fiscal 2017 and 2018, the Company currently estimates the minimum number of shares that will be earned is approximately 12,580, assuming no forfeitures. The Company is currently unable to estimate the total number of these shares expected to be earned.</w:t>
      </w:r>
    </w:p>
    <w:p>
      <w:pPr>
        <w:spacing w:after="0" w:line="158"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In 2016, the Company awarded three-year performance-based restricted stock subject to the achievement of pre-established cumulative total revenue goals for fiscal 2016, 2017 and 2018. The target number of shares awarded was 149,393 with a weighted average grant date fair value of $13.69 per share. These shares of three-year performance-based restricted stock had a payout opportunity ranging from 50% to 200% of the target number of shares. The Company does not expect these shares to be earned.</w:t>
      </w:r>
    </w:p>
    <w:p>
      <w:pPr>
        <w:spacing w:after="0" w:line="187"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The vesting date fair value of shares that vested in fiscal 2018 and 2017 was $2.2 million and $2.3 million, respectively. The aggregate unearned compensation expense related to options and restricted stock was $3.1 million as of February 2, 2019 and is expected to be recognized over a weighted average period of 1.3 years.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outstanding shares of common stock for fiscal 2017, the five weeks ended February 3, 2018 and fiscal 2018:</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Shares as of December 31, 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15,856,927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360" w:type="dxa"/>
            <w:vAlign w:val="bottom"/>
          </w:tcPr>
          <w:p>
            <w:pPr>
              <w:jc w:val="right"/>
              <w:spacing w:after="0"/>
              <w:rPr>
                <w:sz w:val="20"/>
                <w:szCs w:val="20"/>
                <w:color w:val="auto"/>
              </w:rPr>
            </w:pPr>
            <w:r>
              <w:rPr>
                <w:rFonts w:ascii="Arial" w:cs="Arial" w:eastAsia="Arial" w:hAnsi="Arial"/>
                <w:sz w:val="18"/>
                <w:szCs w:val="18"/>
                <w:color w:val="auto"/>
              </w:rPr>
              <w:t>172,758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 as of December 30, 2017</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15,515,960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(528,228)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Shares as of February 3,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14,983,694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207,406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(237,958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tcPr>
          <w:p>
            <w:pPr>
              <w:spacing w:after="0"/>
              <w:rPr>
                <w:sz w:val="20"/>
                <w:szCs w:val="20"/>
                <w:color w:val="auto"/>
              </w:rPr>
            </w:pPr>
            <w:r>
              <w:rPr>
                <w:rFonts w:ascii="Arial" w:cs="Arial" w:eastAsia="Arial" w:hAnsi="Arial"/>
                <w:sz w:val="18"/>
                <w:szCs w:val="18"/>
                <w:color w:val="auto"/>
              </w:rPr>
              <w:t>Shares as of February 2,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14,953,142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Vendors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Four vendors, each of whose primary manufacturing facilities are located in Asia, accounted for approximately 78% and 79% of inventory purchases in 2018 and 2017,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China, Denmark, Ireland and the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Ireland and Denmark), Asia, Australia, the Middle East, Africa and Mexico.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4" w:name="page55"/>
    <w:bookmarkEnd w:id="54"/>
    <w:p>
      <w:pPr>
        <w:ind w:firstLine="324"/>
        <w:spacing w:after="0" w:line="302" w:lineRule="auto"/>
        <w:rPr>
          <w:sz w:val="20"/>
          <w:szCs w:val="20"/>
          <w:color w:val="auto"/>
        </w:rPr>
      </w:pPr>
      <w:r>
        <w:rPr>
          <w:rFonts w:ascii="Arial" w:cs="Arial" w:eastAsia="Arial" w:hAnsi="Arial"/>
          <w:sz w:val="16"/>
          <w:szCs w:val="16"/>
          <w:color w:val="auto"/>
        </w:rPr>
        <w:t>For fiscal year 2018 and 2017, Store asset impairment charges were disclosed as a separate line item within the consolidated statement of operations, including $4.6 million in the fourth quarter of fiscal 2018. In addition, asset impairment charges of $0.7 million were recorded in the fourth quarter of fiscal 2018 and included within selling, general and administrative expenses. See Note 5 — Property and Equipment, net for additional information regarding these charges within the DTC segment. Following is a summary of the financial information for the Company’s reporting segments (in thousands):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Direct-to-</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International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Consumer</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Franchising</w:t>
            </w: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February 2, 2019</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326,304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6,560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336,585</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(20,801)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2,293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(18,507)</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11,253</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11,253</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16,013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16,042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Fifty-two weeks ended December 30, 2017</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357,866</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2,443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13,813</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18,073</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16,101</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16,165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Five weeks ended February 3, 2018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29,586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30,223</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February 2,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159,269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7,283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5,494</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172,046</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30, 2017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188,685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197,989</w:t>
            </w:r>
          </w:p>
        </w:tc>
      </w:tr>
    </w:tbl>
    <w:p>
      <w:pPr>
        <w:spacing w:after="0" w:line="202" w:lineRule="exact"/>
        <w:rPr>
          <w:sz w:val="20"/>
          <w:szCs w:val="20"/>
          <w:color w:val="auto"/>
        </w:rPr>
      </w:pPr>
    </w:p>
    <w:p>
      <w:pPr>
        <w:jc w:val="both"/>
        <w:ind w:right="440" w:firstLine="441"/>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North</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5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380"/>
              <w:spacing w:after="0" w:line="271" w:lineRule="exact"/>
              <w:rPr>
                <w:sz w:val="20"/>
                <w:szCs w:val="20"/>
                <w:color w:val="auto"/>
              </w:rPr>
            </w:pPr>
            <w:r>
              <w:rPr>
                <w:rFonts w:ascii="Arial" w:cs="Arial" w:eastAsia="Arial" w:hAnsi="Arial"/>
                <w:sz w:val="18"/>
                <w:szCs w:val="18"/>
                <w:b w:val="1"/>
                <w:bCs w:val="1"/>
                <w:color w:val="auto"/>
                <w:w w:val="87"/>
              </w:rPr>
              <w:t xml:space="preserve">America </w:t>
            </w:r>
            <w:r>
              <w:rPr>
                <w:rFonts w:ascii="Arial" w:cs="Arial" w:eastAsia="Arial" w:hAnsi="Arial"/>
                <w:sz w:val="30"/>
                <w:szCs w:val="30"/>
                <w:b w:val="1"/>
                <w:bCs w:val="1"/>
                <w:color w:val="auto"/>
                <w:w w:val="87"/>
                <w:vertAlign w:val="superscript"/>
              </w:rPr>
              <w:t>(1)</w:t>
            </w:r>
          </w:p>
        </w:tc>
        <w:tc>
          <w:tcPr>
            <w:tcW w:w="140" w:type="dxa"/>
            <w:vAlign w:val="bottom"/>
          </w:tcPr>
          <w:p>
            <w:pPr>
              <w:spacing w:after="0"/>
              <w:rPr>
                <w:sz w:val="23"/>
                <w:szCs w:val="23"/>
                <w:color w:val="auto"/>
              </w:rPr>
            </w:pPr>
          </w:p>
        </w:tc>
        <w:tc>
          <w:tcPr>
            <w:tcW w:w="1260" w:type="dxa"/>
            <w:vAlign w:val="bottom"/>
            <w:gridSpan w:val="2"/>
          </w:tcPr>
          <w:p>
            <w:pPr>
              <w:jc w:val="right"/>
              <w:ind w:right="420"/>
              <w:spacing w:after="0" w:line="271" w:lineRule="exact"/>
              <w:rPr>
                <w:sz w:val="20"/>
                <w:szCs w:val="20"/>
                <w:color w:val="auto"/>
              </w:rPr>
            </w:pPr>
            <w:r>
              <w:rPr>
                <w:rFonts w:ascii="Arial" w:cs="Arial" w:eastAsia="Arial" w:hAnsi="Arial"/>
                <w:sz w:val="18"/>
                <w:szCs w:val="18"/>
                <w:b w:val="1"/>
                <w:bCs w:val="1"/>
                <w:color w:val="auto"/>
                <w:w w:val="89"/>
              </w:rPr>
              <w:t xml:space="preserve">Europe </w:t>
            </w:r>
            <w:r>
              <w:rPr>
                <w:rFonts w:ascii="Arial" w:cs="Arial" w:eastAsia="Arial" w:hAnsi="Arial"/>
                <w:sz w:val="30"/>
                <w:szCs w:val="30"/>
                <w:b w:val="1"/>
                <w:bCs w:val="1"/>
                <w:color w:val="auto"/>
                <w:w w:val="89"/>
                <w:vertAlign w:val="superscript"/>
              </w:rPr>
              <w:t>(2)</w:t>
            </w:r>
          </w:p>
        </w:tc>
        <w:tc>
          <w:tcPr>
            <w:tcW w:w="180" w:type="dxa"/>
            <w:vAlign w:val="bottom"/>
          </w:tcPr>
          <w:p>
            <w:pPr>
              <w:spacing w:after="0"/>
              <w:rPr>
                <w:sz w:val="23"/>
                <w:szCs w:val="23"/>
                <w:color w:val="auto"/>
              </w:rPr>
            </w:pPr>
          </w:p>
        </w:tc>
        <w:tc>
          <w:tcPr>
            <w:tcW w:w="1220" w:type="dxa"/>
            <w:vAlign w:val="bottom"/>
            <w:gridSpan w:val="2"/>
          </w:tcPr>
          <w:p>
            <w:pPr>
              <w:ind w:left="80"/>
              <w:spacing w:after="0" w:line="271"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30"/>
                <w:szCs w:val="30"/>
                <w:b w:val="1"/>
                <w:bCs w:val="1"/>
                <w:color w:val="auto"/>
                <w:vertAlign w:val="superscript"/>
              </w:rPr>
              <w:t>(3)</w:t>
            </w:r>
          </w:p>
        </w:tc>
        <w:tc>
          <w:tcPr>
            <w:tcW w:w="260" w:type="dxa"/>
            <w:vAlign w:val="bottom"/>
          </w:tcPr>
          <w:p>
            <w:pPr>
              <w:spacing w:after="0"/>
              <w:rPr>
                <w:sz w:val="23"/>
                <w:szCs w:val="23"/>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February 2, 2019</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283,347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336,585</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60,490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5,860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66,368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Fifty-two weeks ended December 30, 2017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293,282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61,901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357,866</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68,141</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9,578</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77,751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Five weeks ended February 3, 2018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24,575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5,471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30,223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Europe includes the U.K., Ireland, Denmark and franchise businesses in Europe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a corporately-managed location in China</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(16)  Transition Period Financial Information</w:t>
      </w:r>
    </w:p>
    <w:p>
      <w:pPr>
        <w:spacing w:after="0" w:line="229"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In January 2018, the Company’s Board of Directors approved a change in the Company’s fiscal year-end, which previously ended on the Saturday closest to December 31, to the Saturday closest to January 31. Accordingly, the Company is presenting audited financial statements for a five week transition period, December 31, 2017 through February 3, 2018. The following table provides certain unaudited comparative financial information for the same period of the prior year (in thousands, except share and per share amounts):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5 Weeks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4 Weeks</w:t>
            </w:r>
          </w:p>
        </w:tc>
      </w:tr>
      <w:tr>
        <w:trPr>
          <w:trHeight w:val="216"/>
        </w:trPr>
        <w:tc>
          <w:tcPr>
            <w:tcW w:w="6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6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February 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January 28,</w:t>
            </w:r>
          </w:p>
        </w:tc>
      </w:tr>
      <w:tr>
        <w:trPr>
          <w:trHeight w:val="220"/>
        </w:trPr>
        <w:tc>
          <w:tcPr>
            <w:tcW w:w="6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2"/>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30"/>
        </w:trPr>
        <w:tc>
          <w:tcPr>
            <w:tcW w:w="6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(unaudited)</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1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6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30,223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24,130</w:t>
            </w:r>
          </w:p>
        </w:tc>
      </w:tr>
      <w:tr>
        <w:trPr>
          <w:trHeight w:val="20"/>
        </w:trPr>
        <w:tc>
          <w:tcPr>
            <w:tcW w:w="6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gross profit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10,045</w:t>
            </w:r>
          </w:p>
        </w:tc>
      </w:tr>
      <w:tr>
        <w:trPr>
          <w:trHeight w:val="20"/>
        </w:trPr>
        <w:tc>
          <w:tcPr>
            <w:tcW w:w="65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5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14,920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11,231</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65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5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benefit expense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r>
      <w:tr>
        <w:trPr>
          <w:trHeight w:val="20"/>
        </w:trPr>
        <w:tc>
          <w:tcPr>
            <w:tcW w:w="65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5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line="210" w:lineRule="exact"/>
              <w:rPr>
                <w:sz w:val="20"/>
                <w:szCs w:val="20"/>
                <w:color w:val="auto"/>
              </w:rPr>
            </w:pPr>
            <w:r>
              <w:rPr>
                <w:rFonts w:ascii="Arial" w:cs="Arial" w:eastAsia="Arial" w:hAnsi="Arial"/>
                <w:sz w:val="14"/>
                <w:szCs w:val="14"/>
                <w:color w:val="auto"/>
              </w:rPr>
              <w:t>(845</w:t>
            </w:r>
            <w:r>
              <w:rPr>
                <w:rFonts w:ascii="Arial" w:cs="Arial" w:eastAsia="Arial" w:hAnsi="Arial"/>
                <w:sz w:val="24"/>
                <w:szCs w:val="24"/>
                <w:color w:val="auto"/>
                <w:vertAlign w:val="subscript"/>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line="210" w:lineRule="exact"/>
              <w:rPr>
                <w:sz w:val="20"/>
                <w:szCs w:val="20"/>
                <w:color w:val="auto"/>
              </w:rPr>
            </w:pPr>
            <w:r>
              <w:rPr>
                <w:rFonts w:ascii="Arial" w:cs="Arial" w:eastAsia="Arial" w:hAnsi="Arial"/>
                <w:sz w:val="14"/>
                <w:szCs w:val="14"/>
                <w:color w:val="auto"/>
              </w:rPr>
              <w:t>(760</w:t>
            </w:r>
            <w:r>
              <w:rPr>
                <w:rFonts w:ascii="Arial" w:cs="Arial" w:eastAsia="Arial" w:hAnsi="Arial"/>
                <w:sz w:val="24"/>
                <w:szCs w:val="24"/>
                <w:color w:val="auto"/>
                <w:vertAlign w:val="subscript"/>
              </w:rPr>
              <w:t>)</w:t>
            </w:r>
          </w:p>
        </w:tc>
      </w:tr>
      <w:tr>
        <w:trPr>
          <w:trHeight w:val="20"/>
        </w:trPr>
        <w:tc>
          <w:tcPr>
            <w:tcW w:w="6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common share</w:t>
            </w: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used in computing per share amounts - basic and diluted</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14,860,511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15,526,642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00" w:lineRule="exact"/>
        <w:rPr>
          <w:sz w:val="20"/>
          <w:szCs w:val="20"/>
          <w:color w:val="auto"/>
        </w:rPr>
      </w:pPr>
    </w:p>
    <w:p>
      <w:pPr>
        <w:spacing w:after="0" w:line="27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the period after February 2, 2019, the Company entered into a nineteenth amendment which amends the Credit Agreement and Revolving Credit Note with its lender. See Note 9 — Line of Credit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700" w:type="dxa"/>
            <w:vAlign w:val="bottom"/>
            <w:gridSpan w:val="2"/>
          </w:tcPr>
          <w:p>
            <w:pPr>
              <w:ind w:left="44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Beginning</w:t>
            </w: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Charged to cost</w:t>
            </w:r>
          </w:p>
        </w:tc>
        <w:tc>
          <w:tcPr>
            <w:tcW w:w="240" w:type="dxa"/>
            <w:vAlign w:val="bottom"/>
          </w:tcPr>
          <w:p>
            <w:pPr>
              <w:spacing w:after="0"/>
              <w:rPr>
                <w:sz w:val="24"/>
                <w:szCs w:val="24"/>
                <w:color w:val="auto"/>
              </w:rPr>
            </w:pPr>
          </w:p>
        </w:tc>
        <w:tc>
          <w:tcPr>
            <w:tcW w:w="1200" w:type="dxa"/>
            <w:vAlign w:val="bottom"/>
            <w:vMerge w:val="restart"/>
          </w:tcPr>
          <w:p>
            <w:pPr>
              <w:jc w:val="right"/>
              <w:ind w:right="192"/>
              <w:spacing w:after="0"/>
              <w:rPr>
                <w:sz w:val="20"/>
                <w:szCs w:val="20"/>
                <w:color w:val="auto"/>
              </w:rPr>
            </w:pPr>
            <w:r>
              <w:rPr>
                <w:rFonts w:ascii="Arial" w:cs="Arial" w:eastAsia="Arial" w:hAnsi="Arial"/>
                <w:sz w:val="36"/>
                <w:szCs w:val="36"/>
                <w:b w:val="1"/>
                <w:bCs w:val="1"/>
                <w:color w:val="auto"/>
                <w:w w:val="82"/>
                <w:vertAlign w:val="subscript"/>
              </w:rPr>
              <w:t>Other</w:t>
            </w:r>
            <w:r>
              <w:rPr>
                <w:rFonts w:ascii="Arial" w:cs="Arial" w:eastAsia="Arial" w:hAnsi="Arial"/>
                <w:sz w:val="15"/>
                <w:szCs w:val="15"/>
                <w:b w:val="1"/>
                <w:bCs w:val="1"/>
                <w:color w:val="auto"/>
                <w:w w:val="82"/>
              </w:rPr>
              <w:t xml:space="preserve"> (1) (2)</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6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83"/>
              </w:rPr>
              <w:t>and expenses</w:t>
            </w:r>
          </w:p>
        </w:tc>
        <w:tc>
          <w:tcPr>
            <w:tcW w:w="2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Ending Balance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5,079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Five weeks ended February 3, 2018</w:t>
            </w:r>
          </w:p>
        </w:tc>
        <w:tc>
          <w:tcPr>
            <w:tcW w:w="6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Receivables Allowance for Doubtful Accounts</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1,111</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Five weeks ended February 3, 2018</w:t>
            </w:r>
          </w:p>
        </w:tc>
        <w:tc>
          <w:tcPr>
            <w:tcW w:w="6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5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840" w:hanging="261"/>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deferred tax asset valuation allowance represent reserves utilized and the impact of currency translation</w:t>
      </w:r>
    </w:p>
    <w:p>
      <w:pPr>
        <w:spacing w:after="0" w:line="9" w:lineRule="exact"/>
        <w:rPr>
          <w:rFonts w:ascii="Arial" w:cs="Arial" w:eastAsia="Arial" w:hAnsi="Arial"/>
          <w:sz w:val="18"/>
          <w:szCs w:val="18"/>
          <w:color w:val="auto"/>
        </w:rPr>
      </w:pPr>
    </w:p>
    <w:p>
      <w:pPr>
        <w:ind w:left="580" w:right="1000" w:hanging="1"/>
        <w:spacing w:after="0" w:line="261" w:lineRule="auto"/>
        <w:tabs>
          <w:tab w:leader="none" w:pos="8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receivables allowance for doubtful accounts represent uncollectible accounts written off, recoveries and the impact of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-285115</wp:posOffset>
            </wp:positionV>
            <wp:extent cx="651764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7640" cy="27432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380" w:type="dxa"/>
            <w:vAlign w:val="bottom"/>
            <w:tcBorders>
              <w:bottom w:val="single" w:sz="8" w:color="auto"/>
            </w:tcBorders>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Borders>
              <w:bottom w:val="single" w:sz="8" w:color="0000EE"/>
            </w:tcBorders>
            <w:gridSpan w:val="16"/>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340" w:type="dxa"/>
            <w:vAlign w:val="bottom"/>
            <w:gridSpan w:val="6"/>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from Exhibit 2.1 to our Registration Statement on Form S-1, filed on August 12, 2004, Registration No. 333-118142)</w:t>
              </w:r>
            </w:hyperlink>
          </w:p>
        </w:tc>
        <w:tc>
          <w:tcPr>
            <w:tcW w:w="1920" w:type="dxa"/>
            <w:vAlign w:val="bottom"/>
            <w:gridSpan w:val="14"/>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360" w:type="dxa"/>
            <w:vAlign w:val="bottom"/>
            <w:tcBorders>
              <w:bottom w:val="single" w:sz="8" w:color="0000EE"/>
            </w:tcBorders>
            <w:gridSpan w:val="21"/>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Third Amended and Restated Certificate of Incorporation (incorporated by reference from Exhibit 3.1 of our Current Report on Form 8-K, filed</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on November 8, 2004)</w:t>
              </w:r>
            </w:hyperlink>
          </w:p>
        </w:tc>
        <w:tc>
          <w:tcPr>
            <w:tcW w:w="8740" w:type="dxa"/>
            <w:vAlign w:val="bottom"/>
            <w:gridSpan w:val="21"/>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Amended and Restated Bylaws, as amended through January 4, 2018 (incorporated by reference from Exhibit 3.1 to our Current Report on</w:t>
              </w:r>
            </w:hyperlink>
          </w:p>
        </w:tc>
        <w:tc>
          <w:tcPr>
            <w:tcW w:w="360" w:type="dxa"/>
            <w:vAlign w:val="bottom"/>
            <w:gridSpan w:val="7"/>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Form 8-K, filed on January 4, 2018)</w:t>
              </w:r>
            </w:hyperlink>
          </w:p>
        </w:tc>
        <w:tc>
          <w:tcPr>
            <w:tcW w:w="7760" w:type="dxa"/>
            <w:vAlign w:val="bottom"/>
            <w:gridSpan w:val="20"/>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80" w:type="dxa"/>
            <w:vAlign w:val="bottom"/>
            <w:tcBorders>
              <w:bottom w:val="single" w:sz="8" w:color="0000EE"/>
            </w:tcBorders>
            <w:gridSpan w:val="20"/>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Specimen Stock Certificate (incorporated by reference from Exhibit 4.1 to Amendment No. 3 to our Registration Statement on Form S-1, filed</w:t>
              </w:r>
            </w:hyperlink>
          </w:p>
        </w:tc>
        <w:tc>
          <w:tcPr>
            <w:tcW w:w="10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on October 1, 2004, Registration No. 333-118142)</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Build-A-Bear Workshop, Inc. Amended and Restated 2004 Stock Incentive Plan (incorporated by reference from Exhibit 10.1 to our Current</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Report on Form 8-K, filed on August 1, 2006)</w:t>
              </w:r>
            </w:hyperlink>
          </w:p>
        </w:tc>
        <w:tc>
          <w:tcPr>
            <w:tcW w:w="680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w w:val="93"/>
              </w:rPr>
            </w:pPr>
            <w:hyperlink r:id="rId91">
              <w:r>
                <w:rPr>
                  <w:rFonts w:ascii="Arial" w:cs="Arial" w:eastAsia="Arial" w:hAnsi="Arial"/>
                  <w:sz w:val="18"/>
                  <w:szCs w:val="18"/>
                  <w:color w:val="0000EE"/>
                  <w:w w:val="93"/>
                </w:rPr>
                <w:t>Second Amended and Restated Build-A-Bear Workshop, Inc. 2004 Stock Incentive Plan (incorporated by reference from Exhibit 99.1 on our</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Registration Statement on Form S-8, filed on May 18, 2009)</w:t>
              </w:r>
            </w:hyperlink>
          </w:p>
        </w:tc>
        <w:tc>
          <w:tcPr>
            <w:tcW w:w="220" w:type="dxa"/>
            <w:vAlign w:val="bottom"/>
            <w:gridSpan w:val="3"/>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040" w:type="dxa"/>
            <w:vAlign w:val="bottom"/>
            <w:tcBorders>
              <w:bottom w:val="single" w:sz="8" w:color="0000EE"/>
            </w:tcBorders>
            <w:gridSpan w:val="16"/>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Third Amended and Restated Build-A-Bear Workshop, Inc. 2004 Stock Incentive Plan (incorporated by reference from Exhibit 10.1 on our</w:t>
              </w:r>
            </w:hyperlink>
          </w:p>
        </w:tc>
        <w:tc>
          <w:tcPr>
            <w:tcW w:w="340" w:type="dxa"/>
            <w:vAlign w:val="bottom"/>
            <w:gridSpan w:val="6"/>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Current Report on Form 8-K, filed on May 12, 2014)</w:t>
              </w:r>
            </w:hyperlink>
          </w:p>
        </w:tc>
        <w:tc>
          <w:tcPr>
            <w:tcW w:w="6540" w:type="dxa"/>
            <w:vAlign w:val="bottom"/>
            <w:gridSpan w:val="17"/>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Form of the Restricted Stock and Non-Qualified Stock Option Agreement under the Registrant’s Second Amended and Restated 2004 Stock</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Incentive Plan (incorporated by reference from Exhibit 10.1 on our Quarterly Report on Form 10-Q, filed on May 14, 2009)</w:t>
              </w:r>
            </w:hyperlink>
          </w:p>
        </w:tc>
        <w:tc>
          <w:tcPr>
            <w:tcW w:w="1160" w:type="dxa"/>
            <w:vAlign w:val="bottom"/>
            <w:tcBorders>
              <w:top w:val="single" w:sz="8" w:color="0000EE"/>
            </w:tcBorders>
            <w:gridSpan w:val="6"/>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380" w:type="dxa"/>
            <w:vAlign w:val="bottom"/>
            <w:gridSpan w:val="22"/>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the Restricted Stock and Non-Qualified Stock Option Agreement under the Registrant’s Second Amended and Restated 2004 Stock</w:t>
              </w:r>
            </w:hyperlink>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Incentive Plan (incorporated by reference from Exhibit 10.2 on our Current Report on Form 8-K, filed on March 28, 2011)</w:t>
              </w:r>
            </w:hyperlink>
          </w:p>
        </w:tc>
        <w:tc>
          <w:tcPr>
            <w:tcW w:w="1260" w:type="dxa"/>
            <w:vAlign w:val="bottom"/>
            <w:tcBorders>
              <w:top w:val="single" w:sz="8" w:color="0000EE"/>
            </w:tcBorders>
            <w:gridSpan w:val="7"/>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9980" w:type="dxa"/>
            <w:vAlign w:val="bottom"/>
            <w:tcBorders>
              <w:bottom w:val="single" w:sz="8" w:color="0000EE"/>
            </w:tcBorders>
            <w:gridSpan w:val="14"/>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Form of the Restricted Stock and Non-Qualified Stock Option Agreement under the Registrant’s Third Amended and Restated 2004 Stock</w:t>
              </w:r>
            </w:hyperlink>
          </w:p>
        </w:tc>
        <w:tc>
          <w:tcPr>
            <w:tcW w:w="400" w:type="dxa"/>
            <w:vAlign w:val="bottom"/>
            <w:gridSpan w:val="8"/>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Incentive Plan (incorporated by reference from Exhibit 10.2 on our Current Report on Form 8-K, filed on May 12, 2014)</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7"/>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980" w:type="dxa"/>
            <w:vAlign w:val="bottom"/>
            <w:tcBorders>
              <w:bottom w:val="single" w:sz="8" w:color="0000EE"/>
            </w:tcBorders>
            <w:gridSpan w:val="14"/>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Form of the Restricted Stock and Non-Qualified Stock Option Agreement under the Registrant’s Third Amended and Restated 2004 Stock</w:t>
              </w:r>
            </w:hyperlink>
          </w:p>
        </w:tc>
        <w:tc>
          <w:tcPr>
            <w:tcW w:w="400" w:type="dxa"/>
            <w:vAlign w:val="bottom"/>
            <w:gridSpan w:val="8"/>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Incentive Plan (incorporated by reference from Exhibit 10.1 on our Current Report on Form 8-K, filed on March 20, 2015)</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7"/>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900" w:type="dxa"/>
            <w:vAlign w:val="bottom"/>
            <w:tcBorders>
              <w:bottom w:val="single" w:sz="8" w:color="0000EE"/>
            </w:tcBorders>
            <w:gridSpan w:val="13"/>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Form of the Restricted Stock Agreement under the Registrant’s Third Amended and Restated 2004 Stock Incentive Plan (incorporated by</w:t>
              </w:r>
            </w:hyperlink>
          </w:p>
        </w:tc>
        <w:tc>
          <w:tcPr>
            <w:tcW w:w="480" w:type="dxa"/>
            <w:vAlign w:val="bottom"/>
            <w:gridSpan w:val="9"/>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from Exhibit 10.2 on our Current Report on Form 8-K, filed on March 20, 2015)</w:t>
              </w:r>
            </w:hyperlink>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20" w:type="dxa"/>
            <w:vAlign w:val="bottom"/>
            <w:gridSpan w:val="7"/>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9720" w:type="dxa"/>
            <w:vAlign w:val="bottom"/>
            <w:tcBorders>
              <w:bottom w:val="single" w:sz="8" w:color="0000EE"/>
            </w:tcBorders>
            <w:gridSpan w:val="12"/>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Form of Restricted Stock and Non-Qualified Stock Option Agreement under the Registrant’s Third Amended and Restated 2004 Stock</w:t>
              </w:r>
            </w:hyperlink>
          </w:p>
        </w:tc>
        <w:tc>
          <w:tcPr>
            <w:tcW w:w="660" w:type="dxa"/>
            <w:vAlign w:val="bottom"/>
            <w:gridSpan w:val="10"/>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Incentive Plan (incorporated by reference from Exhibit 10.7 on our Current Report on Form 8-K, filed on March 11, 2016)</w:t>
              </w:r>
            </w:hyperlink>
          </w:p>
        </w:tc>
        <w:tc>
          <w:tcPr>
            <w:tcW w:w="1540" w:type="dxa"/>
            <w:vAlign w:val="bottom"/>
            <w:gridSpan w:val="12"/>
          </w:tcPr>
          <w:p>
            <w:pPr>
              <w:spacing w:after="0"/>
              <w:rPr>
                <w:sz w:val="17"/>
                <w:szCs w:val="17"/>
                <w:color w:val="auto"/>
              </w:rPr>
            </w:pPr>
          </w:p>
        </w:tc>
      </w:tr>
      <w:tr>
        <w:trPr>
          <w:trHeight w:val="480"/>
        </w:trPr>
        <w:tc>
          <w:tcPr>
            <w:tcW w:w="820" w:type="dxa"/>
            <w:vAlign w:val="bottom"/>
          </w:tcPr>
          <w:p>
            <w:pPr>
              <w:spacing w:after="0"/>
              <w:rPr>
                <w:sz w:val="24"/>
                <w:szCs w:val="24"/>
                <w:color w:val="auto"/>
              </w:rPr>
            </w:pPr>
          </w:p>
        </w:tc>
        <w:tc>
          <w:tcPr>
            <w:tcW w:w="6740" w:type="dxa"/>
            <w:vAlign w:val="bottom"/>
            <w:gridSpan w:val="8"/>
          </w:tcPr>
          <w:p>
            <w:pPr>
              <w:jc w:val="right"/>
              <w:ind w:right="1760"/>
              <w:spacing w:after="0"/>
              <w:rPr>
                <w:sz w:val="20"/>
                <w:szCs w:val="20"/>
                <w:color w:val="auto"/>
              </w:rPr>
            </w:pPr>
            <w:r>
              <w:rPr>
                <w:rFonts w:ascii="Arial" w:cs="Arial" w:eastAsia="Arial" w:hAnsi="Arial"/>
                <w:sz w:val="18"/>
                <w:szCs w:val="18"/>
                <w:color w:val="auto"/>
              </w:rPr>
              <w:t>50</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10380" w:type="dxa"/>
            <w:vAlign w:val="bottom"/>
            <w:gridSpan w:val="27"/>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Form of Restricted Stock Agreement under the Registrant’s Third Amended and Restated 2004 Stock Incentive Plan (incorporated by reference</w:t>
              </w:r>
            </w:hyperlink>
          </w:p>
        </w:tc>
      </w:tr>
      <w:tr>
        <w:trPr>
          <w:trHeight w:val="196"/>
        </w:trPr>
        <w:tc>
          <w:tcPr>
            <w:tcW w:w="1040" w:type="dxa"/>
            <w:vAlign w:val="bottom"/>
          </w:tcPr>
          <w:p>
            <w:pPr>
              <w:spacing w:after="0"/>
              <w:rPr>
                <w:sz w:val="17"/>
                <w:szCs w:val="17"/>
                <w:color w:val="auto"/>
              </w:rPr>
            </w:pPr>
          </w:p>
        </w:tc>
        <w:tc>
          <w:tcPr>
            <w:tcW w:w="103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from Exhibit 10.8 on our Current Report on Form 8-K, filed on March 11, 2016)</w:t>
              </w:r>
            </w:hyperlink>
          </w:p>
        </w:tc>
        <w:tc>
          <w:tcPr>
            <w:tcW w:w="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10.1.10*</w:t>
            </w:r>
          </w:p>
        </w:tc>
        <w:tc>
          <w:tcPr>
            <w:tcW w:w="10380" w:type="dxa"/>
            <w:vAlign w:val="bottom"/>
            <w:gridSpan w:val="27"/>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Form of Restricted Stock Agreement under the Registrant’s Third Amended and Restated 2004 Stock Incentive Plan (incorporated by reference</w:t>
              </w:r>
            </w:hyperlink>
          </w:p>
        </w:tc>
      </w:tr>
      <w:tr>
        <w:trPr>
          <w:trHeight w:val="196"/>
        </w:trPr>
        <w:tc>
          <w:tcPr>
            <w:tcW w:w="104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from Exhibit 10.1.11 on our Annual Report on Form 10-K, for the year ended December 31, 2016)</w:t>
              </w:r>
            </w:hyperlink>
          </w:p>
        </w:tc>
        <w:tc>
          <w:tcPr>
            <w:tcW w:w="322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10.1.11*</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Description of Build-A-Bear Workshop, Inc. Cash Bonus Program for Chiefs (incorporated by reference from Exhibit 10.1 on our Current</w:t>
              </w:r>
            </w:hyperlink>
          </w:p>
        </w:tc>
        <w:tc>
          <w:tcPr>
            <w:tcW w:w="4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Report on Form 8-K, filed on March 17, 2017)</w:t>
              </w:r>
            </w:hyperlink>
          </w:p>
        </w:tc>
        <w:tc>
          <w:tcPr>
            <w:tcW w:w="7000" w:type="dxa"/>
            <w:vAlign w:val="bottom"/>
            <w:gridSpan w:val="24"/>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10.1.12*</w:t>
            </w:r>
          </w:p>
        </w:tc>
        <w:tc>
          <w:tcPr>
            <w:tcW w:w="9720" w:type="dxa"/>
            <w:vAlign w:val="bottom"/>
            <w:tcBorders>
              <w:bottom w:val="single" w:sz="8" w:color="0000EE"/>
            </w:tcBorders>
            <w:gridSpan w:val="1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Restricted Stock and Non-Qualified Stock Option Agreement under the Registrant’s Third Amended and Restated 2004 Stock</w:t>
              </w:r>
            </w:hyperlink>
          </w:p>
        </w:tc>
        <w:tc>
          <w:tcPr>
            <w:tcW w:w="6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Incentive Plan (incorporated by reference from Exhibit 10.2 on our Current Report on Form 8-K, filed on March 17, 2017)</w:t>
              </w:r>
            </w:hyperlink>
          </w:p>
        </w:tc>
      </w:tr>
      <w:tr>
        <w:trPr>
          <w:trHeight w:val="20"/>
        </w:trPr>
        <w:tc>
          <w:tcPr>
            <w:tcW w:w="10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10.1.13*</w:t>
            </w:r>
          </w:p>
        </w:tc>
        <w:tc>
          <w:tcPr>
            <w:tcW w:w="10260" w:type="dxa"/>
            <w:vAlign w:val="bottom"/>
            <w:tcBorders>
              <w:bottom w:val="single" w:sz="8" w:color="0000EE"/>
            </w:tcBorders>
            <w:gridSpan w:val="23"/>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Build-A-Bear Workshop, Inc. 2017 Omnibus Incentive Plan (incorporated by reference from Exhibit 10.1 to our Current Report on Form 8-K,</w:t>
              </w:r>
            </w:hyperlink>
          </w:p>
        </w:tc>
        <w:tc>
          <w:tcPr>
            <w:tcW w:w="1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68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filed on May 12, 2017)</w:t>
              </w:r>
            </w:hyperlink>
          </w:p>
        </w:tc>
        <w:tc>
          <w:tcPr>
            <w:tcW w:w="8700" w:type="dxa"/>
            <w:vAlign w:val="bottom"/>
            <w:gridSpan w:val="26"/>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10.1.14*</w:t>
            </w:r>
          </w:p>
        </w:tc>
        <w:tc>
          <w:tcPr>
            <w:tcW w:w="9960" w:type="dxa"/>
            <w:vAlign w:val="bottom"/>
            <w:tcBorders>
              <w:bottom w:val="single" w:sz="8" w:color="0000EE"/>
            </w:tcBorders>
            <w:gridSpan w:val="16"/>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Description of Build-A-Bear Workshop, Inc. Cash Bonus Program for Chiefs (incorporated by reference from Exhibit 10.1 on our Current</w:t>
              </w:r>
            </w:hyperlink>
          </w:p>
        </w:tc>
        <w:tc>
          <w:tcPr>
            <w:tcW w:w="4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Report on Form 8-K, filed on March 21, 2018)</w:t>
              </w:r>
            </w:hyperlink>
          </w:p>
        </w:tc>
        <w:tc>
          <w:tcPr>
            <w:tcW w:w="7000" w:type="dxa"/>
            <w:vAlign w:val="bottom"/>
            <w:gridSpan w:val="24"/>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10.1.15*</w:t>
            </w:r>
          </w:p>
        </w:tc>
        <w:tc>
          <w:tcPr>
            <w:tcW w:w="10360" w:type="dxa"/>
            <w:vAlign w:val="bottom"/>
            <w:tcBorders>
              <w:bottom w:val="single" w:sz="8" w:color="0000EE"/>
            </w:tcBorders>
            <w:gridSpan w:val="26"/>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Restricted Stock and Non-Qualified Stock Option Award Agreement under Registrant's 2017 Omnibus Incentive Plan (incorporated by</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reference from Exhibit 10.2 on our Current Report on Form 8-K, filed on March 21, 2018)</w:t>
              </w:r>
            </w:hyperlink>
          </w:p>
        </w:tc>
      </w:tr>
      <w:tr>
        <w:trPr>
          <w:trHeight w:val="20"/>
        </w:trPr>
        <w:tc>
          <w:tcPr>
            <w:tcW w:w="10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10.1.16*</w:t>
            </w:r>
          </w:p>
        </w:tc>
        <w:tc>
          <w:tcPr>
            <w:tcW w:w="10380" w:type="dxa"/>
            <w:vAlign w:val="bottom"/>
            <w:gridSpan w:val="27"/>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Description of Build-A-Bear Workshop, Inc. Long-term Performance-Based Cash Incentive Program for Chiefs (incorporated by reference</w:t>
              </w:r>
            </w:hyperlink>
          </w:p>
        </w:tc>
      </w:tr>
      <w:tr>
        <w:trPr>
          <w:trHeight w:val="196"/>
        </w:trPr>
        <w:tc>
          <w:tcPr>
            <w:tcW w:w="104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from Exhibit 10.3 on our Current Report on Form 8-K, filed on March 21, 2018)</w:t>
              </w:r>
            </w:hyperlink>
          </w:p>
        </w:tc>
        <w:tc>
          <w:tcPr>
            <w:tcW w:w="4180" w:type="dxa"/>
            <w:vAlign w:val="bottom"/>
            <w:tcBorders>
              <w:top w:val="single" w:sz="8" w:color="0000EE"/>
            </w:tcBorders>
            <w:gridSpan w:val="12"/>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10.2 *</w:t>
            </w:r>
          </w:p>
        </w:tc>
        <w:tc>
          <w:tcPr>
            <w:tcW w:w="10040" w:type="dxa"/>
            <w:vAlign w:val="bottom"/>
            <w:tcBorders>
              <w:bottom w:val="single" w:sz="8" w:color="0000EE"/>
            </w:tcBorders>
            <w:gridSpan w:val="18"/>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Nonqualified Deferred Compensation Plan (incorporated by reference from Exhibit 10.42 to our Annual Report on Form 10-K, for the year</w:t>
              </w:r>
            </w:hyperlink>
          </w:p>
        </w:tc>
        <w:tc>
          <w:tcPr>
            <w:tcW w:w="34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ended December 30, 2006)</w:t>
              </w:r>
            </w:hyperlink>
          </w:p>
        </w:tc>
        <w:tc>
          <w:tcPr>
            <w:tcW w:w="8420" w:type="dxa"/>
            <w:vAlign w:val="bottom"/>
            <w:gridSpan w:val="2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280" w:type="dxa"/>
            <w:vAlign w:val="bottom"/>
            <w:tcBorders>
              <w:bottom w:val="single" w:sz="8" w:color="0000EE"/>
            </w:tcBorders>
            <w:gridSpan w:val="24"/>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Employment, Confidentiality and Noncompete Agreement dated April 14, 2015 between Eric Fencl and the Registrant</w:t>
              </w:r>
            </w:hyperlink>
          </w:p>
        </w:tc>
        <w:tc>
          <w:tcPr>
            <w:tcW w:w="10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8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(incorporated by reference from Exhibit 10.3 to our Quarterly Report on Form 10-Q, filed on May 14, 2015)</w:t>
              </w:r>
            </w:hyperlink>
          </w:p>
        </w:tc>
        <w:tc>
          <w:tcPr>
            <w:tcW w:w="2560" w:type="dxa"/>
            <w:vAlign w:val="bottom"/>
            <w:gridSpan w:val="17"/>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10.3.1*</w:t>
            </w:r>
          </w:p>
        </w:tc>
        <w:tc>
          <w:tcPr>
            <w:tcW w:w="10380" w:type="dxa"/>
            <w:vAlign w:val="bottom"/>
            <w:gridSpan w:val="27"/>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Amended and Restated Employment, Confidentiality and Noncompete Agreement, dated March 7, 2016, by and between Eric Fencl and Build-</w:t>
              </w:r>
            </w:hyperlink>
          </w:p>
        </w:tc>
      </w:tr>
      <w:tr>
        <w:trPr>
          <w:trHeight w:val="196"/>
        </w:trPr>
        <w:tc>
          <w:tcPr>
            <w:tcW w:w="104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A-Bear Workshop, Inc. (incorporated by reference from Exhibit 10.1 on our Current Report on Form 8-K, filed on March 11, 2016)</w:t>
              </w:r>
            </w:hyperlink>
          </w:p>
        </w:tc>
        <w:tc>
          <w:tcPr>
            <w:tcW w:w="860" w:type="dxa"/>
            <w:vAlign w:val="bottom"/>
            <w:tcBorders>
              <w:top w:val="single" w:sz="8" w:color="0000EE"/>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tcBorders>
              <w:bottom w:val="single" w:sz="8" w:color="0000EE"/>
            </w:tcBorders>
            <w:gridSpan w:val="21"/>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Employment, Confidentiality and Noncompete Agreement dated April 15, 2015 between J. Christopher Hurt and the Registrant (incorporated</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by reference from Exhibit 10.4 to our Quarterly Report on Form 10-Q, filed on May 14, 2015)</w:t>
              </w:r>
            </w:hyperlink>
          </w:p>
        </w:tc>
      </w:tr>
      <w:tr>
        <w:trPr>
          <w:trHeight w:val="20"/>
        </w:trPr>
        <w:tc>
          <w:tcPr>
            <w:tcW w:w="1040" w:type="dxa"/>
            <w:vAlign w:val="bottom"/>
          </w:tcPr>
          <w:p>
            <w:pPr>
              <w:spacing w:after="0" w:line="20" w:lineRule="exact"/>
              <w:rPr>
                <w:sz w:val="1"/>
                <w:szCs w:val="1"/>
                <w:color w:val="auto"/>
              </w:rPr>
            </w:pPr>
          </w:p>
        </w:tc>
        <w:tc>
          <w:tcPr>
            <w:tcW w:w="680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10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Employment, Confidentiality and Noncompete Agreement, dated March 7, 2016, by and between J. Christopher Hurt</w:t>
              </w:r>
            </w:hyperlink>
          </w:p>
        </w:tc>
        <w:tc>
          <w:tcPr>
            <w:tcW w:w="20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7"/>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and Build-A-Bear Workshop, Inc. (incorporated by reference from Exhibit 10.2 on our Current Report on Form 8-K, filed on March 11, 2016)</w:t>
              </w:r>
            </w:hyperlink>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9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Employment, Confidentiality and Noncompete Agreement dated December 3, 2012 between Sharon Price John and the Registrant</w:t>
              </w:r>
            </w:hyperlink>
          </w:p>
        </w:tc>
        <w:tc>
          <w:tcPr>
            <w:tcW w:w="840" w:type="dxa"/>
            <w:vAlign w:val="bottom"/>
            <w:tcBorders>
              <w:top w:val="single" w:sz="8" w:color="0000EE"/>
            </w:tcBorders>
            <w:gridSpan w:val="9"/>
          </w:tcPr>
          <w:p>
            <w:pPr>
              <w:spacing w:after="0"/>
              <w:rPr>
                <w:sz w:val="24"/>
                <w:szCs w:val="24"/>
                <w:color w:val="auto"/>
              </w:rPr>
            </w:pPr>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9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(incorporated by reference from Exhibit 10.1 to our Quarterly Report on Form 10-Q, filed on August 8, 2013)</w:t>
              </w:r>
            </w:hyperlink>
          </w:p>
        </w:tc>
        <w:tc>
          <w:tcPr>
            <w:tcW w:w="2460" w:type="dxa"/>
            <w:vAlign w:val="bottom"/>
            <w:gridSpan w:val="16"/>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10380" w:type="dxa"/>
            <w:vAlign w:val="bottom"/>
            <w:gridSpan w:val="27"/>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Amended and Restated Employment, Confidentiality and Noncompete Agreement, dated March 7, 2016, by and between Sharon Price John</w:t>
              </w:r>
            </w:hyperlink>
          </w:p>
        </w:tc>
      </w:tr>
      <w:tr>
        <w:trPr>
          <w:trHeight w:val="20"/>
        </w:trPr>
        <w:tc>
          <w:tcPr>
            <w:tcW w:w="1040" w:type="dxa"/>
            <w:vAlign w:val="bottom"/>
          </w:tcPr>
          <w:p>
            <w:pPr>
              <w:spacing w:after="0" w:line="20" w:lineRule="exact"/>
              <w:rPr>
                <w:sz w:val="1"/>
                <w:szCs w:val="1"/>
                <w:color w:val="auto"/>
              </w:rPr>
            </w:pPr>
          </w:p>
        </w:tc>
        <w:tc>
          <w:tcPr>
            <w:tcW w:w="7140" w:type="dxa"/>
            <w:vAlign w:val="bottom"/>
            <w:gridSpan w:val="9"/>
            <w:shd w:val="clear" w:color="auto" w:fill="0000EE"/>
          </w:tcPr>
          <w:p>
            <w:pPr>
              <w:spacing w:after="0" w:line="20" w:lineRule="exact"/>
              <w:rPr>
                <w:sz w:val="1"/>
                <w:szCs w:val="1"/>
                <w:color w:val="auto"/>
              </w:rPr>
            </w:pPr>
          </w:p>
        </w:tc>
        <w:tc>
          <w:tcPr>
            <w:tcW w:w="2960" w:type="dxa"/>
            <w:vAlign w:val="bottom"/>
            <w:gridSpan w:val="10"/>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7"/>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and Build-A-Bear Workshop, Inc. (incorporated by reference from Exhibit 10.3 on our Current Report on Form 8-K, filed on March 11, 2016)</w:t>
              </w:r>
            </w:hyperlink>
          </w:p>
        </w:tc>
      </w:tr>
      <w:tr>
        <w:trPr>
          <w:trHeight w:val="20"/>
        </w:trPr>
        <w:tc>
          <w:tcPr>
            <w:tcW w:w="1040" w:type="dxa"/>
            <w:vAlign w:val="bottom"/>
          </w:tcPr>
          <w:p>
            <w:pPr>
              <w:spacing w:after="0" w:line="20" w:lineRule="exact"/>
              <w:rPr>
                <w:sz w:val="1"/>
                <w:szCs w:val="1"/>
                <w:color w:val="auto"/>
              </w:rPr>
            </w:pPr>
          </w:p>
        </w:tc>
        <w:tc>
          <w:tcPr>
            <w:tcW w:w="7140" w:type="dxa"/>
            <w:vAlign w:val="bottom"/>
            <w:gridSpan w:val="9"/>
            <w:shd w:val="clear" w:color="auto" w:fill="0000EE"/>
          </w:tcPr>
          <w:p>
            <w:pPr>
              <w:spacing w:after="0" w:line="20" w:lineRule="exact"/>
              <w:rPr>
                <w:sz w:val="1"/>
                <w:szCs w:val="1"/>
                <w:color w:val="auto"/>
              </w:rPr>
            </w:pPr>
          </w:p>
        </w:tc>
        <w:tc>
          <w:tcPr>
            <w:tcW w:w="3100" w:type="dxa"/>
            <w:vAlign w:val="bottom"/>
            <w:gridSpan w:val="1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360" w:type="dxa"/>
            <w:vAlign w:val="bottom"/>
            <w:tcBorders>
              <w:bottom w:val="single" w:sz="8" w:color="0000EE"/>
            </w:tcBorders>
            <w:gridSpan w:val="26"/>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Employment, Confidentiality and Noncompete Agreement dated August 12, 2014 between Jennifer Kretchmar and the Registrant (incorporated</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7"/>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by reference from Exhibit 10.1 to our Quarterly Report on Form 10-Q, filed on November 6, 2014)</w:t>
              </w:r>
            </w:hyperlink>
          </w:p>
        </w:tc>
      </w:tr>
      <w:tr>
        <w:trPr>
          <w:trHeight w:val="480"/>
        </w:trPr>
        <w:tc>
          <w:tcPr>
            <w:tcW w:w="1040" w:type="dxa"/>
            <w:vAlign w:val="bottom"/>
          </w:tcPr>
          <w:p>
            <w:pPr>
              <w:spacing w:after="0"/>
              <w:rPr>
                <w:sz w:val="24"/>
                <w:szCs w:val="24"/>
                <w:color w:val="auto"/>
              </w:rPr>
            </w:pPr>
          </w:p>
        </w:tc>
        <w:tc>
          <w:tcPr>
            <w:tcW w:w="5800" w:type="dxa"/>
            <w:vAlign w:val="bottom"/>
            <w:tcBorders>
              <w:top w:val="single" w:sz="8" w:color="0000EE"/>
            </w:tcBorders>
            <w:gridSpan w:val="4"/>
          </w:tcPr>
          <w:p>
            <w:pPr>
              <w:ind w:left="4580"/>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67"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10.6.1*</w:t>
            </w:r>
          </w:p>
        </w:tc>
        <w:tc>
          <w:tcPr>
            <w:tcW w:w="10200" w:type="dxa"/>
            <w:vAlign w:val="bottom"/>
            <w:tcBorders>
              <w:bottom w:val="single" w:sz="8" w:color="0000EE"/>
            </w:tcBorders>
            <w:gridSpan w:val="17"/>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Employment, Confidentiality and Noncompete Agreement, dated March 7, 2016, by and between Jennifer Kretchmar</w:t>
              </w:r>
            </w:hyperlink>
          </w:p>
        </w:tc>
        <w:tc>
          <w:tcPr>
            <w:tcW w:w="1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and Build-A-Bear Workshop, Inc. (incorporated by reference from Exhibit 10.4 on our Current Report on Form 8-K, filed on March 11, 2016)</w:t>
              </w:r>
            </w:hyperlink>
          </w:p>
        </w:tc>
        <w:tc>
          <w:tcPr>
            <w:tcW w:w="100" w:type="dxa"/>
            <w:vAlign w:val="bottom"/>
            <w:gridSpan w:val="4"/>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380" w:type="dxa"/>
            <w:vAlign w:val="bottom"/>
            <w:gridSpan w:val="25"/>
          </w:tcPr>
          <w:p>
            <w:pPr>
              <w:spacing w:after="0"/>
              <w:rPr>
                <w:rFonts w:ascii="Arial" w:cs="Arial" w:eastAsia="Arial" w:hAnsi="Arial"/>
                <w:sz w:val="18"/>
                <w:szCs w:val="18"/>
                <w:color w:val="0000EE"/>
              </w:rPr>
            </w:pPr>
            <w:hyperlink r:id="rId115">
              <w:r>
                <w:rPr>
                  <w:rFonts w:ascii="Arial" w:cs="Arial" w:eastAsia="Arial" w:hAnsi="Arial"/>
                  <w:sz w:val="18"/>
                  <w:szCs w:val="18"/>
                  <w:color w:val="0000EE"/>
                </w:rPr>
                <w:t>Employment, Confidentiality and Noncompete Agreement dated September 15, 2014 between Vojin Todorovic and the Registrant</w:t>
              </w:r>
            </w:hyperlink>
          </w:p>
        </w:tc>
      </w:tr>
      <w:tr>
        <w:trPr>
          <w:trHeight w:val="196"/>
        </w:trPr>
        <w:tc>
          <w:tcPr>
            <w:tcW w:w="1040" w:type="dxa"/>
            <w:vAlign w:val="bottom"/>
          </w:tcPr>
          <w:p>
            <w:pPr>
              <w:spacing w:after="0"/>
              <w:rPr>
                <w:sz w:val="17"/>
                <w:szCs w:val="17"/>
                <w:color w:val="auto"/>
              </w:rPr>
            </w:pPr>
          </w:p>
        </w:tc>
        <w:tc>
          <w:tcPr>
            <w:tcW w:w="9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(incorporated by reference from Exhibit 10.1 to our Current Report on Form 8-K, filed on September 15, 2014)</w:t>
              </w:r>
            </w:hyperlink>
          </w:p>
        </w:tc>
        <w:tc>
          <w:tcPr>
            <w:tcW w:w="1020" w:type="dxa"/>
            <w:vAlign w:val="bottom"/>
            <w:gridSpan w:val="18"/>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10.7.1*</w:t>
            </w:r>
          </w:p>
        </w:tc>
        <w:tc>
          <w:tcPr>
            <w:tcW w:w="10280" w:type="dxa"/>
            <w:vAlign w:val="bottom"/>
            <w:tcBorders>
              <w:bottom w:val="single" w:sz="8" w:color="0000EE"/>
            </w:tcBorders>
            <w:gridSpan w:val="21"/>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Employment, Confidentiality and Noncompete Agreement, dated March 7, 2016, by and between Vojin Todorovic and</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Build-A-Bear Workshop, Inc. (incorporated by reference from Exhibit 10.5 on our Current Report on Form 8-K, filed on March 11, 2016)</w:t>
              </w:r>
            </w:hyperlink>
          </w:p>
        </w:tc>
        <w:tc>
          <w:tcPr>
            <w:tcW w:w="440" w:type="dxa"/>
            <w:vAlign w:val="bottom"/>
            <w:gridSpan w:val="1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100" w:type="dxa"/>
            <w:vAlign w:val="bottom"/>
            <w:tcBorders>
              <w:bottom w:val="single" w:sz="8" w:color="0000EE"/>
            </w:tcBorders>
            <w:gridSpan w:val="15"/>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Form of Indemnification Agreement between the Registrant and its directors and executive officers (incorporated by reference from Exhibit</w:t>
              </w:r>
            </w:hyperlink>
          </w:p>
        </w:tc>
        <w:tc>
          <w:tcPr>
            <w:tcW w:w="28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11</w:t>
              </w:r>
              <w:r>
                <w:rPr>
                  <w:rFonts w:ascii="Arial" w:cs="Arial" w:eastAsia="Arial" w:hAnsi="Arial"/>
                  <w:sz w:val="18"/>
                  <w:szCs w:val="18"/>
                  <w:color w:val="0000EE"/>
                  <w:w w:val="91"/>
                </w:rPr>
                <w:t xml:space="preserve"> to our Registration Statement on Form S-1, filed on August 12, 2004, Registration No. 333-118142)</w:t>
              </w:r>
            </w:hyperlink>
          </w:p>
        </w:tc>
        <w:tc>
          <w:tcPr>
            <w:tcW w:w="2720" w:type="dxa"/>
            <w:vAlign w:val="bottom"/>
            <w:gridSpan w:val="20"/>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340" w:type="dxa"/>
            <w:vAlign w:val="bottom"/>
            <w:tcBorders>
              <w:bottom w:val="single" w:sz="8" w:color="0000EE"/>
            </w:tcBorders>
            <w:gridSpan w:val="24"/>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Third Amendment to Loan Documents among the Registrant, Shirts Illustrated, LLC, Build-A-Bear Workshop Franchise Holdings, Inc., Build-</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w w:val="98"/>
              </w:rPr>
            </w:pPr>
            <w:hyperlink r:id="rId118">
              <w:r>
                <w:rPr>
                  <w:rFonts w:ascii="Arial" w:cs="Arial" w:eastAsia="Arial" w:hAnsi="Arial"/>
                  <w:sz w:val="18"/>
                  <w:szCs w:val="18"/>
                  <w:color w:val="0000EE"/>
                  <w:w w:val="98"/>
                </w:rPr>
                <w:t>A-Bear Entertainment, LLC, Build-A-Bear Retail Management, LLC (incorporated by reference from Exhibit 10.12 to our Registration</w:t>
              </w:r>
            </w:hyperlink>
          </w:p>
        </w:tc>
      </w:tr>
      <w:tr>
        <w:trPr>
          <w:trHeight w:val="196"/>
        </w:trPr>
        <w:tc>
          <w:tcPr>
            <w:tcW w:w="104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Statement on Form S-1, filed on August 12, 2004, Registration No. 333-118142)</w:t>
              </w:r>
            </w:hyperlink>
          </w:p>
        </w:tc>
        <w:tc>
          <w:tcPr>
            <w:tcW w:w="3940" w:type="dxa"/>
            <w:vAlign w:val="bottom"/>
            <w:tcBorders>
              <w:top w:val="single" w:sz="8" w:color="0000EE"/>
            </w:tcBorders>
            <w:gridSpan w:val="6"/>
          </w:tcPr>
          <w:p>
            <w:pPr>
              <w:spacing w:after="0"/>
              <w:rPr>
                <w:sz w:val="17"/>
                <w:szCs w:val="17"/>
                <w:color w:val="auto"/>
              </w:rPr>
            </w:pPr>
          </w:p>
        </w:tc>
        <w:tc>
          <w:tcPr>
            <w:tcW w:w="620" w:type="dxa"/>
            <w:vAlign w:val="bottom"/>
            <w:gridSpan w:val="16"/>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w:t>
            </w:r>
          </w:p>
        </w:tc>
        <w:tc>
          <w:tcPr>
            <w:tcW w:w="10380" w:type="dxa"/>
            <w:vAlign w:val="bottom"/>
            <w:gridSpan w:val="25"/>
          </w:tcPr>
          <w:p>
            <w:pPr>
              <w:spacing w:after="0"/>
              <w:rPr>
                <w:rFonts w:ascii="Arial" w:cs="Arial" w:eastAsia="Arial" w:hAnsi="Arial"/>
                <w:sz w:val="18"/>
                <w:szCs w:val="18"/>
                <w:color w:val="0000EE"/>
                <w:w w:val="93"/>
              </w:rPr>
            </w:pPr>
            <w:hyperlink r:id="rId119">
              <w:r>
                <w:rPr>
                  <w:rFonts w:ascii="Arial" w:cs="Arial" w:eastAsia="Arial" w:hAnsi="Arial"/>
                  <w:sz w:val="18"/>
                  <w:szCs w:val="18"/>
                  <w:color w:val="0000EE"/>
                  <w:w w:val="93"/>
                </w:rPr>
                <w:t>Fifth Amendment to Loan Documents among the Registrant, Shirts Illustrated, LLC, Build-A-Bear Workshop Franchise Holdings, Inc., Build-</w:t>
              </w:r>
            </w:hyperlink>
          </w:p>
        </w:tc>
      </w:tr>
      <w:tr>
        <w:trPr>
          <w:trHeight w:val="196"/>
        </w:trPr>
        <w:tc>
          <w:tcPr>
            <w:tcW w:w="1040" w:type="dxa"/>
            <w:vAlign w:val="bottom"/>
          </w:tcPr>
          <w:p>
            <w:pPr>
              <w:spacing w:after="0"/>
              <w:rPr>
                <w:sz w:val="17"/>
                <w:szCs w:val="17"/>
                <w:color w:val="auto"/>
              </w:rPr>
            </w:pPr>
          </w:p>
        </w:tc>
        <w:tc>
          <w:tcPr>
            <w:tcW w:w="101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A-Bear Entertainment, LLC, Build-A-Bear Retail Management, LLC (incorporated by reference from Exhibit 10.1 of our Current Report on</w:t>
              </w:r>
            </w:hyperlink>
          </w:p>
        </w:tc>
        <w:tc>
          <w:tcPr>
            <w:tcW w:w="160" w:type="dxa"/>
            <w:vAlign w:val="bottom"/>
            <w:tcBorders>
              <w:top w:val="single" w:sz="8" w:color="0000EE"/>
            </w:tcBorders>
            <w:gridSpan w:val="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Form 8-K, filed on July 10, 2006)</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10.9.2</w:t>
            </w:r>
          </w:p>
        </w:tc>
        <w:tc>
          <w:tcPr>
            <w:tcW w:w="10380" w:type="dxa"/>
            <w:vAlign w:val="bottom"/>
            <w:gridSpan w:val="25"/>
          </w:tcPr>
          <w:p>
            <w:pPr>
              <w:spacing w:after="0"/>
              <w:rPr>
                <w:rFonts w:ascii="Arial" w:cs="Arial" w:eastAsia="Arial" w:hAnsi="Arial"/>
                <w:sz w:val="18"/>
                <w:szCs w:val="18"/>
                <w:color w:val="0000EE"/>
                <w:w w:val="93"/>
              </w:rPr>
            </w:pPr>
            <w:hyperlink r:id="rId120">
              <w:r>
                <w:rPr>
                  <w:rFonts w:ascii="Arial" w:cs="Arial" w:eastAsia="Arial" w:hAnsi="Arial"/>
                  <w:sz w:val="18"/>
                  <w:szCs w:val="18"/>
                  <w:color w:val="0000EE"/>
                  <w:w w:val="93"/>
                </w:rPr>
                <w:t>Sixth Amendment to Loan Documents between Build-A-Bear Workshop, Inc., Build-A-Bear Workshop Franchise Holdings, Inc. Build-A-Bear</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Entertainment, LLC, Build-A-Bear Retail Management, Inc., and Build-A-Bear Workshop UK Holdings Ltd., as borrowers, Build-A-Bear</w:t>
              </w:r>
            </w:hyperlink>
          </w:p>
        </w:tc>
        <w:tc>
          <w:tcPr>
            <w:tcW w:w="34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Workshop Canada, Ltd. and US Bank National Association, as lender entered into on and effective as of on June 19, 2007 (incorporated by</w:t>
              </w:r>
            </w:hyperlink>
          </w:p>
        </w:tc>
        <w:tc>
          <w:tcPr>
            <w:tcW w:w="36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reference from Exhibit 10.1 to our Current Report on Form 8-K filed on June 20, 2007)</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80" w:type="dxa"/>
            <w:vAlign w:val="bottom"/>
            <w:gridSpan w:val="3"/>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10.9.3</w:t>
            </w:r>
          </w:p>
        </w:tc>
        <w:tc>
          <w:tcPr>
            <w:tcW w:w="10380" w:type="dxa"/>
            <w:vAlign w:val="bottom"/>
            <w:gridSpan w:val="25"/>
          </w:tcPr>
          <w:p>
            <w:pPr>
              <w:spacing w:after="0"/>
              <w:rPr>
                <w:rFonts w:ascii="Arial" w:cs="Arial" w:eastAsia="Arial" w:hAnsi="Arial"/>
                <w:sz w:val="18"/>
                <w:szCs w:val="18"/>
                <w:color w:val="0000EE"/>
                <w:w w:val="94"/>
              </w:rPr>
            </w:pPr>
            <w:hyperlink r:id="rId121">
              <w:r>
                <w:rPr>
                  <w:rFonts w:ascii="Arial" w:cs="Arial" w:eastAsia="Arial" w:hAnsi="Arial"/>
                  <w:sz w:val="18"/>
                  <w:szCs w:val="18"/>
                  <w:color w:val="0000EE"/>
                  <w:w w:val="94"/>
                </w:rPr>
                <w:t>Seventh Amendment to Loan Documents between Build-A-Bear Workshop, Inc., Build-A-Bear Workshop Franchise Holdings, Inc. Build-A-</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4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Bear Entertainment, LLC, and Build-A-Bear Retail Management, Inc., as borrowers, and US Bank National Association, as lender entered into</w:t>
              </w:r>
            </w:hyperlink>
          </w:p>
        </w:tc>
      </w:tr>
      <w:tr>
        <w:trPr>
          <w:trHeight w:val="196"/>
        </w:trPr>
        <w:tc>
          <w:tcPr>
            <w:tcW w:w="1040" w:type="dxa"/>
            <w:vAlign w:val="bottom"/>
          </w:tcPr>
          <w:p>
            <w:pPr>
              <w:spacing w:after="0"/>
              <w:rPr>
                <w:sz w:val="17"/>
                <w:szCs w:val="17"/>
                <w:color w:val="auto"/>
              </w:rPr>
            </w:pPr>
          </w:p>
        </w:tc>
        <w:tc>
          <w:tcPr>
            <w:tcW w:w="10300" w:type="dxa"/>
            <w:vAlign w:val="bottom"/>
            <w:tcBorders>
              <w:top w:val="single" w:sz="8" w:color="0000EE"/>
            </w:tcBorders>
            <w:gridSpan w:val="22"/>
          </w:tcPr>
          <w:p>
            <w:pPr>
              <w:spacing w:after="0" w:line="19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as of on October 28, 2009 (incorporated by reference from Exhibit 10.1 to our Current Report on Form 8-K filed on October 29, 2009)</w:t>
              </w:r>
            </w:hyperlink>
          </w:p>
        </w:tc>
        <w:tc>
          <w:tcPr>
            <w:tcW w:w="8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4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10.9.4</w:t>
            </w:r>
          </w:p>
        </w:tc>
        <w:tc>
          <w:tcPr>
            <w:tcW w:w="10380" w:type="dxa"/>
            <w:vAlign w:val="bottom"/>
            <w:gridSpan w:val="25"/>
          </w:tcPr>
          <w:p>
            <w:pPr>
              <w:spacing w:after="0"/>
              <w:rPr>
                <w:rFonts w:ascii="Arial" w:cs="Arial" w:eastAsia="Arial" w:hAnsi="Arial"/>
                <w:sz w:val="18"/>
                <w:szCs w:val="18"/>
                <w:color w:val="0000EE"/>
                <w:w w:val="95"/>
              </w:rPr>
            </w:pPr>
            <w:hyperlink r:id="rId122">
              <w:r>
                <w:rPr>
                  <w:rFonts w:ascii="Arial" w:cs="Arial" w:eastAsia="Arial" w:hAnsi="Arial"/>
                  <w:sz w:val="18"/>
                  <w:szCs w:val="18"/>
                  <w:color w:val="0000EE"/>
                  <w:w w:val="95"/>
                </w:rPr>
                <w:t>Eighth Amendment to Loan Documents between Build-A-Bear Workshop, Inc., Build-A-Bear Workshop Franchise Holdings, Inc., Build-A-</w:t>
              </w:r>
            </w:hyperlink>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4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Bear Entertainment, LLC, Build-A-Bear Retail Management, Inc., as Borrowers, and U.S. Bank National Association, as Lender, entered into</w:t>
              </w:r>
            </w:hyperlink>
          </w:p>
        </w:tc>
      </w:tr>
      <w:tr>
        <w:trPr>
          <w:trHeight w:val="196"/>
        </w:trPr>
        <w:tc>
          <w:tcPr>
            <w:tcW w:w="1040" w:type="dxa"/>
            <w:vAlign w:val="bottom"/>
          </w:tcPr>
          <w:p>
            <w:pPr>
              <w:spacing w:after="0"/>
              <w:rPr>
                <w:sz w:val="17"/>
                <w:szCs w:val="17"/>
                <w:color w:val="auto"/>
              </w:rPr>
            </w:pPr>
          </w:p>
        </w:tc>
        <w:tc>
          <w:tcPr>
            <w:tcW w:w="10220" w:type="dxa"/>
            <w:vAlign w:val="bottom"/>
            <w:tcBorders>
              <w:top w:val="single" w:sz="8" w:color="0000EE"/>
            </w:tcBorders>
            <w:gridSpan w:val="18"/>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effective as of December 31, 2010 (incorporated by reference to Exhibit 10.1 to our Current Report on Form 8-K filed on January 4, 2011)</w:t>
              </w:r>
            </w:hyperlink>
          </w:p>
        </w:tc>
        <w:tc>
          <w:tcPr>
            <w:tcW w:w="16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4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10.9.5</w:t>
            </w:r>
          </w:p>
        </w:tc>
        <w:tc>
          <w:tcPr>
            <w:tcW w:w="10080" w:type="dxa"/>
            <w:vAlign w:val="bottom"/>
            <w:tcBorders>
              <w:bottom w:val="single" w:sz="8" w:color="0000EE"/>
            </w:tcBorders>
            <w:gridSpan w:val="14"/>
          </w:tcPr>
          <w:p>
            <w:pPr>
              <w:spacing w:after="0"/>
              <w:rPr>
                <w:rFonts w:ascii="Arial" w:cs="Arial" w:eastAsia="Arial" w:hAnsi="Arial"/>
                <w:sz w:val="18"/>
                <w:szCs w:val="18"/>
                <w:color w:val="0000EE"/>
                <w:w w:val="93"/>
              </w:rPr>
            </w:pPr>
            <w:hyperlink r:id="rId123">
              <w:r>
                <w:rPr>
                  <w:rFonts w:ascii="Arial" w:cs="Arial" w:eastAsia="Arial" w:hAnsi="Arial"/>
                  <w:sz w:val="18"/>
                  <w:szCs w:val="18"/>
                  <w:color w:val="0000EE"/>
                  <w:w w:val="93"/>
                </w:rPr>
                <w:t>Ninth Amendment to Loan Documents between Build-A-Bear Workshop, Inc., Build-A-Bear Workshop Franchise Holdings, Inc., Build-A-</w:t>
              </w:r>
            </w:hyperlink>
          </w:p>
        </w:tc>
        <w:tc>
          <w:tcPr>
            <w:tcW w:w="30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Bear Entertainment, LLC, Build-A-Bear Retail Management, Inc., as Borrowers, and U.S. Bank National Association, as Lender, entered into</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effective as of December 30, 2011 (incorporated by reference from Exhibit 10.1 to our Current Report on Form 8-K, filed on January 4, 2012)</w:t>
              </w:r>
            </w:hyperlink>
          </w:p>
        </w:tc>
        <w:tc>
          <w:tcPr>
            <w:tcW w:w="120" w:type="dxa"/>
            <w:vAlign w:val="bottom"/>
            <w:gridSpan w:val="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10.9.6</w:t>
            </w:r>
          </w:p>
        </w:tc>
        <w:tc>
          <w:tcPr>
            <w:tcW w:w="10060" w:type="dxa"/>
            <w:vAlign w:val="bottom"/>
            <w:tcBorders>
              <w:bottom w:val="single" w:sz="8" w:color="0000EE"/>
            </w:tcBorders>
            <w:gridSpan w:val="13"/>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Tenth Amendment to Loan Documents between Build-A-Bear Workshop, Inc., Build-A-Bear Workshop Franchise Holdings, Inc., Build-A-</w:t>
              </w:r>
            </w:hyperlink>
          </w:p>
        </w:tc>
        <w:tc>
          <w:tcPr>
            <w:tcW w:w="3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Bear Entertainment, LLC, Build-A-Bear Retail Management, Inc., as Borrowers, and U.S. Bank National Association, as Lender, entered into</w:t>
              </w:r>
            </w:hyperlink>
          </w:p>
        </w:tc>
      </w:tr>
      <w:tr>
        <w:trPr>
          <w:trHeight w:val="196"/>
        </w:trPr>
        <w:tc>
          <w:tcPr>
            <w:tcW w:w="1040" w:type="dxa"/>
            <w:vAlign w:val="bottom"/>
          </w:tcPr>
          <w:p>
            <w:pPr>
              <w:spacing w:after="0"/>
              <w:rPr>
                <w:sz w:val="17"/>
                <w:szCs w:val="17"/>
                <w:color w:val="auto"/>
              </w:rPr>
            </w:pPr>
          </w:p>
        </w:tc>
        <w:tc>
          <w:tcPr>
            <w:tcW w:w="1022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r:id="rId124">
              <w:r>
                <w:rPr>
                  <w:rFonts w:ascii="Arial" w:cs="Arial" w:eastAsia="Arial" w:hAnsi="Arial"/>
                  <w:sz w:val="18"/>
                  <w:szCs w:val="18"/>
                  <w:color w:val="0000EE"/>
                  <w:w w:val="96"/>
                </w:rPr>
                <w:t>effective as of June 30, 2012 (incorporated by reference from Exhibit 10.1 to our Current Report on Form 8-K, filed on July 26, 2012)</w:t>
              </w:r>
            </w:hyperlink>
          </w:p>
        </w:tc>
        <w:tc>
          <w:tcPr>
            <w:tcW w:w="160" w:type="dxa"/>
            <w:vAlign w:val="bottom"/>
            <w:gridSpan w:val="7"/>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40" w:type="dxa"/>
            <w:vAlign w:val="bottom"/>
            <w:gridSpan w:val="7"/>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10.9.7</w:t>
            </w:r>
          </w:p>
        </w:tc>
        <w:tc>
          <w:tcPr>
            <w:tcW w:w="10380" w:type="dxa"/>
            <w:vAlign w:val="bottom"/>
            <w:gridSpan w:val="25"/>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Eleventh Amendment to Loan Documents between Build-A-Bear Workshop, Inc., Build-A-Bear Workshop Franchise Holdings, Inc., Build-A-</w:t>
              </w:r>
            </w:hyperlink>
          </w:p>
        </w:tc>
      </w:tr>
      <w:tr>
        <w:trPr>
          <w:trHeight w:val="196"/>
        </w:trPr>
        <w:tc>
          <w:tcPr>
            <w:tcW w:w="1040" w:type="dxa"/>
            <w:vAlign w:val="bottom"/>
          </w:tcPr>
          <w:p>
            <w:pPr>
              <w:spacing w:after="0"/>
              <w:rPr>
                <w:sz w:val="17"/>
                <w:szCs w:val="17"/>
                <w:color w:val="auto"/>
              </w:rPr>
            </w:pPr>
          </w:p>
        </w:tc>
        <w:tc>
          <w:tcPr>
            <w:tcW w:w="1028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Bear Entertainment, LLC, Build-A-Bear Retail Management, Inc., as Borrowers, and U.S. Bank National Association, as Lender, entered into</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20" w:type="dxa"/>
            <w:vAlign w:val="bottom"/>
            <w:tcBorders>
              <w:top w:val="single" w:sz="8" w:color="0000EE"/>
            </w:tcBorders>
            <w:gridSpan w:val="18"/>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effective as of December 21, 2012 (incorporated by reference from Exhibit 10.1 to our Current Report on Form 8-K, filed on December 21,</w:t>
              </w:r>
            </w:hyperlink>
          </w:p>
        </w:tc>
        <w:tc>
          <w:tcPr>
            <w:tcW w:w="1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5">
              <w:r>
                <w:rPr>
                  <w:rFonts w:ascii="Arial" w:cs="Arial" w:eastAsia="Arial" w:hAnsi="Arial"/>
                  <w:sz w:val="18"/>
                  <w:szCs w:val="18"/>
                  <w:color w:val="0000EE"/>
                  <w:w w:val="86"/>
                </w:rPr>
                <w:t>2012)</w:t>
              </w:r>
            </w:hyperlink>
          </w:p>
        </w:tc>
        <w:tc>
          <w:tcPr>
            <w:tcW w:w="2020" w:type="dxa"/>
            <w:vAlign w:val="bottom"/>
            <w:tcBorders>
              <w:top w:val="single" w:sz="8" w:color="0000EE"/>
            </w:tcBorders>
          </w:tcPr>
          <w:p>
            <w:pPr>
              <w:spacing w:after="0"/>
              <w:rPr>
                <w:sz w:val="17"/>
                <w:szCs w:val="17"/>
                <w:color w:val="auto"/>
              </w:rPr>
            </w:pPr>
          </w:p>
        </w:tc>
        <w:tc>
          <w:tcPr>
            <w:tcW w:w="3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10.9.8</w:t>
            </w:r>
          </w:p>
        </w:tc>
        <w:tc>
          <w:tcPr>
            <w:tcW w:w="10380" w:type="dxa"/>
            <w:vAlign w:val="bottom"/>
            <w:gridSpan w:val="25"/>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Twelfth Amendment to Loan Documents between Build-A-Bear Workshop, Inc., Build-A-Bear Workshop Franchise Holdings, Inc., Build-A-</w:t>
              </w:r>
            </w:hyperlink>
          </w:p>
        </w:tc>
      </w:tr>
      <w:tr>
        <w:trPr>
          <w:trHeight w:val="20"/>
        </w:trPr>
        <w:tc>
          <w:tcPr>
            <w:tcW w:w="1040" w:type="dxa"/>
            <w:vAlign w:val="bottom"/>
          </w:tcPr>
          <w:p>
            <w:pPr>
              <w:spacing w:after="0" w:line="20" w:lineRule="exact"/>
              <w:rPr>
                <w:sz w:val="1"/>
                <w:szCs w:val="1"/>
                <w:color w:val="auto"/>
              </w:rPr>
            </w:pPr>
          </w:p>
        </w:tc>
        <w:tc>
          <w:tcPr>
            <w:tcW w:w="10200" w:type="dxa"/>
            <w:vAlign w:val="bottom"/>
            <w:gridSpan w:val="17"/>
            <w:shd w:val="clear" w:color="auto" w:fill="0000EE"/>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Bear Entertainment, LLC, Build-A-Bear Retail Management, Inc., as Borrowers, and U.S. Bank National Association, as Lender, entered into</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25"/>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effective as of February 13, 2013 (incorporated by reference from Exhibit 10.1 to our Current Report on Form 8-K, filed on February 14, 2013)</w:t>
              </w:r>
            </w:hyperlink>
          </w:p>
        </w:tc>
      </w:tr>
      <w:tr>
        <w:trPr>
          <w:trHeight w:val="480"/>
        </w:trPr>
        <w:tc>
          <w:tcPr>
            <w:tcW w:w="1040" w:type="dxa"/>
            <w:vAlign w:val="bottom"/>
          </w:tcPr>
          <w:p>
            <w:pPr>
              <w:spacing w:after="0"/>
              <w:rPr>
                <w:sz w:val="24"/>
                <w:szCs w:val="24"/>
                <w:color w:val="auto"/>
              </w:rPr>
            </w:pPr>
          </w:p>
        </w:tc>
        <w:tc>
          <w:tcPr>
            <w:tcW w:w="5820" w:type="dxa"/>
            <w:vAlign w:val="bottom"/>
            <w:tcBorders>
              <w:top w:val="single" w:sz="8" w:color="0000EE"/>
            </w:tcBorders>
            <w:gridSpan w:val="3"/>
          </w:tcPr>
          <w:p>
            <w:pPr>
              <w:ind w:left="4580"/>
              <w:spacing w:after="0"/>
              <w:rPr>
                <w:sz w:val="20"/>
                <w:szCs w:val="20"/>
                <w:color w:val="auto"/>
              </w:rPr>
            </w:pPr>
            <w:r>
              <w:rPr>
                <w:rFonts w:ascii="Arial" w:cs="Arial" w:eastAsia="Arial" w:hAnsi="Arial"/>
                <w:sz w:val="18"/>
                <w:szCs w:val="18"/>
                <w:color w:val="auto"/>
              </w:rPr>
              <w:t>52</w:t>
            </w:r>
          </w:p>
        </w:tc>
        <w:tc>
          <w:tcPr>
            <w:tcW w:w="4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67"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10.9.9</w:t>
            </w:r>
          </w:p>
        </w:tc>
        <w:tc>
          <w:tcPr>
            <w:tcW w:w="10380" w:type="dxa"/>
            <w:vAlign w:val="bottom"/>
            <w:gridSpan w:val="30"/>
          </w:tcPr>
          <w:p>
            <w:pPr>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Thirteenth Amendment to Loan Documents between Build-A-Bear Workshop, Inc., Build-A-Bear Workshop Franchise Holdings, Inc., Build-</w:t>
              </w:r>
            </w:hyperlink>
          </w:p>
        </w:tc>
      </w:tr>
      <w:tr>
        <w:trPr>
          <w:trHeight w:val="196"/>
        </w:trPr>
        <w:tc>
          <w:tcPr>
            <w:tcW w:w="1040" w:type="dxa"/>
            <w:vAlign w:val="bottom"/>
          </w:tcPr>
          <w:p>
            <w:pPr>
              <w:spacing w:after="0"/>
              <w:rPr>
                <w:sz w:val="17"/>
                <w:szCs w:val="17"/>
                <w:color w:val="auto"/>
              </w:rPr>
            </w:pPr>
          </w:p>
        </w:tc>
        <w:tc>
          <w:tcPr>
            <w:tcW w:w="1020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A-Bear Entertainment, LLC, Build-A-Bear Retail Management, Inc., as Borrowers, and U.S. Bank National Association, as Lender, entered</w:t>
              </w:r>
            </w:hyperlink>
          </w:p>
        </w:tc>
        <w:tc>
          <w:tcPr>
            <w:tcW w:w="1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into effective as of April 30, 2013 (incorporated by reference from Exhibit 10.1 to our Current Report on Form 8-K, filed on May 2, 2013)</w:t>
              </w:r>
            </w:hyperlink>
          </w:p>
        </w:tc>
        <w:tc>
          <w:tcPr>
            <w:tcW w:w="30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10.9.10</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Fourteenth Amendment to Loan Documents between Build-A-Bear Workshop, Inc., Build-A-Bear Workshop Franchise Holdings, Inc., Build-</w:t>
              </w:r>
            </w:hyperlink>
          </w:p>
        </w:tc>
        <w:tc>
          <w:tcPr>
            <w:tcW w:w="1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A-Bear Entertainment, LLC, Build-A-Bear Retail Management, Inc., as Borrowers, and U.S. Bank National Association, as Lender, entered</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into effective as of January 22, 2014 (incorporated by reference from Exhibit 10.1 to our Current Report on Form 8-K, filed on January 23,</w:t>
              </w:r>
            </w:hyperlink>
          </w:p>
        </w:tc>
        <w:tc>
          <w:tcPr>
            <w:tcW w:w="30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8">
              <w:r>
                <w:rPr>
                  <w:rFonts w:ascii="Arial" w:cs="Arial" w:eastAsia="Arial" w:hAnsi="Arial"/>
                  <w:sz w:val="18"/>
                  <w:szCs w:val="18"/>
                  <w:color w:val="0000EE"/>
                  <w:w w:val="86"/>
                </w:rPr>
                <w:t>2014)</w:t>
              </w:r>
            </w:hyperlink>
          </w:p>
        </w:tc>
        <w:tc>
          <w:tcPr>
            <w:tcW w:w="5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10.9.11</w:t>
            </w:r>
          </w:p>
        </w:tc>
        <w:tc>
          <w:tcPr>
            <w:tcW w:w="10300" w:type="dxa"/>
            <w:vAlign w:val="bottom"/>
            <w:tcBorders>
              <w:bottom w:val="single" w:sz="8" w:color="0000EE"/>
            </w:tcBorders>
            <w:gridSpan w:val="27"/>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Fifteenth Amendment to Loan Documents between Build-A-Bear Workshop, Inc., Build-A-Bear Workshop Franchise Holdings, Inc., Build-A-</w:t>
              </w:r>
            </w:hyperlink>
          </w:p>
        </w:tc>
        <w:tc>
          <w:tcPr>
            <w:tcW w:w="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Bear Entertainment, LLC, Build-A-Bear Retail Management, Inc., as Borrowers, and U.S. Bank National Association, as Lender, entered into</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effective as of January 2, 2015 (incorporated by reference from Exhibit 10.1 to our Current Report on Form 8-K, filed on January 7, 2015)</w:t>
              </w:r>
            </w:hyperlink>
          </w:p>
        </w:tc>
        <w:tc>
          <w:tcPr>
            <w:tcW w:w="240" w:type="dxa"/>
            <w:vAlign w:val="bottom"/>
            <w:tcBorders>
              <w:top w:val="single" w:sz="8" w:color="0000EE"/>
            </w:tcBorders>
            <w:gridSpan w:val="8"/>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10.9.12</w:t>
            </w:r>
          </w:p>
        </w:tc>
        <w:tc>
          <w:tcPr>
            <w:tcW w:w="10380" w:type="dxa"/>
            <w:vAlign w:val="bottom"/>
            <w:gridSpan w:val="30"/>
          </w:tcPr>
          <w:p>
            <w:pPr>
              <w:spacing w:after="0"/>
              <w:rPr>
                <w:rFonts w:ascii="Arial" w:cs="Arial" w:eastAsia="Arial" w:hAnsi="Arial"/>
                <w:sz w:val="18"/>
                <w:szCs w:val="18"/>
                <w:color w:val="0000EE"/>
                <w:w w:val="93"/>
              </w:rPr>
            </w:pPr>
            <w:hyperlink r:id="rId130">
              <w:r>
                <w:rPr>
                  <w:rFonts w:ascii="Arial" w:cs="Arial" w:eastAsia="Arial" w:hAnsi="Arial"/>
                  <w:sz w:val="18"/>
                  <w:szCs w:val="18"/>
                  <w:color w:val="0000EE"/>
                  <w:w w:val="93"/>
                </w:rPr>
                <w:t>Joinder and Sixteenth Amendment to Loan Documents between Build-A-Bear Workshop, Inc., Build-A-Bear Workshop Franchise Holdings,</w:t>
              </w:r>
            </w:hyperlink>
          </w:p>
        </w:tc>
      </w:tr>
      <w:tr>
        <w:trPr>
          <w:trHeight w:val="20"/>
        </w:trPr>
        <w:tc>
          <w:tcPr>
            <w:tcW w:w="10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Inc., Build-A-Bear Entertainment, LLC, Build-A-Bear Retail Management, Inc., as Borrowers, and U.S. Bank National Association, as Lender,</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entered into effective as of April 25, 2016 (incorporated by reference from Exhibit 10.1 to our Current Report on Form 8-K, filed on April 28,</w:t>
              </w:r>
            </w:hyperlink>
          </w:p>
        </w:tc>
      </w:tr>
      <w:tr>
        <w:trPr>
          <w:trHeight w:val="196"/>
        </w:trPr>
        <w:tc>
          <w:tcPr>
            <w:tcW w:w="10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2016)</w:t>
              </w:r>
            </w:hyperlink>
          </w:p>
        </w:tc>
        <w:tc>
          <w:tcPr>
            <w:tcW w:w="5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10.9.13</w:t>
            </w:r>
          </w:p>
        </w:tc>
        <w:tc>
          <w:tcPr>
            <w:tcW w:w="10340" w:type="dxa"/>
            <w:vAlign w:val="bottom"/>
            <w:tcBorders>
              <w:bottom w:val="single" w:sz="8" w:color="0000EE"/>
            </w:tcBorders>
            <w:gridSpan w:val="28"/>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Seventeenth Amendment to Loan Documents between Build-A-Bear Workshop, Inc., Build-A-Bear Workshop Franchise Holdings, Inc., Build-</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A-Bear Entertainment, LLC, Build-A-Bear Retail Management, Inc., and Build-A-Bear Card Services, LLC, as Borrowers, and U.S. Bank</w:t>
              </w:r>
            </w:hyperlink>
          </w:p>
        </w:tc>
        <w:tc>
          <w:tcPr>
            <w:tcW w:w="38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National Association, as Lender, entered into effective as of May 4, 2017 (incorporated by reference from Exhibit 10.1 to our Current Report</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31">
              <w:r>
                <w:rPr>
                  <w:rFonts w:ascii="Arial" w:cs="Arial" w:eastAsia="Arial" w:hAnsi="Arial"/>
                  <w:sz w:val="18"/>
                  <w:szCs w:val="18"/>
                  <w:color w:val="0000EE"/>
                  <w:w w:val="93"/>
                </w:rPr>
                <w:t>on Form 8-K, filed on May 8, 2017)</w:t>
              </w:r>
            </w:hyperlink>
          </w:p>
        </w:tc>
        <w:tc>
          <w:tcPr>
            <w:tcW w:w="7760" w:type="dxa"/>
            <w:vAlign w:val="bottom"/>
            <w:gridSpan w:val="27"/>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10.9.14</w:t>
            </w:r>
          </w:p>
        </w:tc>
        <w:tc>
          <w:tcPr>
            <w:tcW w:w="10380" w:type="dxa"/>
            <w:vAlign w:val="bottom"/>
            <w:gridSpan w:val="30"/>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Letter Agreement amending Loan Documents between Build-A-Bear Workshop, Inc., Build-A-Bear Workshop Franchise Holdings, Inc., Build-</w:t>
              </w:r>
            </w:hyperlink>
          </w:p>
        </w:tc>
      </w:tr>
      <w:tr>
        <w:trPr>
          <w:trHeight w:val="196"/>
        </w:trPr>
        <w:tc>
          <w:tcPr>
            <w:tcW w:w="104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A-Bear Entertainment, LLC, Build-A-Bear Retail Management, Inc., and Build-A-Bear Card Services, LLC, as Borrowers, and U.S. Bank</w:t>
              </w:r>
            </w:hyperlink>
          </w:p>
        </w:tc>
        <w:tc>
          <w:tcPr>
            <w:tcW w:w="36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National Association, as Lender, entered into effective as of March 1, 2018 (incorporated by reference from Exhibit 10.10.14 to our Annual</w:t>
              </w:r>
            </w:hyperlink>
          </w:p>
        </w:tc>
        <w:tc>
          <w:tcPr>
            <w:tcW w:w="3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Report on Form 10-K, filed on March 15, 2018)</w:t>
              </w:r>
            </w:hyperlink>
          </w:p>
        </w:tc>
      </w:tr>
      <w:tr>
        <w:trPr>
          <w:trHeight w:val="20"/>
        </w:trPr>
        <w:tc>
          <w:tcPr>
            <w:tcW w:w="10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10.9.15</w:t>
            </w:r>
          </w:p>
        </w:tc>
        <w:tc>
          <w:tcPr>
            <w:tcW w:w="10240" w:type="dxa"/>
            <w:vAlign w:val="bottom"/>
            <w:tcBorders>
              <w:bottom w:val="single" w:sz="8" w:color="0000EE"/>
            </w:tcBorders>
            <w:gridSpan w:val="24"/>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Eighteenth Amendment to Loan Documents between Build-A-Bear Workshop, Inc., Build-A-Bear Workshop Franchise Holdings, Inc., Build-</w:t>
              </w:r>
            </w:hyperlink>
          </w:p>
        </w:tc>
        <w:tc>
          <w:tcPr>
            <w:tcW w:w="1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3">
              <w:r>
                <w:rPr>
                  <w:rFonts w:ascii="Arial" w:cs="Arial" w:eastAsia="Arial" w:hAnsi="Arial"/>
                  <w:sz w:val="18"/>
                  <w:szCs w:val="18"/>
                  <w:color w:val="0000EE"/>
                  <w:w w:val="92"/>
                </w:rPr>
                <w:t>A-Bear Entertainment, LLC, Build-A-Bear Retail Management, Inc., and Build-A-Bear Card Services, LLC, as Borrowers, and U.S. Bank</w:t>
              </w:r>
            </w:hyperlink>
          </w:p>
        </w:tc>
        <w:tc>
          <w:tcPr>
            <w:tcW w:w="38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National Association, as Lender, entered into effective as of December 14, 2018 (incorporated by reference from Exhibit 10.1 to our Current</w:t>
              </w:r>
            </w:hyperlink>
          </w:p>
        </w:tc>
      </w:tr>
      <w:tr>
        <w:trPr>
          <w:trHeight w:val="196"/>
        </w:trPr>
        <w:tc>
          <w:tcPr>
            <w:tcW w:w="1040" w:type="dxa"/>
            <w:vAlign w:val="bottom"/>
          </w:tcPr>
          <w:p>
            <w:pPr>
              <w:spacing w:after="0"/>
              <w:rPr>
                <w:sz w:val="17"/>
                <w:szCs w:val="17"/>
                <w:color w:val="auto"/>
              </w:rPr>
            </w:pPr>
          </w:p>
        </w:tc>
        <w:tc>
          <w:tcPr>
            <w:tcW w:w="101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Report on Form 8-K, filed on December 19, 2018)</w:t>
              </w:r>
            </w:hyperlink>
          </w:p>
        </w:tc>
        <w:tc>
          <w:tcPr>
            <w:tcW w:w="24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10.9.16</w:t>
            </w:r>
          </w:p>
        </w:tc>
        <w:tc>
          <w:tcPr>
            <w:tcW w:w="10260" w:type="dxa"/>
            <w:vAlign w:val="bottom"/>
            <w:tcBorders>
              <w:bottom w:val="single" w:sz="8" w:color="0000EE"/>
            </w:tcBorders>
            <w:gridSpan w:val="25"/>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Nineteenth Amendment to Loan Documents between Build-A-Bear Workshop, Inc., Build-A-Bear Workshop Franchise Holdings, Inc., Build-</w:t>
              </w:r>
            </w:hyperlink>
          </w:p>
        </w:tc>
        <w:tc>
          <w:tcPr>
            <w:tcW w:w="1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A-Bear Entertainment, LLC, Build-A-Bear Retail Management, Inc., and Build-A-Bear Card Services, LLC, as Borrowers, and U.S. Bank</w:t>
              </w:r>
            </w:hyperlink>
          </w:p>
        </w:tc>
        <w:tc>
          <w:tcPr>
            <w:tcW w:w="38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National Association, as Lender, entered into effective as of April 16, 2019 (incorporated by reference from Exhibit 10.1 to our Current Report</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on Form 8-K, filed on April 17, 2019)</w:t>
              </w:r>
            </w:hyperlink>
          </w:p>
        </w:tc>
        <w:tc>
          <w:tcPr>
            <w:tcW w:w="7620" w:type="dxa"/>
            <w:vAlign w:val="bottom"/>
            <w:gridSpan w:val="26"/>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10.9.17</w:t>
            </w:r>
          </w:p>
        </w:tc>
        <w:tc>
          <w:tcPr>
            <w:tcW w:w="9980" w:type="dxa"/>
            <w:vAlign w:val="bottom"/>
            <w:tcBorders>
              <w:bottom w:val="single" w:sz="8" w:color="0000EE"/>
            </w:tcBorders>
            <w:gridSpan w:val="15"/>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Fourth Amended and Restated Loan Agreement between the Registrant, Build-A-Bear Workshop Franchise Holdings, Inc., Build-A-Bear</w:t>
              </w:r>
            </w:hyperlink>
          </w:p>
        </w:tc>
        <w:tc>
          <w:tcPr>
            <w:tcW w:w="40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Entertainment, LLC, Build-A-Bear Retail Management, Inc., as borrowers, and U.S. Bank National Association, as lender, dated as of August</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11, 2008 (incorporated by reference from Exhibit 10.1 to our Current Report on Form 8-K, filed on August 13, 2008)</w:t>
              </w:r>
            </w:hyperlink>
          </w:p>
        </w:tc>
      </w:tr>
      <w:tr>
        <w:trPr>
          <w:trHeight w:val="20"/>
        </w:trPr>
        <w:tc>
          <w:tcPr>
            <w:tcW w:w="10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8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10.9.18</w:t>
            </w:r>
          </w:p>
        </w:tc>
        <w:tc>
          <w:tcPr>
            <w:tcW w:w="10280" w:type="dxa"/>
            <w:vAlign w:val="bottom"/>
            <w:tcBorders>
              <w:bottom w:val="single" w:sz="8" w:color="0000EE"/>
            </w:tcBorders>
            <w:gridSpan w:val="26"/>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Fourth Amended And Restated Revolving Credit Note dated as of October 28, 2009 by the Registrant, Franchise Holdings, Inc., Build-A-Bear</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Entertainment, LLC (“BABE”), and Build-A-Bear Retail Management, Inc., as borrowers, in favor of U.S. Bank National Association</w:t>
              </w:r>
            </w:hyperlink>
          </w:p>
        </w:tc>
      </w:tr>
      <w:tr>
        <w:trPr>
          <w:trHeight w:val="196"/>
        </w:trPr>
        <w:tc>
          <w:tcPr>
            <w:tcW w:w="1040" w:type="dxa"/>
            <w:vAlign w:val="bottom"/>
          </w:tcPr>
          <w:p>
            <w:pPr>
              <w:spacing w:after="0"/>
              <w:rPr>
                <w:sz w:val="17"/>
                <w:szCs w:val="17"/>
                <w:color w:val="auto"/>
              </w:rPr>
            </w:pPr>
          </w:p>
        </w:tc>
        <w:tc>
          <w:tcPr>
            <w:tcW w:w="7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(incorporated by reference from Exhibit 10.2 to our Current Report on Form 8-K, filed on August 13, 2008)</w:t>
              </w:r>
            </w:hyperlink>
          </w:p>
        </w:tc>
        <w:tc>
          <w:tcPr>
            <w:tcW w:w="1900" w:type="dxa"/>
            <w:vAlign w:val="bottom"/>
            <w:tcBorders>
              <w:top w:val="single" w:sz="8" w:color="0000EE"/>
            </w:tcBorders>
            <w:gridSpan w:val="2"/>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380" w:type="dxa"/>
            <w:vAlign w:val="bottom"/>
            <w:gridSpan w:val="30"/>
          </w:tcPr>
          <w:p>
            <w:pPr>
              <w:spacing w:after="0"/>
              <w:rPr>
                <w:rFonts w:ascii="Arial" w:cs="Arial" w:eastAsia="Arial" w:hAnsi="Arial"/>
                <w:sz w:val="18"/>
                <w:szCs w:val="18"/>
                <w:color w:val="0000EE"/>
                <w:w w:val="93"/>
              </w:rPr>
            </w:pPr>
            <w:hyperlink r:id="rId137">
              <w:r>
                <w:rPr>
                  <w:rFonts w:ascii="Arial" w:cs="Arial" w:eastAsia="Arial" w:hAnsi="Arial"/>
                  <w:sz w:val="18"/>
                  <w:szCs w:val="18"/>
                  <w:color w:val="0000EE"/>
                  <w:w w:val="93"/>
                </w:rPr>
                <w:t>Standard Form Industrial Building Lease dated August 28, 2004 between First Industrial, L.P. and the Registrant (incorporated by reference</w:t>
              </w:r>
            </w:hyperlink>
          </w:p>
        </w:tc>
      </w:tr>
      <w:tr>
        <w:trPr>
          <w:trHeight w:val="20"/>
        </w:trPr>
        <w:tc>
          <w:tcPr>
            <w:tcW w:w="10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80" w:type="dxa"/>
            <w:vAlign w:val="bottom"/>
            <w:gridSpan w:val="5"/>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10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80" w:type="dxa"/>
            <w:vAlign w:val="bottom"/>
            <w:gridSpan w:val="30"/>
          </w:tcPr>
          <w:p>
            <w:pPr>
              <w:spacing w:after="0" w:line="19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from Exhibit 10.35 to Pre-Effective Amendment No. 4 to our Registration Statement on Form S-1, filed on October 5, 2004, Registration No.</w:t>
              </w:r>
            </w:hyperlink>
          </w:p>
        </w:tc>
      </w:tr>
      <w:tr>
        <w:trPr>
          <w:trHeight w:val="196"/>
        </w:trPr>
        <w:tc>
          <w:tcPr>
            <w:tcW w:w="10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333-118142)</w:t>
              </w:r>
            </w:hyperlink>
          </w:p>
        </w:tc>
        <w:tc>
          <w:tcPr>
            <w:tcW w:w="1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10.10.1</w:t>
            </w:r>
          </w:p>
        </w:tc>
        <w:tc>
          <w:tcPr>
            <w:tcW w:w="10380" w:type="dxa"/>
            <w:vAlign w:val="bottom"/>
            <w:gridSpan w:val="30"/>
          </w:tcPr>
          <w:p>
            <w:pPr>
              <w:spacing w:after="0"/>
              <w:rPr>
                <w:rFonts w:ascii="Arial" w:cs="Arial" w:eastAsia="Arial" w:hAnsi="Arial"/>
                <w:sz w:val="18"/>
                <w:szCs w:val="18"/>
                <w:color w:val="0000EE"/>
                <w:w w:val="94"/>
              </w:rPr>
            </w:pPr>
            <w:hyperlink r:id="rId138">
              <w:r>
                <w:rPr>
                  <w:rFonts w:ascii="Arial" w:cs="Arial" w:eastAsia="Arial" w:hAnsi="Arial"/>
                  <w:sz w:val="18"/>
                  <w:szCs w:val="18"/>
                  <w:color w:val="0000EE"/>
                  <w:w w:val="94"/>
                </w:rPr>
                <w:t>Third Amendment to Lease between First Industrial, L.P. and Registrant, dated as of November 21, 2007 (incorporated by reference from</w:t>
              </w:r>
            </w:hyperlink>
          </w:p>
        </w:tc>
      </w:tr>
      <w:tr>
        <w:trPr>
          <w:trHeight w:val="196"/>
        </w:trPr>
        <w:tc>
          <w:tcPr>
            <w:tcW w:w="1040" w:type="dxa"/>
            <w:vAlign w:val="bottom"/>
          </w:tcPr>
          <w:p>
            <w:pPr>
              <w:spacing w:after="0"/>
              <w:rPr>
                <w:sz w:val="17"/>
                <w:szCs w:val="17"/>
                <w:color w:val="auto"/>
              </w:rPr>
            </w:pPr>
          </w:p>
        </w:tc>
        <w:tc>
          <w:tcPr>
            <w:tcW w:w="5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Exhibit 10.19.1 to our Annual Report on Form 10-K, filed on March 15, 2012)</w:t>
              </w:r>
            </w:hyperlink>
          </w:p>
        </w:tc>
        <w:tc>
          <w:tcPr>
            <w:tcW w:w="4200" w:type="dxa"/>
            <w:vAlign w:val="bottom"/>
            <w:tcBorders>
              <w:top w:val="single" w:sz="8" w:color="0000EE"/>
            </w:tcBorders>
            <w:gridSpan w:val="5"/>
          </w:tcPr>
          <w:p>
            <w:pPr>
              <w:spacing w:after="0"/>
              <w:rPr>
                <w:sz w:val="17"/>
                <w:szCs w:val="17"/>
                <w:color w:val="auto"/>
              </w:rPr>
            </w:pPr>
          </w:p>
        </w:tc>
        <w:tc>
          <w:tcPr>
            <w:tcW w:w="480" w:type="dxa"/>
            <w:vAlign w:val="bottom"/>
            <w:gridSpan w:val="16"/>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10.10.2</w:t>
            </w:r>
          </w:p>
        </w:tc>
        <w:tc>
          <w:tcPr>
            <w:tcW w:w="10380" w:type="dxa"/>
            <w:vAlign w:val="bottom"/>
            <w:gridSpan w:val="30"/>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Fourth Amendment to Lease between First Industrial, L.P. and Registrant, dated as of November 21, 2007 (incorporated by reference from</w:t>
              </w:r>
            </w:hyperlink>
          </w:p>
        </w:tc>
      </w:tr>
      <w:tr>
        <w:trPr>
          <w:trHeight w:val="196"/>
        </w:trPr>
        <w:tc>
          <w:tcPr>
            <w:tcW w:w="104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Exhibit 10.19.2 to our Annual Report on Form 10-K, filed on March 15, 2012)</w:t>
              </w:r>
            </w:hyperlink>
          </w:p>
        </w:tc>
        <w:tc>
          <w:tcPr>
            <w:tcW w:w="4300" w:type="dxa"/>
            <w:vAlign w:val="bottom"/>
            <w:tcBorders>
              <w:top w:val="single" w:sz="8" w:color="0000EE"/>
            </w:tcBorders>
            <w:gridSpan w:val="7"/>
          </w:tcPr>
          <w:p>
            <w:pPr>
              <w:spacing w:after="0"/>
              <w:rPr>
                <w:sz w:val="17"/>
                <w:szCs w:val="17"/>
                <w:color w:val="auto"/>
              </w:rPr>
            </w:pPr>
          </w:p>
        </w:tc>
        <w:tc>
          <w:tcPr>
            <w:tcW w:w="400" w:type="dxa"/>
            <w:vAlign w:val="bottom"/>
            <w:gridSpan w:val="15"/>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10.10.3</w:t>
            </w:r>
          </w:p>
        </w:tc>
        <w:tc>
          <w:tcPr>
            <w:tcW w:w="10380" w:type="dxa"/>
            <w:vAlign w:val="bottom"/>
            <w:gridSpan w:val="30"/>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Fifth Amendment to Lease between First Industrial, L.P. and Registrant, dated as of October 3, 2013 (incorporated by reference from Exhibit</w:t>
              </w:r>
            </w:hyperlink>
          </w:p>
        </w:tc>
      </w:tr>
      <w:tr>
        <w:trPr>
          <w:trHeight w:val="196"/>
        </w:trPr>
        <w:tc>
          <w:tcPr>
            <w:tcW w:w="104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13.3</w:t>
              </w:r>
              <w:r>
                <w:rPr>
                  <w:rFonts w:ascii="Arial" w:cs="Arial" w:eastAsia="Arial" w:hAnsi="Arial"/>
                  <w:sz w:val="18"/>
                  <w:szCs w:val="18"/>
                  <w:color w:val="0000EE"/>
                </w:rPr>
                <w:t xml:space="preserve"> to our Annual Report on Form 10-K for the year ended January 2, 2016)</w:t>
              </w:r>
            </w:hyperlink>
          </w:p>
        </w:tc>
        <w:tc>
          <w:tcPr>
            <w:tcW w:w="22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820" w:type="dxa"/>
            <w:vAlign w:val="bottom"/>
            <w:gridSpan w:val="7"/>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10.10.4</w:t>
            </w:r>
          </w:p>
        </w:tc>
        <w:tc>
          <w:tcPr>
            <w:tcW w:w="10380" w:type="dxa"/>
            <w:vAlign w:val="bottom"/>
            <w:gridSpan w:val="30"/>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Sixth Amendment to Lease between First Industrial, L.P. and Registrant, dated as of January 3, 2018 (incorporated by reference from Exhibit</w:t>
              </w:r>
            </w:hyperlink>
          </w:p>
        </w:tc>
      </w:tr>
      <w:tr>
        <w:trPr>
          <w:trHeight w:val="196"/>
        </w:trPr>
        <w:tc>
          <w:tcPr>
            <w:tcW w:w="104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11.4</w:t>
              </w:r>
              <w:r>
                <w:rPr>
                  <w:rFonts w:ascii="Arial" w:cs="Arial" w:eastAsia="Arial" w:hAnsi="Arial"/>
                  <w:sz w:val="18"/>
                  <w:szCs w:val="18"/>
                  <w:color w:val="0000EE"/>
                </w:rPr>
                <w:t xml:space="preserve"> to our Annual Report on Form 10-K filed March 15, 2018)</w:t>
              </w:r>
            </w:hyperlink>
          </w:p>
        </w:tc>
        <w:tc>
          <w:tcPr>
            <w:tcW w:w="220" w:type="dxa"/>
            <w:vAlign w:val="bottom"/>
            <w:gridSpan w:val="9"/>
          </w:tcPr>
          <w:p>
            <w:pPr>
              <w:spacing w:after="0"/>
              <w:rPr>
                <w:sz w:val="17"/>
                <w:szCs w:val="17"/>
                <w:color w:val="auto"/>
              </w:rPr>
            </w:pPr>
          </w:p>
        </w:tc>
      </w:tr>
      <w:tr>
        <w:trPr>
          <w:trHeight w:val="480"/>
        </w:trPr>
        <w:tc>
          <w:tcPr>
            <w:tcW w:w="1040" w:type="dxa"/>
            <w:vAlign w:val="bottom"/>
          </w:tcPr>
          <w:p>
            <w:pPr>
              <w:spacing w:after="0"/>
              <w:rPr>
                <w:sz w:val="24"/>
                <w:szCs w:val="24"/>
                <w:color w:val="auto"/>
              </w:rPr>
            </w:pPr>
          </w:p>
        </w:tc>
        <w:tc>
          <w:tcPr>
            <w:tcW w:w="4820" w:type="dxa"/>
            <w:vAlign w:val="bottom"/>
            <w:tcBorders>
              <w:top w:val="single" w:sz="8" w:color="0000EE"/>
            </w:tcBorders>
            <w:gridSpan w:val="7"/>
          </w:tcPr>
          <w:p>
            <w:pPr>
              <w:ind w:left="4580"/>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67"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180" w:type="dxa"/>
            <w:vAlign w:val="bottom"/>
            <w:tcBorders>
              <w:bottom w:val="single" w:sz="8" w:color="0000EE"/>
            </w:tcBorders>
            <w:gridSpan w:val="12"/>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Facility Construction Agreement dated December 22, 2005 between the Registrant and Duke Construction Limited Partnership (incorporated</w:t>
              </w:r>
            </w:hyperlink>
          </w:p>
        </w:tc>
        <w:tc>
          <w:tcPr>
            <w:tcW w:w="1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9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by reference from Exhibit 10.35 to our Annual Report on Form 10-K, for the year ended December 31, 2005)</w:t>
              </w:r>
            </w:hyperlink>
          </w:p>
        </w:tc>
        <w:tc>
          <w:tcPr>
            <w:tcW w:w="2440" w:type="dxa"/>
            <w:vAlign w:val="bottom"/>
            <w:gridSpan w:val="7"/>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9960" w:type="dxa"/>
            <w:vAlign w:val="bottom"/>
            <w:tcBorders>
              <w:bottom w:val="single" w:sz="8" w:color="0000EE"/>
            </w:tcBorders>
            <w:gridSpan w:val="9"/>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Real Estate Purchase Agreement dated December 19, 2005 between Duke Realty Ohio and the Registrant (incorporated by reference from</w:t>
              </w:r>
            </w:hyperlink>
          </w:p>
        </w:tc>
        <w:tc>
          <w:tcPr>
            <w:tcW w:w="3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Exhibit 10.36 to our Annual Report on Form 10-K, for the year ended December 31, 2005)</w:t>
              </w:r>
            </w:hyperlink>
          </w:p>
        </w:tc>
        <w:tc>
          <w:tcPr>
            <w:tcW w:w="3780" w:type="dxa"/>
            <w:vAlign w:val="bottom"/>
            <w:gridSpan w:val="8"/>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11.1</w:t>
            </w:r>
          </w:p>
        </w:tc>
        <w:tc>
          <w:tcPr>
            <w:tcW w:w="98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Statement regarding computation of earnings per share (incorporated by reference from Note 10 of the Registrant’s audited consolidated</w:t>
              </w:r>
            </w:hyperlink>
          </w:p>
        </w:tc>
        <w:tc>
          <w:tcPr>
            <w:tcW w:w="5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4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included herein)</w:t>
              </w:r>
            </w:hyperlink>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0340" w:type="dxa"/>
            <w:vAlign w:val="bottom"/>
            <w:gridSpan w:val="13"/>
          </w:tcPr>
          <w:p>
            <w:pPr>
              <w:spacing w:after="0"/>
              <w:rPr>
                <w:rFonts w:ascii="Arial" w:cs="Arial" w:eastAsia="Arial" w:hAnsi="Arial"/>
                <w:sz w:val="18"/>
                <w:szCs w:val="18"/>
                <w:color w:val="0000EE"/>
                <w:w w:val="94"/>
              </w:rPr>
            </w:pPr>
            <w:hyperlink r:id="rId144">
              <w:r>
                <w:rPr>
                  <w:rFonts w:ascii="Arial" w:cs="Arial" w:eastAsia="Arial" w:hAnsi="Arial"/>
                  <w:sz w:val="18"/>
                  <w:szCs w:val="18"/>
                  <w:color w:val="0000EE"/>
                  <w:w w:val="94"/>
                </w:rPr>
                <w:t>List of Subsidiaries of the Registrant (incorporated by reference from Exhibit 21.1 to our Annual Report on Form 10-K, for the year ended</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December 31, 2016)</w:t>
              </w:r>
            </w:hyperlink>
          </w:p>
        </w:tc>
        <w:tc>
          <w:tcPr>
            <w:tcW w:w="36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Consent of Ernst &amp; Young LLP</w:t>
              </w:r>
            </w:hyperlink>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Rule 13a-14(a)/15d-14(a) certification (pursuant to Section 302 of the Sarbanes-Oxley Act of 2002, executed by the President and Chief</w:t>
              </w:r>
            </w:hyperlink>
          </w:p>
        </w:tc>
        <w:tc>
          <w:tcPr>
            <w:tcW w:w="5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340" w:type="dxa"/>
            <w:vAlign w:val="bottom"/>
            <w:gridSpan w:val="1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Executive Officer)</w:t>
              </w:r>
            </w:hyperlink>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9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1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Rule 13a-14(a)/15d-14(a) certification (pursuant to Section 302 of the Sarbanes-Oxley Act of 2002, executed by the Chief Financial Officer)</w:t>
              </w:r>
            </w:hyperlink>
          </w:p>
        </w:tc>
        <w:tc>
          <w:tcPr>
            <w:tcW w:w="200" w:type="dxa"/>
            <w:vAlign w:val="bottom"/>
            <w:gridSpan w:val="2"/>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Section 1350 Certification (pursuant to Section 906 of the Sarbanes-Oxley Act of 2002, executed by the President and Chief Executive Officer)</w:t>
              </w:r>
            </w:hyperlink>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92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Section 1350 Certification (pursuant to Section 906 of the Sarbanes-Oxley Act of 2002, executed by the Chief Financial Officer)</w:t>
              </w:r>
            </w:hyperlink>
          </w:p>
        </w:tc>
        <w:tc>
          <w:tcPr>
            <w:tcW w:w="1060" w:type="dxa"/>
            <w:vAlign w:val="bottom"/>
            <w:gridSpan w:val="6"/>
          </w:tcPr>
          <w:p>
            <w:pPr>
              <w:spacing w:after="0"/>
              <w:rPr>
                <w:sz w:val="24"/>
                <w:szCs w:val="24"/>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13"/>
          </w:tcPr>
          <w:p>
            <w:pPr>
              <w:spacing w:after="0"/>
              <w:rPr>
                <w:sz w:val="20"/>
                <w:szCs w:val="20"/>
                <w:color w:val="auto"/>
              </w:rPr>
            </w:pPr>
            <w:r>
              <w:rPr>
                <w:rFonts w:ascii="Arial" w:cs="Arial" w:eastAsia="Arial" w:hAnsi="Arial"/>
                <w:sz w:val="18"/>
                <w:szCs w:val="18"/>
                <w:color w:val="auto"/>
              </w:rPr>
              <w:t>XBRL Instance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13"/>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13"/>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gridSpan w:val="13"/>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13"/>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13"/>
          </w:tcPr>
          <w:p>
            <w:pPr>
              <w:spacing w:after="0"/>
              <w:rPr>
                <w:sz w:val="20"/>
                <w:szCs w:val="20"/>
                <w:color w:val="auto"/>
              </w:rPr>
            </w:pPr>
            <w:r>
              <w:rPr>
                <w:rFonts w:ascii="Arial" w:cs="Arial" w:eastAsia="Arial" w:hAnsi="Arial"/>
                <w:sz w:val="18"/>
                <w:szCs w:val="18"/>
                <w:color w:val="auto"/>
              </w:rPr>
              <w:t>XBRL Extension Presentation</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520" w:type="dxa"/>
            <w:vAlign w:val="bottom"/>
            <w:gridSpan w:val="2"/>
          </w:tcPr>
          <w:p>
            <w:pPr>
              <w:ind w:left="2380"/>
              <w:spacing w:after="0"/>
              <w:rPr>
                <w:sz w:val="20"/>
                <w:szCs w:val="20"/>
                <w:color w:val="auto"/>
              </w:rPr>
            </w:pPr>
            <w:r>
              <w:rPr>
                <w:rFonts w:ascii="Arial" w:cs="Arial" w:eastAsia="Arial" w:hAnsi="Arial"/>
                <w:sz w:val="18"/>
                <w:szCs w:val="18"/>
                <w:color w:val="auto"/>
              </w:rPr>
              <w:t>(Registrant)</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Date: April 18, 2019</w:t>
            </w:r>
          </w:p>
        </w:tc>
        <w:tc>
          <w:tcPr>
            <w:tcW w:w="2880" w:type="dxa"/>
            <w:vAlign w:val="bottom"/>
          </w:tcPr>
          <w:p>
            <w:pPr>
              <w:ind w:left="240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39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00" w:type="dxa"/>
            <w:vAlign w:val="bottom"/>
          </w:tcPr>
          <w:p>
            <w:pPr>
              <w:spacing w:after="0"/>
              <w:rPr>
                <w:sz w:val="24"/>
                <w:szCs w:val="24"/>
                <w:color w:val="auto"/>
              </w:rPr>
            </w:pPr>
          </w:p>
        </w:tc>
        <w:tc>
          <w:tcPr>
            <w:tcW w:w="2880" w:type="dxa"/>
            <w:vAlign w:val="bottom"/>
          </w:tcPr>
          <w:p>
            <w:pPr>
              <w:ind w:left="240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39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9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February 2, 2019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Signatures</w:t>
            </w:r>
          </w:p>
        </w:tc>
        <w:tc>
          <w:tcPr>
            <w:tcW w:w="100" w:type="dxa"/>
            <w:vAlign w:val="bottom"/>
          </w:tcPr>
          <w:p>
            <w:pPr>
              <w:spacing w:after="0"/>
              <w:rPr>
                <w:sz w:val="20"/>
                <w:szCs w:val="20"/>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Date</w:t>
            </w:r>
          </w:p>
        </w:tc>
      </w:tr>
      <w:tr>
        <w:trPr>
          <w:trHeight w:val="426"/>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Leavitt</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Non-Executive Chairman</w:t>
            </w:r>
          </w:p>
        </w:tc>
        <w:tc>
          <w:tcPr>
            <w:tcW w:w="12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April 18, 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Craig Leavitt</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Maxine Clark</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April 18, 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Maxine Clark</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Dixon, Jr.</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April 18, 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Robert L. Dixon, Jr.</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Anne Parducci</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April 18, 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Anne Parducci</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Personette</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April 18, 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Sarah Personette</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Shaffer</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April 18, 2019</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Michael Shaffer</w:t>
            </w:r>
          </w:p>
        </w:tc>
        <w:tc>
          <w:tcPr>
            <w:tcW w:w="1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gridSpan w:val="2"/>
          </w:tcPr>
          <w:p>
            <w:pPr>
              <w:spacing w:after="0"/>
              <w:rPr>
                <w:sz w:val="20"/>
                <w:szCs w:val="20"/>
                <w:color w:val="auto"/>
              </w:rPr>
            </w:pPr>
            <w:r>
              <w:rPr>
                <w:rFonts w:ascii="Arial" w:cs="Arial" w:eastAsia="Arial" w:hAnsi="Arial"/>
                <w:sz w:val="18"/>
                <w:szCs w:val="18"/>
                <w:color w:val="auto"/>
              </w:rPr>
              <w:t>/s/ Sharon John</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Director and President and Chief Executive Officer</w:t>
            </w:r>
          </w:p>
        </w:tc>
        <w:tc>
          <w:tcPr>
            <w:tcW w:w="1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April 18, 2019</w:t>
            </w:r>
          </w:p>
        </w:tc>
      </w:tr>
      <w:tr>
        <w:trPr>
          <w:trHeight w:val="224"/>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Sharon John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360" w:type="dxa"/>
            <w:vAlign w:val="bottom"/>
            <w:gridSpan w:val="2"/>
          </w:tcPr>
          <w:p>
            <w:pPr>
              <w:spacing w:after="0"/>
              <w:rPr>
                <w:sz w:val="20"/>
                <w:szCs w:val="20"/>
                <w:color w:val="auto"/>
              </w:rPr>
            </w:pPr>
            <w:r>
              <w:rPr>
                <w:rFonts w:ascii="Arial" w:cs="Arial" w:eastAsia="Arial" w:hAnsi="Arial"/>
                <w:sz w:val="18"/>
                <w:szCs w:val="18"/>
                <w:color w:val="auto"/>
              </w:rPr>
              <w:t>/s/ Voin Todorovic</w:t>
            </w:r>
          </w:p>
        </w:tc>
        <w:tc>
          <w:tcPr>
            <w:tcW w:w="100" w:type="dxa"/>
            <w:vAlign w:val="bottom"/>
          </w:tcPr>
          <w:p>
            <w:pPr>
              <w:spacing w:after="0"/>
              <w:rPr>
                <w:sz w:val="24"/>
                <w:szCs w:val="24"/>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April 18, 2019</w:t>
            </w:r>
          </w:p>
        </w:tc>
      </w:tr>
      <w:tr>
        <w:trPr>
          <w:trHeight w:val="224"/>
        </w:trPr>
        <w:tc>
          <w:tcPr>
            <w:tcW w:w="4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Voin Todorovic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2"/>
          </w:tcPr>
          <w:p>
            <w:pPr>
              <w:jc w:val="right"/>
              <w:ind w:right="31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59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 and</w:t>
      </w:r>
    </w:p>
    <w:p>
      <w:pPr>
        <w:ind w:left="660" w:right="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333-218034) pertaining to the Build-A-Bear Workshop, Inc. 2017 Omnibus Incentive Plan;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our reports dated April 18, 2019, with respect to the consolidated balance sheets of Build-A-Bear Workshop, Inc. and Subsidiaries (collectively, the Company) as of February 2, 2019 and December 30, 2017, the related consolidated statements of operations and comprehensive income (loss), cash flows, and stockholders’ equity for the year ended February 2, 2019 and the year ended December 30, 2017 and the consolidated statements of operations and comprehensive income (loss), cash flows and stockholders’ equity for the five week transition period ended February 3, 2018, and schedule of Build-A-Bear Workshop, Inc. and Subsidiaries, and the effectiveness of internal control over financial reporting of Build-A-Bear Workshop, Inc. and Subsidiaries, included in this Annual Report (Form 10-K) of Build-A-Bear Workshop, Inc. and Subsidiaries for the year-ended February 2, 2019.</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2019</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April 18, 2019</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April 18, 2019</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Voin Todorovic</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February 2, 2019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April 18, 2019</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February 2, 2019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April 18, 2019</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4"/>
    </w:lvl>
  </w:abstractNum>
  <w:abstractNum w:abstractNumId="18">
    <w:nsid w:val="2CA88611"/>
    <w:multiLevelType w:val="hybridMultilevel"/>
    <w:lvl w:ilvl="0">
      <w:lvlJc w:val="left"/>
      <w:lvlText w:val="(%1)"/>
      <w:numFmt w:val="decimal"/>
      <w:start w:val="7"/>
    </w:lvl>
  </w:abstractNum>
  <w:abstractNum w:abstractNumId="19">
    <w:nsid w:val="836C40E"/>
    <w:multiLevelType w:val="hybridMultilevel"/>
    <w:lvl w:ilvl="0">
      <w:lvlJc w:val="left"/>
      <w:lvlText w:val="(%1)"/>
      <w:numFmt w:val="decimal"/>
      <w:start w:val="8"/>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9"/>
    </w:lvl>
  </w:abstractNum>
  <w:abstractNum w:abstractNumId="24">
    <w:nsid w:val="7C3DBD3D"/>
    <w:multiLevelType w:val="hybridMultilevel"/>
    <w:lvl w:ilvl="0">
      <w:lvlJc w:val="left"/>
      <w:lvlText w:val="(%1)"/>
      <w:numFmt w:val="decimal"/>
      <w:start w:val="10"/>
    </w:lvl>
    <w:lvl w:ilvl="1">
      <w:lvlJc w:val="left"/>
      <w:lvlText w:val="(%2)"/>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45" Type="http://schemas.openxmlformats.org/officeDocument/2006/relationships/image" Target="media/image79.png"/><Relationship Id="rId86" Type="http://schemas.openxmlformats.org/officeDocument/2006/relationships/hyperlink" Target="http://www.sec.gov/Archives/edgar/data/1113809/000095013704006634/c86750exv2w1.txt" TargetMode="External"/><Relationship Id="rId87" Type="http://schemas.openxmlformats.org/officeDocument/2006/relationships/hyperlink" Target="http://www.sec.gov/Archives/edgar/data/1113809/000095013804000748/exh3-1.htm" TargetMode="External"/><Relationship Id="rId88" Type="http://schemas.openxmlformats.org/officeDocument/2006/relationships/hyperlink" Target="http://www.sec.gov/Archives/edgar/data/1113809/000115752318000029/a51738867_ex31.htm" TargetMode="External"/><Relationship Id="rId89" Type="http://schemas.openxmlformats.org/officeDocument/2006/relationships/hyperlink" Target="http://www.sec.gov/Archives/edgar/data/1113809/000095013704008227/c86750a3exv4w1.txt" TargetMode="External"/><Relationship Id="rId90" Type="http://schemas.openxmlformats.org/officeDocument/2006/relationships/hyperlink" Target="http://www.sec.gov/Archives/edgar/data/1113809/000095013806000595/exh10-1.htm" TargetMode="External"/><Relationship Id="rId91" Type="http://schemas.openxmlformats.org/officeDocument/2006/relationships/hyperlink" Target="http://www.sec.gov/Archives/edgar/data/1113809/000119312509113997/dex991.htm" TargetMode="External"/><Relationship Id="rId92" Type="http://schemas.openxmlformats.org/officeDocument/2006/relationships/hyperlink" Target="http://www.sec.gov/Archives/edgar/data/1113809/000143774914008741/ex10-1.htm" TargetMode="External"/><Relationship Id="rId93" Type="http://schemas.openxmlformats.org/officeDocument/2006/relationships/hyperlink" Target="http://www.sec.gov/Archives/edgar/data/1113809/000119312509111477/dex101.htm" TargetMode="External"/><Relationship Id="rId94" Type="http://schemas.openxmlformats.org/officeDocument/2006/relationships/hyperlink" Target="http://www.sec.gov/Archives/edgar/data/1113809/000143774911001793/ex10-2.htm" TargetMode="External"/><Relationship Id="rId95" Type="http://schemas.openxmlformats.org/officeDocument/2006/relationships/hyperlink" Target="http://www.sec.gov/Archives/edgar/data/1113809/000143774914008741/ex10-2.htm" TargetMode="External"/><Relationship Id="rId96" Type="http://schemas.openxmlformats.org/officeDocument/2006/relationships/hyperlink" Target="http://www.sec.gov/Archives/edgar/data/1113809/000143774915005657/ex10-1.htm" TargetMode="External"/><Relationship Id="rId97" Type="http://schemas.openxmlformats.org/officeDocument/2006/relationships/hyperlink" Target="http://www.sec.gov/Archives/edgar/data/1113809/000143774915005657/ex10-2.htm" TargetMode="External"/><Relationship Id="rId98" Type="http://schemas.openxmlformats.org/officeDocument/2006/relationships/hyperlink" Target="http://www.sec.gov/Archives/edgar/data/1113809/000143774916027470/ex10-7.htm" TargetMode="External"/><Relationship Id="rId99" Type="http://schemas.openxmlformats.org/officeDocument/2006/relationships/hyperlink" Target="http://www.sec.gov/Archives/edgar/data/1113809/000143774916027470/ex10-8.htm" TargetMode="External"/><Relationship Id="rId100" Type="http://schemas.openxmlformats.org/officeDocument/2006/relationships/hyperlink" Target="http://www.sec.gov/Archives/edgar/data/1113809/000143774917004631/ex10-1.11.htm" TargetMode="External"/><Relationship Id="rId101" Type="http://schemas.openxmlformats.org/officeDocument/2006/relationships/hyperlink" Target="http://www.sec.gov/Archives/edgar/data/1113809/000143774917004827/ex10-1.htm" TargetMode="External"/><Relationship Id="rId102" Type="http://schemas.openxmlformats.org/officeDocument/2006/relationships/hyperlink" Target="http://www.sec.gov/Archives/edgar/data/1113809/000143774917004827/ex10-2.htm" TargetMode="External"/><Relationship Id="rId103" Type="http://schemas.openxmlformats.org/officeDocument/2006/relationships/hyperlink" Target="http://www.sec.gov/Archives/edgar/data/1113809/000143774917008832/ex10-1.htm" TargetMode="External"/><Relationship Id="rId104" Type="http://schemas.openxmlformats.org/officeDocument/2006/relationships/hyperlink" Target="http://www.sec.gov/Archives/edgar/data/1113809/000143774918005168/ex_108425.htm" TargetMode="External"/><Relationship Id="rId105" Type="http://schemas.openxmlformats.org/officeDocument/2006/relationships/hyperlink" Target="http://www.sec.gov/Archives/edgar/data/1113809/000143774918005168/ex_108426.htm" TargetMode="External"/><Relationship Id="rId106" Type="http://schemas.openxmlformats.org/officeDocument/2006/relationships/hyperlink" Target="http://www.sec.gov/Archives/edgar/data/1113809/000143774918005168/ex_108427.htm" TargetMode="External"/><Relationship Id="rId107" Type="http://schemas.openxmlformats.org/officeDocument/2006/relationships/hyperlink" Target="http://www.sec.gov/Archives/edgar/data/1113809/000095013707003883/n13023exv10w42.htm" TargetMode="External"/><Relationship Id="rId108" Type="http://schemas.openxmlformats.org/officeDocument/2006/relationships/hyperlink" Target="http://www.sec.gov/Archives/edgar/data/1113809/000143774916027470/ex10-1.htm" TargetMode="External"/><Relationship Id="rId109" Type="http://schemas.openxmlformats.org/officeDocument/2006/relationships/hyperlink" Target="http://www.sec.gov/Archives/edgar/data/1113809/000143774915010154/ex10-4.htm" TargetMode="External"/><Relationship Id="rId110" Type="http://schemas.openxmlformats.org/officeDocument/2006/relationships/hyperlink" Target="http://www.sec.gov/Archives/edgar/data/1113809/000143774916027470/ex10-2.htm" TargetMode="External"/><Relationship Id="rId111" Type="http://schemas.openxmlformats.org/officeDocument/2006/relationships/hyperlink" Target="http://www.sec.gov/Archives/edgar/data/1113809/000143774913010269/ex10-1.htm" TargetMode="External"/><Relationship Id="rId112" Type="http://schemas.openxmlformats.org/officeDocument/2006/relationships/hyperlink" Target="http://www.sec.gov/Archives/edgar/data/1113809/000143774916027470/ex10-3.htm" TargetMode="External"/><Relationship Id="rId113" Type="http://schemas.openxmlformats.org/officeDocument/2006/relationships/hyperlink" Target="http://www.sec.gov/Archives/edgar/data/1113809/000143774914019797/ex10-1.htm" TargetMode="External"/><Relationship Id="rId114" Type="http://schemas.openxmlformats.org/officeDocument/2006/relationships/hyperlink" Target="http://www.sec.gov/Archives/edgar/data/1113809/000143774916027470/ex10-4.htm" TargetMode="External"/><Relationship Id="rId115" Type="http://schemas.openxmlformats.org/officeDocument/2006/relationships/hyperlink" Target="http://www.sec.gov/Archives/edgar/data/1113809/000143774914017028/ex10-1.htm" TargetMode="External"/><Relationship Id="rId116" Type="http://schemas.openxmlformats.org/officeDocument/2006/relationships/hyperlink" Target="http://www.sec.gov/Archives/edgar/data/1113809/000143774916027470/ex10-5.htm" TargetMode="External"/><Relationship Id="rId117" Type="http://schemas.openxmlformats.org/officeDocument/2006/relationships/hyperlink" Target="http://www.sec.gov/Archives/edgar/data/1113809/000095013704006634/c86750exv10w11.txt" TargetMode="External"/><Relationship Id="rId118" Type="http://schemas.openxmlformats.org/officeDocument/2006/relationships/hyperlink" Target="http://www.sec.gov/Archives/edgar/data/1113809/000095013704006634/c86750exv10w12.txt" TargetMode="External"/><Relationship Id="rId119" Type="http://schemas.openxmlformats.org/officeDocument/2006/relationships/hyperlink" Target="http://www.sec.gov/Archives/edgar/data/1113809/000095013806000562/exh10-1.htm" TargetMode="External"/><Relationship Id="rId120" Type="http://schemas.openxmlformats.org/officeDocument/2006/relationships/hyperlink" Target="http://www.sec.gov/Archives/edgar/data/1113809/000115752307006206/a5430319-ex101.txt" TargetMode="External"/><Relationship Id="rId121" Type="http://schemas.openxmlformats.org/officeDocument/2006/relationships/hyperlink" Target="http://www.sec.gov/Archives/edgar/data/1113809/000115752309007398/a6086342ex101.htm" TargetMode="External"/><Relationship Id="rId122" Type="http://schemas.openxmlformats.org/officeDocument/2006/relationships/hyperlink" Target="http://www.sec.gov/Archives/edgar/data/1113809/000143774911000044/ex10-1.htm" TargetMode="External"/><Relationship Id="rId123" Type="http://schemas.openxmlformats.org/officeDocument/2006/relationships/hyperlink" Target="http://www.sec.gov/Archives/edgar/data/1113809/000143774912000141/ex10-1.htm" TargetMode="External"/><Relationship Id="rId124" Type="http://schemas.openxmlformats.org/officeDocument/2006/relationships/hyperlink" Target="http://www.sec.gov/Archives/edgar/data/1113809/000115752312003897/a50354976ex10-1.htm" TargetMode="External"/><Relationship Id="rId125" Type="http://schemas.openxmlformats.org/officeDocument/2006/relationships/hyperlink" Target="http://www.sec.gov/Archives/edgar/data/1113809/000143774912013094/ex10-1.htm" TargetMode="External"/><Relationship Id="rId126" Type="http://schemas.openxmlformats.org/officeDocument/2006/relationships/hyperlink" Target="http://www.sec.gov/Archives/edgar/data/1113809/000115752313000766/a50564221ex10-1.htm" TargetMode="External"/><Relationship Id="rId127" Type="http://schemas.openxmlformats.org/officeDocument/2006/relationships/hyperlink" Target="http://www.sec.gov/Archives/edgar/data/1113809/000115752313002265/a50623446ex10_1.htm" TargetMode="External"/><Relationship Id="rId128" Type="http://schemas.openxmlformats.org/officeDocument/2006/relationships/hyperlink" Target="http://www.sec.gov/Archives/edgar/data/1113809/000143774914000954/ex10-1.htm" TargetMode="External"/><Relationship Id="rId129" Type="http://schemas.openxmlformats.org/officeDocument/2006/relationships/hyperlink" Target="http://www.sec.gov/Archives/edgar/data/1113809/000143774915000387/ex10-1.htm" TargetMode="External"/><Relationship Id="rId130" Type="http://schemas.openxmlformats.org/officeDocument/2006/relationships/hyperlink" Target="http://www.sec.gov/Archives/edgar/data/1113809/000143774916030228/ex10-1.htm" TargetMode="External"/><Relationship Id="rId131" Type="http://schemas.openxmlformats.org/officeDocument/2006/relationships/hyperlink" Target="http://www.sec.gov/Archives/edgar/data/1113809/000143774917008288/ex10-1.htm" TargetMode="External"/><Relationship Id="rId132" Type="http://schemas.openxmlformats.org/officeDocument/2006/relationships/hyperlink" Target="http://www.sec.gov/Archives/edgar/data/1113809/000143774918004676/ex_107724.htm" TargetMode="External"/><Relationship Id="rId133" Type="http://schemas.openxmlformats.org/officeDocument/2006/relationships/hyperlink" Target="http://www.sec.gov/Archives/edgar/data/1113809/000143774918022303/ex_131791.htm" TargetMode="External"/><Relationship Id="rId134" Type="http://schemas.openxmlformats.org/officeDocument/2006/relationships/hyperlink" Target="http://www.sec.gov/Archives/edgar/data/1113809/000143774919007360/ex_140941.htm" TargetMode="External"/><Relationship Id="rId135" Type="http://schemas.openxmlformats.org/officeDocument/2006/relationships/hyperlink" Target="http://www.sec.gov/Archives/edgar/data/1113809/000119312508176507/dex101.htm" TargetMode="External"/><Relationship Id="rId136" Type="http://schemas.openxmlformats.org/officeDocument/2006/relationships/hyperlink" Target="http://www.sec.gov/Archives/edgar/data/1113809/000119312508176507/dex102.htm" TargetMode="External"/><Relationship Id="rId137" Type="http://schemas.openxmlformats.org/officeDocument/2006/relationships/hyperlink" Target="http://www.sec.gov/Archives/edgar/data/1113809/000095013704008286/c86750a4exv10w35.txt" TargetMode="External"/><Relationship Id="rId138" Type="http://schemas.openxmlformats.org/officeDocument/2006/relationships/hyperlink" Target="http://www.sec.gov/Archives/edgar/data/1113809/000143774912002376/ex10-191.htm" TargetMode="External"/><Relationship Id="rId139" Type="http://schemas.openxmlformats.org/officeDocument/2006/relationships/hyperlink" Target="http://www.sec.gov/Archives/edgar/data/1113809/000143774912002376/ex10-192.htm" TargetMode="External"/><Relationship Id="rId140" Type="http://schemas.openxmlformats.org/officeDocument/2006/relationships/hyperlink" Target="http://www.sec.gov/Archives/edgar/data/1113809/000143774916027902/ex10-133.htm" TargetMode="External"/><Relationship Id="rId141" Type="http://schemas.openxmlformats.org/officeDocument/2006/relationships/hyperlink" Target="http://www.sec.gov/Archives/edgar/data/1113809/000143774918004676/ex_107984.htm" TargetMode="External"/><Relationship Id="rId142" Type="http://schemas.openxmlformats.org/officeDocument/2006/relationships/hyperlink" Target="http://www.sec.gov/Archives/edgar/data/1113809/000095013706003138/c02747exv10w35.htm" TargetMode="External"/><Relationship Id="rId143" Type="http://schemas.openxmlformats.org/officeDocument/2006/relationships/hyperlink" Target="http://www.sec.gov/Archives/edgar/data/1113809/000095013706003138/c02747exv10w36.htm" TargetMode="External"/><Relationship Id="rId144" Type="http://schemas.openxmlformats.org/officeDocument/2006/relationships/hyperlink" Target="http://www.sec.gov/Archives/edgar/data/1113809/00014377491700463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2019-12-28T14:05:12Z</dcterms:created>
  <dcterms:modified xsi:type="dcterms:W3CDTF">2019-12-28T14:05:12Z</dcterms:modified>
</cp:coreProperties>
</file>