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141605</wp:posOffset>
            </wp:positionV>
            <wp:extent cx="7200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238125</wp:posOffset>
            </wp:positionV>
            <wp:extent cx="7200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00" w:lineRule="exact"/>
        <w:rPr>
          <w:sz w:val="24"/>
          <w:szCs w:val="24"/>
          <w:color w:val="auto"/>
        </w:rPr>
      </w:pPr>
    </w:p>
    <w:p>
      <w:pPr>
        <w:spacing w:after="0" w:line="36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580" w:right="3960" w:hanging="572"/>
        <w:spacing w:after="0" w:line="493" w:lineRule="auto"/>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May 2,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-521335</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-104140</wp:posOffset>
            </wp:positionV>
            <wp:extent cx="86995" cy="88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05" w:lineRule="exact"/>
        <w:rPr>
          <w:sz w:val="24"/>
          <w:szCs w:val="24"/>
          <w:color w:val="auto"/>
        </w:rPr>
      </w:pPr>
    </w:p>
    <w:p>
      <w:pPr>
        <w:ind w:left="580"/>
        <w:spacing w:after="0"/>
        <w:tabs>
          <w:tab w:leader="none" w:pos="35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1870075</wp:posOffset>
            </wp:positionH>
            <wp:positionV relativeFrom="paragraph">
              <wp:posOffset>-7620</wp:posOffset>
            </wp:positionV>
            <wp:extent cx="866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66140" cy="825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001-32320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154305</wp:posOffset>
            </wp:positionV>
            <wp:extent cx="7200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BUILD-A-BEAR WORKSHOP,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278765</wp:posOffset>
            </wp:positionV>
            <wp:extent cx="7200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tbl>
      <w:tblPr>
        <w:tblLayout w:type="fixed"/>
        <w:tblInd w:w="1280" w:type="dxa"/>
        <w:tblCellMar>
          <w:top w:w="0" w:type="dxa"/>
          <w:left w:w="0" w:type="dxa"/>
          <w:bottom w:w="0" w:type="dxa"/>
          <w:right w:w="0" w:type="dxa"/>
        </w:tblCellMar>
      </w:tblPr>
      <w:tr>
        <w:trPr>
          <w:trHeight w:val="216"/>
        </w:trPr>
        <w:tc>
          <w:tcPr>
            <w:tcW w:w="4760" w:type="dxa"/>
            <w:vAlign w:val="bottom"/>
          </w:tcPr>
          <w:p>
            <w:pPr>
              <w:jc w:val="center"/>
              <w:ind w:right="1590"/>
              <w:spacing w:after="0"/>
              <w:rPr>
                <w:sz w:val="20"/>
                <w:szCs w:val="20"/>
                <w:color w:val="auto"/>
              </w:rPr>
            </w:pPr>
            <w:r>
              <w:rPr>
                <w:rFonts w:ascii="Arial" w:cs="Arial" w:eastAsia="Arial" w:hAnsi="Arial"/>
                <w:sz w:val="18"/>
                <w:szCs w:val="18"/>
                <w:b w:val="1"/>
                <w:bCs w:val="1"/>
                <w:color w:val="auto"/>
                <w:w w:val="91"/>
              </w:rPr>
              <w:t>Delaware</w:t>
            </w:r>
          </w:p>
        </w:tc>
        <w:tc>
          <w:tcPr>
            <w:tcW w:w="3100" w:type="dxa"/>
            <w:vAlign w:val="bottom"/>
          </w:tcPr>
          <w:p>
            <w:pPr>
              <w:jc w:val="right"/>
              <w:ind w:right="190"/>
              <w:spacing w:after="0"/>
              <w:rPr>
                <w:sz w:val="20"/>
                <w:szCs w:val="20"/>
                <w:color w:val="auto"/>
              </w:rPr>
            </w:pPr>
            <w:r>
              <w:rPr>
                <w:rFonts w:ascii="Arial" w:cs="Arial" w:eastAsia="Arial" w:hAnsi="Arial"/>
                <w:sz w:val="18"/>
                <w:szCs w:val="18"/>
                <w:b w:val="1"/>
                <w:bCs w:val="1"/>
                <w:color w:val="auto"/>
              </w:rPr>
              <w:t>43-1883836</w:t>
            </w:r>
          </w:p>
        </w:tc>
      </w:tr>
      <w:tr>
        <w:trPr>
          <w:trHeight w:val="216"/>
        </w:trPr>
        <w:tc>
          <w:tcPr>
            <w:tcW w:w="4760" w:type="dxa"/>
            <w:vAlign w:val="bottom"/>
          </w:tcPr>
          <w:p>
            <w:pPr>
              <w:jc w:val="center"/>
              <w:ind w:right="1590"/>
              <w:spacing w:after="0"/>
              <w:rPr>
                <w:sz w:val="20"/>
                <w:szCs w:val="20"/>
                <w:color w:val="auto"/>
              </w:rPr>
            </w:pPr>
            <w:r>
              <w:rPr>
                <w:rFonts w:ascii="Arial" w:cs="Arial" w:eastAsia="Arial" w:hAnsi="Arial"/>
                <w:sz w:val="18"/>
                <w:szCs w:val="18"/>
                <w:b w:val="1"/>
                <w:bCs w:val="1"/>
                <w:color w:val="auto"/>
                <w:w w:val="90"/>
              </w:rPr>
              <w:t>(State or Other Jurisdiction of</w:t>
            </w:r>
          </w:p>
        </w:tc>
        <w:tc>
          <w:tcPr>
            <w:tcW w:w="3100" w:type="dxa"/>
            <w:vAlign w:val="bottom"/>
          </w:tcPr>
          <w:p>
            <w:pPr>
              <w:jc w:val="center"/>
              <w:ind w:left="1590"/>
              <w:spacing w:after="0"/>
              <w:rPr>
                <w:sz w:val="20"/>
                <w:szCs w:val="20"/>
                <w:color w:val="auto"/>
              </w:rPr>
            </w:pPr>
            <w:r>
              <w:rPr>
                <w:rFonts w:ascii="Arial" w:cs="Arial" w:eastAsia="Arial" w:hAnsi="Arial"/>
                <w:sz w:val="18"/>
                <w:szCs w:val="18"/>
                <w:b w:val="1"/>
                <w:bCs w:val="1"/>
                <w:color w:val="auto"/>
                <w:w w:val="95"/>
              </w:rPr>
              <w:t>(IRS Employer</w:t>
            </w:r>
          </w:p>
        </w:tc>
      </w:tr>
      <w:tr>
        <w:trPr>
          <w:trHeight w:val="234"/>
        </w:trPr>
        <w:tc>
          <w:tcPr>
            <w:tcW w:w="4760" w:type="dxa"/>
            <w:vAlign w:val="bottom"/>
          </w:tcPr>
          <w:p>
            <w:pPr>
              <w:jc w:val="center"/>
              <w:ind w:right="1610"/>
              <w:spacing w:after="0"/>
              <w:rPr>
                <w:sz w:val="20"/>
                <w:szCs w:val="20"/>
                <w:color w:val="auto"/>
              </w:rPr>
            </w:pPr>
            <w:r>
              <w:rPr>
                <w:rFonts w:ascii="Arial" w:cs="Arial" w:eastAsia="Arial" w:hAnsi="Arial"/>
                <w:sz w:val="18"/>
                <w:szCs w:val="18"/>
                <w:b w:val="1"/>
                <w:bCs w:val="1"/>
                <w:color w:val="auto"/>
                <w:w w:val="93"/>
              </w:rPr>
              <w:t>Incorporation or Organization)</w:t>
            </w:r>
          </w:p>
        </w:tc>
        <w:tc>
          <w:tcPr>
            <w:tcW w:w="3100" w:type="dxa"/>
            <w:vAlign w:val="bottom"/>
          </w:tcPr>
          <w:p>
            <w:pPr>
              <w:jc w:val="center"/>
              <w:ind w:left="1590"/>
              <w:spacing w:after="0"/>
              <w:rPr>
                <w:sz w:val="20"/>
                <w:szCs w:val="20"/>
                <w:color w:val="auto"/>
              </w:rPr>
            </w:pPr>
            <w:r>
              <w:rPr>
                <w:rFonts w:ascii="Arial" w:cs="Arial" w:eastAsia="Arial" w:hAnsi="Arial"/>
                <w:sz w:val="18"/>
                <w:szCs w:val="18"/>
                <w:b w:val="1"/>
                <w:bCs w:val="1"/>
                <w:color w:val="auto"/>
                <w:w w:val="93"/>
              </w:rPr>
              <w:t>Identification No.)</w:t>
            </w:r>
          </w:p>
        </w:tc>
      </w:tr>
      <w:tr>
        <w:trPr>
          <w:trHeight w:val="630"/>
        </w:trPr>
        <w:tc>
          <w:tcPr>
            <w:tcW w:w="4760" w:type="dxa"/>
            <w:vAlign w:val="bottom"/>
          </w:tcPr>
          <w:p>
            <w:pPr>
              <w:jc w:val="center"/>
              <w:ind w:right="1590"/>
              <w:spacing w:after="0"/>
              <w:rPr>
                <w:sz w:val="20"/>
                <w:szCs w:val="20"/>
                <w:color w:val="auto"/>
              </w:rPr>
            </w:pPr>
            <w:r>
              <w:rPr>
                <w:rFonts w:ascii="Arial" w:cs="Arial" w:eastAsia="Arial" w:hAnsi="Arial"/>
                <w:sz w:val="18"/>
                <w:szCs w:val="18"/>
                <w:b w:val="1"/>
                <w:bCs w:val="1"/>
                <w:color w:val="auto"/>
                <w:w w:val="90"/>
              </w:rPr>
              <w:t>1954 Innerbelt Business Center Drive</w:t>
            </w:r>
          </w:p>
        </w:tc>
        <w:tc>
          <w:tcPr>
            <w:tcW w:w="3100" w:type="dxa"/>
            <w:vAlign w:val="bottom"/>
          </w:tcPr>
          <w:p>
            <w:pPr>
              <w:spacing w:after="0"/>
              <w:rPr>
                <w:sz w:val="24"/>
                <w:szCs w:val="24"/>
                <w:color w:val="auto"/>
              </w:rPr>
            </w:pPr>
          </w:p>
        </w:tc>
      </w:tr>
      <w:tr>
        <w:trPr>
          <w:trHeight w:val="216"/>
        </w:trPr>
        <w:tc>
          <w:tcPr>
            <w:tcW w:w="4760" w:type="dxa"/>
            <w:vAlign w:val="bottom"/>
          </w:tcPr>
          <w:p>
            <w:pPr>
              <w:jc w:val="center"/>
              <w:ind w:right="1590"/>
              <w:spacing w:after="0"/>
              <w:rPr>
                <w:sz w:val="20"/>
                <w:szCs w:val="20"/>
                <w:color w:val="auto"/>
              </w:rPr>
            </w:pPr>
            <w:r>
              <w:rPr>
                <w:rFonts w:ascii="Arial" w:cs="Arial" w:eastAsia="Arial" w:hAnsi="Arial"/>
                <w:sz w:val="18"/>
                <w:szCs w:val="18"/>
                <w:b w:val="1"/>
                <w:bCs w:val="1"/>
                <w:color w:val="auto"/>
                <w:w w:val="89"/>
              </w:rPr>
              <w:t>St. Louis, Missouri</w:t>
            </w:r>
          </w:p>
        </w:tc>
        <w:tc>
          <w:tcPr>
            <w:tcW w:w="3100" w:type="dxa"/>
            <w:vAlign w:val="bottom"/>
          </w:tcPr>
          <w:p>
            <w:pPr>
              <w:jc w:val="right"/>
              <w:ind w:right="390"/>
              <w:spacing w:after="0"/>
              <w:rPr>
                <w:sz w:val="20"/>
                <w:szCs w:val="20"/>
                <w:color w:val="auto"/>
              </w:rPr>
            </w:pPr>
            <w:r>
              <w:rPr>
                <w:rFonts w:ascii="Arial" w:cs="Arial" w:eastAsia="Arial" w:hAnsi="Arial"/>
                <w:sz w:val="18"/>
                <w:szCs w:val="18"/>
                <w:b w:val="1"/>
                <w:bCs w:val="1"/>
                <w:color w:val="auto"/>
              </w:rPr>
              <w:t>63114</w:t>
            </w:r>
          </w:p>
        </w:tc>
      </w:tr>
      <w:tr>
        <w:trPr>
          <w:trHeight w:val="234"/>
        </w:trPr>
        <w:tc>
          <w:tcPr>
            <w:tcW w:w="4760" w:type="dxa"/>
            <w:vAlign w:val="bottom"/>
          </w:tcPr>
          <w:p>
            <w:pPr>
              <w:jc w:val="center"/>
              <w:ind w:right="1590"/>
              <w:spacing w:after="0"/>
              <w:rPr>
                <w:sz w:val="20"/>
                <w:szCs w:val="20"/>
                <w:color w:val="auto"/>
              </w:rPr>
            </w:pPr>
            <w:r>
              <w:rPr>
                <w:rFonts w:ascii="Arial" w:cs="Arial" w:eastAsia="Arial" w:hAnsi="Arial"/>
                <w:sz w:val="18"/>
                <w:szCs w:val="18"/>
                <w:b w:val="1"/>
                <w:bCs w:val="1"/>
                <w:color w:val="auto"/>
                <w:w w:val="90"/>
              </w:rPr>
              <w:t>(Address of Principal Executive Offices)</w:t>
            </w:r>
          </w:p>
        </w:tc>
        <w:tc>
          <w:tcPr>
            <w:tcW w:w="3100" w:type="dxa"/>
            <w:vAlign w:val="bottom"/>
          </w:tcPr>
          <w:p>
            <w:pPr>
              <w:jc w:val="center"/>
              <w:ind w:left="1590"/>
              <w:spacing w:after="0"/>
              <w:rPr>
                <w:sz w:val="20"/>
                <w:szCs w:val="20"/>
                <w:color w:val="auto"/>
              </w:rPr>
            </w:pPr>
            <w:r>
              <w:rPr>
                <w:rFonts w:ascii="Arial" w:cs="Arial" w:eastAsia="Arial" w:hAnsi="Arial"/>
                <w:sz w:val="18"/>
                <w:szCs w:val="18"/>
                <w:b w:val="1"/>
                <w:bCs w:val="1"/>
                <w:color w:val="auto"/>
                <w:w w:val="92"/>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(314) 423-8000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142875</wp:posOffset>
            </wp:positionV>
            <wp:extent cx="7200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ind w:left="660"/>
              <w:spacing w:after="0"/>
              <w:rPr>
                <w:sz w:val="20"/>
                <w:szCs w:val="20"/>
                <w:color w:val="auto"/>
              </w:rPr>
            </w:pPr>
            <w:r>
              <w:rPr>
                <w:rFonts w:ascii="Arial" w:cs="Arial" w:eastAsia="Arial" w:hAnsi="Arial"/>
                <w:sz w:val="18"/>
                <w:szCs w:val="18"/>
                <w:color w:val="auto"/>
                <w:w w:val="92"/>
              </w:rPr>
              <w:t>Securities registered pursuant to Section 12(b) of the Act:</w:t>
            </w:r>
          </w:p>
        </w:tc>
        <w:tc>
          <w:tcPr>
            <w:tcW w:w="198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30"/>
        </w:trPr>
        <w:tc>
          <w:tcPr>
            <w:tcW w:w="4920" w:type="dxa"/>
            <w:vAlign w:val="bottom"/>
            <w:tcBorders>
              <w:bottom w:val="single" w:sz="8" w:color="auto"/>
            </w:tcBorders>
          </w:tcPr>
          <w:p>
            <w:pPr>
              <w:jc w:val="center"/>
              <w:ind w:right="650"/>
              <w:spacing w:after="0"/>
              <w:rPr>
                <w:sz w:val="20"/>
                <w:szCs w:val="20"/>
                <w:color w:val="auto"/>
              </w:rPr>
            </w:pPr>
            <w:r>
              <w:rPr>
                <w:rFonts w:ascii="Arial" w:cs="Arial" w:eastAsia="Arial" w:hAnsi="Arial"/>
                <w:sz w:val="18"/>
                <w:szCs w:val="18"/>
                <w:color w:val="auto"/>
                <w:w w:val="90"/>
              </w:rPr>
              <w:t>Title of each class</w:t>
            </w:r>
          </w:p>
        </w:tc>
        <w:tc>
          <w:tcPr>
            <w:tcW w:w="1980" w:type="dxa"/>
            <w:vAlign w:val="bottom"/>
            <w:tcBorders>
              <w:bottom w:val="single" w:sz="8" w:color="auto"/>
            </w:tcBorders>
          </w:tcPr>
          <w:p>
            <w:pPr>
              <w:jc w:val="center"/>
              <w:ind w:right="470"/>
              <w:spacing w:after="0"/>
              <w:rPr>
                <w:sz w:val="20"/>
                <w:szCs w:val="20"/>
                <w:color w:val="auto"/>
              </w:rPr>
            </w:pPr>
            <w:r>
              <w:rPr>
                <w:rFonts w:ascii="Arial" w:cs="Arial" w:eastAsia="Arial" w:hAnsi="Arial"/>
                <w:sz w:val="18"/>
                <w:szCs w:val="18"/>
                <w:color w:val="auto"/>
                <w:w w:val="93"/>
              </w:rPr>
              <w:t>Trading Symbol</w:t>
            </w:r>
          </w:p>
        </w:tc>
        <w:tc>
          <w:tcPr>
            <w:tcW w:w="434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920" w:type="dxa"/>
            <w:vAlign w:val="bottom"/>
          </w:tcPr>
          <w:p>
            <w:pPr>
              <w:jc w:val="center"/>
              <w:ind w:right="650"/>
              <w:spacing w:after="0"/>
              <w:rPr>
                <w:sz w:val="20"/>
                <w:szCs w:val="20"/>
                <w:color w:val="auto"/>
              </w:rPr>
            </w:pPr>
            <w:r>
              <w:rPr>
                <w:rFonts w:ascii="Arial" w:cs="Arial" w:eastAsia="Arial" w:hAnsi="Arial"/>
                <w:sz w:val="18"/>
                <w:szCs w:val="18"/>
                <w:color w:val="auto"/>
                <w:w w:val="91"/>
              </w:rPr>
              <w:t>Common stock</w:t>
            </w:r>
          </w:p>
        </w:tc>
        <w:tc>
          <w:tcPr>
            <w:tcW w:w="1980" w:type="dxa"/>
            <w:vAlign w:val="bottom"/>
          </w:tcPr>
          <w:p>
            <w:pPr>
              <w:jc w:val="center"/>
              <w:ind w:right="470"/>
              <w:spacing w:after="0"/>
              <w:rPr>
                <w:sz w:val="20"/>
                <w:szCs w:val="20"/>
                <w:color w:val="auto"/>
              </w:rPr>
            </w:pPr>
            <w:r>
              <w:rPr>
                <w:rFonts w:ascii="Arial" w:cs="Arial" w:eastAsia="Arial" w:hAnsi="Arial"/>
                <w:sz w:val="18"/>
                <w:szCs w:val="18"/>
                <w:color w:val="auto"/>
              </w:rPr>
              <w:t>BBW</w:t>
            </w:r>
          </w:p>
        </w:tc>
        <w:tc>
          <w:tcPr>
            <w:tcW w:w="4340" w:type="dxa"/>
            <w:vAlign w:val="bottom"/>
          </w:tcPr>
          <w:p>
            <w:pPr>
              <w:jc w:val="center"/>
              <w:ind w:left="110"/>
              <w:spacing w:after="0"/>
              <w:rPr>
                <w:sz w:val="20"/>
                <w:szCs w:val="20"/>
                <w:color w:val="auto"/>
              </w:rPr>
            </w:pPr>
            <w:r>
              <w:rPr>
                <w:rFonts w:ascii="Arial" w:cs="Arial" w:eastAsia="Arial" w:hAnsi="Arial"/>
                <w:sz w:val="18"/>
                <w:szCs w:val="18"/>
                <w:color w:val="auto"/>
                <w:w w:val="91"/>
              </w:rPr>
              <w:t>New York Stock Exchange</w:t>
            </w:r>
          </w:p>
        </w:tc>
      </w:tr>
      <w:tr>
        <w:trPr>
          <w:trHeight w:val="418"/>
        </w:trPr>
        <w:tc>
          <w:tcPr>
            <w:tcW w:w="4920" w:type="dxa"/>
            <w:vAlign w:val="bottom"/>
          </w:tcPr>
          <w:p>
            <w:pPr>
              <w:spacing w:after="0"/>
              <w:rPr>
                <w:sz w:val="24"/>
                <w:szCs w:val="24"/>
                <w:color w:val="auto"/>
              </w:rPr>
            </w:pPr>
          </w:p>
        </w:tc>
        <w:tc>
          <w:tcPr>
            <w:tcW w:w="1980" w:type="dxa"/>
            <w:vAlign w:val="bottom"/>
          </w:tcPr>
          <w:p>
            <w:pPr>
              <w:jc w:val="center"/>
              <w:ind w:right="490"/>
              <w:spacing w:after="0"/>
              <w:rPr>
                <w:sz w:val="20"/>
                <w:szCs w:val="20"/>
                <w:color w:val="auto"/>
              </w:rPr>
            </w:pPr>
            <w:r>
              <w:rPr>
                <w:rFonts w:ascii="Arial" w:cs="Arial" w:eastAsia="Arial" w:hAnsi="Arial"/>
                <w:sz w:val="18"/>
                <w:szCs w:val="18"/>
                <w:color w:val="auto"/>
                <w:w w:val="79"/>
              </w:rPr>
              <w:t>1</w:t>
            </w:r>
          </w:p>
        </w:tc>
        <w:tc>
          <w:tcPr>
            <w:tcW w:w="4340" w:type="dxa"/>
            <w:vAlign w:val="bottom"/>
          </w:tcPr>
          <w:p>
            <w:pPr>
              <w:spacing w:after="0"/>
              <w:rPr>
                <w:sz w:val="24"/>
                <w:szCs w:val="24"/>
                <w:color w:val="auto"/>
              </w:rPr>
            </w:pPr>
          </w:p>
        </w:tc>
      </w:tr>
      <w:tr>
        <w:trPr>
          <w:trHeight w:val="115"/>
        </w:trPr>
        <w:tc>
          <w:tcPr>
            <w:tcW w:w="492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tcPr>
          <w:p>
            <w:pPr>
              <w:spacing w:after="0"/>
              <w:rPr>
                <w:sz w:val="10"/>
                <w:szCs w:val="10"/>
                <w:color w:val="auto"/>
              </w:rPr>
            </w:pPr>
          </w:p>
        </w:tc>
        <w:tc>
          <w:tcPr>
            <w:tcW w:w="43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715" w:right="339" w:bottom="1440" w:gutter="0" w:footer="0" w:header="0"/>
        </w:sectPr>
      </w:pPr>
    </w:p>
    <w:bookmarkStart w:id="1" w:name="page2"/>
    <w:bookmarkEnd w:id="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0"/>
          <w:szCs w:val="20"/>
          <w:color w:val="auto"/>
        </w:rPr>
      </w:pPr>
    </w:p>
    <w:p>
      <w:pPr>
        <w:ind w:right="6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18" w:right="339" w:bottom="1440" w:gutter="0" w:footer="0" w:header="0"/>
        </w:sectPr>
      </w:pP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32" w:lineRule="exact"/>
        <w:rPr>
          <w:sz w:val="20"/>
          <w:szCs w:val="20"/>
          <w:color w:val="auto"/>
        </w:rPr>
      </w:pPr>
    </w:p>
    <w:p>
      <w:pPr>
        <w:sectPr>
          <w:pgSz w:w="11900" w:h="16838" w:orient="portrait"/>
          <w:cols w:equalWidth="0" w:num="3">
            <w:col w:w="1620" w:space="100"/>
            <w:col w:w="5200" w:space="720"/>
            <w:col w:w="3600"/>
          </w:cols>
          <w:pgMar w:left="320" w:top="118" w:right="339" w:bottom="1440" w:gutter="0" w:footer="0" w:header="0"/>
          <w:type w:val="continuous"/>
        </w:sectPr>
      </w:pPr>
    </w:p>
    <w:p>
      <w:pPr>
        <w:spacing w:after="0" w:line="15"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8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0"/>
          <w:szCs w:val="20"/>
          <w:color w:val="auto"/>
        </w:rPr>
      </w:pPr>
    </w:p>
    <w:p>
      <w:pPr>
        <w:sectPr>
          <w:pgSz w:w="11900" w:h="16838" w:orient="portrait"/>
          <w:cols w:equalWidth="0" w:num="2">
            <w:col w:w="6920" w:space="720"/>
            <w:col w:w="3600"/>
          </w:cols>
          <w:pgMar w:left="320" w:top="118" w:right="339" w:bottom="1440" w:gutter="0" w:footer="0" w:header="0"/>
          <w:type w:val="continuous"/>
        </w:sectPr>
      </w:pPr>
    </w:p>
    <w:p>
      <w:pPr>
        <w:spacing w:after="0" w:line="32" w:lineRule="exact"/>
        <w:rPr>
          <w:sz w:val="20"/>
          <w:szCs w:val="20"/>
          <w:color w:val="auto"/>
        </w:rPr>
      </w:pPr>
    </w:p>
    <w:p>
      <w:pPr>
        <w:ind w:right="160"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14(a) of the Exchange Act. </w:t>
      </w:r>
      <w:r>
        <w:rPr>
          <w:rFonts w:ascii="MS PGothic" w:cs="MS PGothic" w:eastAsia="MS PGothic" w:hAnsi="MS PGothic"/>
          <w:sz w:val="18"/>
          <w:szCs w:val="18"/>
          <w:color w:val="auto"/>
        </w:rPr>
        <w:t>☐</w:t>
      </w:r>
    </w:p>
    <w:p>
      <w:pPr>
        <w:spacing w:after="0" w:line="150" w:lineRule="exact"/>
        <w:rPr>
          <w:sz w:val="20"/>
          <w:szCs w:val="20"/>
          <w:color w:val="auto"/>
        </w:rPr>
      </w:pPr>
    </w:p>
    <w:p>
      <w:pPr>
        <w:ind w:left="660"/>
        <w:spacing w:after="0" w:line="207" w:lineRule="exact"/>
        <w:tabs>
          <w:tab w:leader="none" w:pos="8980" w:val="left"/>
          <w:tab w:leader="none" w:pos="96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8, 2020, there were 15,439,538 issued and outstanding shares of the registrant’s common stock.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200" w:type="dxa"/>
            <w:vAlign w:val="bottom"/>
            <w:gridSpan w:val="3"/>
          </w:tcPr>
          <w:p>
            <w:pPr>
              <w:spacing w:after="0"/>
              <w:rPr>
                <w:sz w:val="20"/>
                <w:szCs w:val="20"/>
                <w:color w:val="auto"/>
              </w:rPr>
            </w:pPr>
            <w:r>
              <w:rPr>
                <w:rFonts w:ascii="Arial" w:cs="Arial" w:eastAsia="Arial" w:hAnsi="Arial"/>
                <w:sz w:val="18"/>
                <w:szCs w:val="18"/>
                <w:color w:val="0000EE"/>
              </w:rPr>
              <w:t>Table of Contents</w:t>
            </w:r>
          </w:p>
        </w:tc>
        <w:tc>
          <w:tcPr>
            <w:tcW w:w="1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77"/>
        </w:trPr>
        <w:tc>
          <w:tcPr>
            <w:tcW w:w="7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7920" w:type="dxa"/>
            <w:vAlign w:val="bottom"/>
          </w:tcPr>
          <w:p>
            <w:pPr>
              <w:jc w:val="center"/>
              <w:ind w:left="690"/>
              <w:spacing w:after="0"/>
              <w:rPr>
                <w:sz w:val="20"/>
                <w:szCs w:val="20"/>
                <w:color w:val="auto"/>
              </w:rPr>
            </w:pPr>
            <w:r>
              <w:rPr>
                <w:rFonts w:ascii="Arial" w:cs="Arial" w:eastAsia="Arial" w:hAnsi="Arial"/>
                <w:sz w:val="18"/>
                <w:szCs w:val="18"/>
                <w:b w:val="1"/>
                <w:bCs w:val="1"/>
                <w:color w:val="auto"/>
                <w:w w:val="99"/>
              </w:rPr>
              <w:t>BUILD-A-BEAR WORKSHOP, INC.</w:t>
            </w:r>
          </w:p>
        </w:tc>
        <w:tc>
          <w:tcPr>
            <w:tcW w:w="1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920" w:type="dxa"/>
            <w:vAlign w:val="bottom"/>
          </w:tcPr>
          <w:p>
            <w:pPr>
              <w:jc w:val="center"/>
              <w:ind w:left="690"/>
              <w:spacing w:after="0"/>
              <w:rPr>
                <w:sz w:val="20"/>
                <w:szCs w:val="20"/>
                <w:color w:val="auto"/>
              </w:rPr>
            </w:pPr>
            <w:r>
              <w:rPr>
                <w:rFonts w:ascii="Arial" w:cs="Arial" w:eastAsia="Arial" w:hAnsi="Arial"/>
                <w:sz w:val="18"/>
                <w:szCs w:val="18"/>
                <w:b w:val="1"/>
                <w:bCs w:val="1"/>
                <w:color w:val="auto"/>
              </w:rPr>
              <w:t>INDEX TO FORM 10-Q</w:t>
            </w:r>
          </w:p>
        </w:tc>
        <w:tc>
          <w:tcPr>
            <w:tcW w:w="1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1"/>
        </w:trPr>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2040" w:type="dxa"/>
            <w:vAlign w:val="bottom"/>
            <w:gridSpan w:val="3"/>
          </w:tcPr>
          <w:p>
            <w:pPr>
              <w:ind w:left="1660"/>
              <w:spacing w:after="0"/>
              <w:rPr>
                <w:sz w:val="20"/>
                <w:szCs w:val="20"/>
                <w:color w:val="auto"/>
              </w:rPr>
            </w:pPr>
            <w:r>
              <w:rPr>
                <w:rFonts w:ascii="Arial" w:cs="Arial" w:eastAsia="Arial" w:hAnsi="Arial"/>
                <w:sz w:val="18"/>
                <w:szCs w:val="18"/>
                <w:color w:val="auto"/>
                <w:w w:val="85"/>
              </w:rPr>
              <w:t>Page</w:t>
            </w:r>
          </w:p>
        </w:tc>
      </w:tr>
      <w:tr>
        <w:trPr>
          <w:trHeight w:val="21"/>
        </w:trPr>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9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Part I Financial Information</w:t>
            </w:r>
          </w:p>
        </w:tc>
        <w:tc>
          <w:tcPr>
            <w:tcW w:w="1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1280" w:type="dxa"/>
            <w:vAlign w:val="bottom"/>
            <w:gridSpan w:val="2"/>
          </w:tcPr>
          <w:p>
            <w:pPr>
              <w:spacing w:after="0"/>
              <w:rPr>
                <w:sz w:val="18"/>
                <w:szCs w:val="18"/>
                <w:color w:val="auto"/>
              </w:rPr>
            </w:pPr>
          </w:p>
        </w:tc>
        <w:tc>
          <w:tcPr>
            <w:tcW w:w="79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200" w:type="dxa"/>
            <w:vAlign w:val="bottom"/>
            <w:gridSpan w:val="3"/>
            <w:shd w:val="clear" w:color="auto" w:fill="CCEEFF"/>
          </w:tcPr>
          <w:p>
            <w:pPr>
              <w:ind w:left="18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Item 1.  Financial Statements (Unaudited)</w:t>
              </w:r>
            </w:hyperlink>
          </w:p>
        </w:tc>
        <w:tc>
          <w:tcPr>
            <w:tcW w:w="2020" w:type="dxa"/>
            <w:vAlign w:val="bottom"/>
            <w:gridSpan w:val="2"/>
            <w:shd w:val="clear" w:color="auto" w:fill="CCEEFF"/>
          </w:tcPr>
          <w:p>
            <w:pPr>
              <w:jc w:val="center"/>
              <w:ind w:left="1570"/>
              <w:spacing w:after="0"/>
              <w:rPr>
                <w:rFonts w:ascii="Arial" w:cs="Arial" w:eastAsia="Arial" w:hAnsi="Arial"/>
                <w:sz w:val="18"/>
                <w:szCs w:val="18"/>
                <w:u w:val="single" w:color="auto"/>
                <w:color w:val="0000EE"/>
                <w:w w:val="79"/>
              </w:rPr>
            </w:pPr>
            <w:hyperlink w:anchor="page4">
              <w:r>
                <w:rPr>
                  <w:rFonts w:ascii="Arial" w:cs="Arial" w:eastAsia="Arial" w:hAnsi="Arial"/>
                  <w:sz w:val="18"/>
                  <w:szCs w:val="18"/>
                  <w:u w:val="single" w:color="auto"/>
                  <w:color w:val="0000EE"/>
                  <w:w w:val="79"/>
                </w:rPr>
                <w:t>4</w:t>
              </w:r>
            </w:hyperlink>
          </w:p>
        </w:tc>
        <w:tc>
          <w:tcPr>
            <w:tcW w:w="20" w:type="dxa"/>
            <w:vAlign w:val="bottom"/>
            <w:shd w:val="clear" w:color="auto" w:fill="CCEEFF"/>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920" w:type="dxa"/>
            <w:vAlign w:val="bottom"/>
          </w:tcPr>
          <w:p>
            <w:pPr>
              <w:ind w:left="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Balance Sheets</w:t>
              </w:r>
            </w:hyperlink>
          </w:p>
        </w:tc>
        <w:tc>
          <w:tcPr>
            <w:tcW w:w="2020" w:type="dxa"/>
            <w:vAlign w:val="bottom"/>
            <w:gridSpan w:val="2"/>
          </w:tcPr>
          <w:p>
            <w:pPr>
              <w:jc w:val="center"/>
              <w:ind w:left="1570"/>
              <w:spacing w:after="0"/>
              <w:rPr>
                <w:rFonts w:ascii="Arial" w:cs="Arial" w:eastAsia="Arial" w:hAnsi="Arial"/>
                <w:sz w:val="18"/>
                <w:szCs w:val="18"/>
                <w:u w:val="single" w:color="auto"/>
                <w:color w:val="0000EE"/>
                <w:w w:val="79"/>
              </w:rPr>
            </w:pPr>
            <w:hyperlink w:anchor="page4">
              <w:r>
                <w:rPr>
                  <w:rFonts w:ascii="Arial" w:cs="Arial" w:eastAsia="Arial" w:hAnsi="Arial"/>
                  <w:sz w:val="18"/>
                  <w:szCs w:val="18"/>
                  <w:u w:val="single" w:color="auto"/>
                  <w:color w:val="0000EE"/>
                  <w:w w:val="79"/>
                </w:rPr>
                <w:t>4</w:t>
              </w:r>
            </w:hyperlink>
          </w:p>
        </w:tc>
        <w:tc>
          <w:tcPr>
            <w:tcW w:w="2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920" w:type="dxa"/>
            <w:vAlign w:val="bottom"/>
            <w:shd w:val="clear" w:color="auto" w:fill="CCEEFF"/>
          </w:tcPr>
          <w:p>
            <w:pPr>
              <w:ind w:left="2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Statements of Operations and Comprehensive Income (Loss)</w:t>
              </w:r>
            </w:hyperlink>
          </w:p>
        </w:tc>
        <w:tc>
          <w:tcPr>
            <w:tcW w:w="2020" w:type="dxa"/>
            <w:vAlign w:val="bottom"/>
            <w:gridSpan w:val="2"/>
            <w:shd w:val="clear" w:color="auto" w:fill="CCEEFF"/>
          </w:tcPr>
          <w:p>
            <w:pPr>
              <w:jc w:val="center"/>
              <w:ind w:left="1570"/>
              <w:spacing w:after="0"/>
              <w:rPr>
                <w:rFonts w:ascii="Arial" w:cs="Arial" w:eastAsia="Arial" w:hAnsi="Arial"/>
                <w:sz w:val="18"/>
                <w:szCs w:val="18"/>
                <w:u w:val="single" w:color="auto"/>
                <w:color w:val="0000EE"/>
                <w:w w:val="79"/>
              </w:rPr>
            </w:pPr>
            <w:hyperlink w:anchor="page5">
              <w:r>
                <w:rPr>
                  <w:rFonts w:ascii="Arial" w:cs="Arial" w:eastAsia="Arial" w:hAnsi="Arial"/>
                  <w:sz w:val="18"/>
                  <w:szCs w:val="18"/>
                  <w:u w:val="single" w:color="auto"/>
                  <w:color w:val="0000EE"/>
                  <w:w w:val="79"/>
                </w:rPr>
                <w:t>5</w:t>
              </w:r>
            </w:hyperlink>
          </w:p>
        </w:tc>
        <w:tc>
          <w:tcPr>
            <w:tcW w:w="20" w:type="dxa"/>
            <w:vAlign w:val="bottom"/>
            <w:shd w:val="clear" w:color="auto" w:fill="CCEEFF"/>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920" w:type="dxa"/>
            <w:vAlign w:val="bottom"/>
          </w:tcPr>
          <w:p>
            <w:pPr>
              <w:ind w:left="2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Cash Flows</w:t>
              </w:r>
            </w:hyperlink>
          </w:p>
        </w:tc>
        <w:tc>
          <w:tcPr>
            <w:tcW w:w="2020" w:type="dxa"/>
            <w:vAlign w:val="bottom"/>
            <w:gridSpan w:val="2"/>
          </w:tcPr>
          <w:p>
            <w:pPr>
              <w:jc w:val="center"/>
              <w:ind w:left="1570"/>
              <w:spacing w:after="0"/>
              <w:rPr>
                <w:rFonts w:ascii="Arial" w:cs="Arial" w:eastAsia="Arial" w:hAnsi="Arial"/>
                <w:sz w:val="18"/>
                <w:szCs w:val="18"/>
                <w:u w:val="single" w:color="auto"/>
                <w:color w:val="0000EE"/>
                <w:w w:val="79"/>
              </w:rPr>
            </w:pPr>
            <w:hyperlink w:anchor="page6">
              <w:r>
                <w:rPr>
                  <w:rFonts w:ascii="Arial" w:cs="Arial" w:eastAsia="Arial" w:hAnsi="Arial"/>
                  <w:sz w:val="18"/>
                  <w:szCs w:val="18"/>
                  <w:u w:val="single" w:color="auto"/>
                  <w:color w:val="0000EE"/>
                  <w:w w:val="79"/>
                </w:rPr>
                <w:t>6</w:t>
              </w:r>
            </w:hyperlink>
          </w:p>
        </w:tc>
        <w:tc>
          <w:tcPr>
            <w:tcW w:w="2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920" w:type="dxa"/>
            <w:vAlign w:val="bottom"/>
            <w:shd w:val="clear" w:color="auto" w:fill="CCEEFF"/>
          </w:tcPr>
          <w:p>
            <w:pPr>
              <w:ind w:left="2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Notes to Condensed Consolidated Financial Statements</w:t>
              </w:r>
            </w:hyperlink>
          </w:p>
        </w:tc>
        <w:tc>
          <w:tcPr>
            <w:tcW w:w="2020" w:type="dxa"/>
            <w:vAlign w:val="bottom"/>
            <w:gridSpan w:val="2"/>
            <w:shd w:val="clear" w:color="auto" w:fill="CCEEFF"/>
          </w:tcPr>
          <w:p>
            <w:pPr>
              <w:jc w:val="center"/>
              <w:ind w:left="1570"/>
              <w:spacing w:after="0"/>
              <w:rPr>
                <w:rFonts w:ascii="Arial" w:cs="Arial" w:eastAsia="Arial" w:hAnsi="Arial"/>
                <w:sz w:val="18"/>
                <w:szCs w:val="18"/>
                <w:u w:val="single" w:color="auto"/>
                <w:color w:val="0000EE"/>
                <w:w w:val="79"/>
              </w:rPr>
            </w:pPr>
            <w:hyperlink w:anchor="page7">
              <w:r>
                <w:rPr>
                  <w:rFonts w:ascii="Arial" w:cs="Arial" w:eastAsia="Arial" w:hAnsi="Arial"/>
                  <w:sz w:val="18"/>
                  <w:szCs w:val="18"/>
                  <w:u w:val="single" w:color="auto"/>
                  <w:color w:val="0000EE"/>
                  <w:w w:val="79"/>
                </w:rPr>
                <w:t>7</w:t>
              </w:r>
            </w:hyperlink>
          </w:p>
        </w:tc>
        <w:tc>
          <w:tcPr>
            <w:tcW w:w="20" w:type="dxa"/>
            <w:vAlign w:val="bottom"/>
            <w:shd w:val="clear" w:color="auto" w:fill="CCEEFF"/>
          </w:tcPr>
          <w:p>
            <w:pPr>
              <w:spacing w:after="0"/>
              <w:rPr>
                <w:sz w:val="18"/>
                <w:szCs w:val="18"/>
                <w:color w:val="auto"/>
              </w:rPr>
            </w:pPr>
          </w:p>
        </w:tc>
      </w:tr>
      <w:tr>
        <w:trPr>
          <w:trHeight w:val="216"/>
        </w:trPr>
        <w:tc>
          <w:tcPr>
            <w:tcW w:w="1280" w:type="dxa"/>
            <w:vAlign w:val="bottom"/>
            <w:gridSpan w:val="2"/>
          </w:tcPr>
          <w:p>
            <w:pPr>
              <w:spacing w:after="0"/>
              <w:rPr>
                <w:sz w:val="18"/>
                <w:szCs w:val="18"/>
                <w:color w:val="auto"/>
              </w:rPr>
            </w:pPr>
          </w:p>
        </w:tc>
        <w:tc>
          <w:tcPr>
            <w:tcW w:w="79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200" w:type="dxa"/>
            <w:vAlign w:val="bottom"/>
            <w:gridSpan w:val="3"/>
            <w:shd w:val="clear" w:color="auto" w:fill="CCEEFF"/>
          </w:tcPr>
          <w:p>
            <w:pPr>
              <w:ind w:left="180"/>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Item 2.  Management’s Discussion and Analysis of Financial Condition and Results of Operations</w:t>
              </w:r>
            </w:hyperlink>
          </w:p>
        </w:tc>
        <w:tc>
          <w:tcPr>
            <w:tcW w:w="2020" w:type="dxa"/>
            <w:vAlign w:val="bottom"/>
            <w:gridSpan w:val="2"/>
            <w:shd w:val="clear" w:color="auto" w:fill="CCEEFF"/>
          </w:tcPr>
          <w:p>
            <w:pPr>
              <w:jc w:val="center"/>
              <w:ind w:left="1550"/>
              <w:spacing w:after="0"/>
              <w:rPr>
                <w:rFonts w:ascii="Arial" w:cs="Arial" w:eastAsia="Arial" w:hAnsi="Arial"/>
                <w:sz w:val="18"/>
                <w:szCs w:val="18"/>
                <w:u w:val="single" w:color="auto"/>
                <w:color w:val="0000EE"/>
                <w:w w:val="89"/>
              </w:rPr>
            </w:pPr>
            <w:hyperlink w:anchor="page18">
              <w:r>
                <w:rPr>
                  <w:rFonts w:ascii="Arial" w:cs="Arial" w:eastAsia="Arial" w:hAnsi="Arial"/>
                  <w:sz w:val="18"/>
                  <w:szCs w:val="18"/>
                  <w:u w:val="single" w:color="auto"/>
                  <w:color w:val="0000EE"/>
                  <w:w w:val="89"/>
                </w:rPr>
                <w:t>18</w:t>
              </w:r>
            </w:hyperlink>
          </w:p>
        </w:tc>
        <w:tc>
          <w:tcPr>
            <w:tcW w:w="20" w:type="dxa"/>
            <w:vAlign w:val="bottom"/>
            <w:shd w:val="clear" w:color="auto" w:fill="CCEEFF"/>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40" w:type="dxa"/>
            <w:vAlign w:val="bottom"/>
            <w:shd w:val="clear" w:color="auto" w:fill="CCEEFF"/>
          </w:tcPr>
          <w:p>
            <w:pPr>
              <w:ind w:left="180"/>
              <w:spacing w:after="0"/>
              <w:rPr>
                <w:rFonts w:ascii="Arial" w:cs="Arial" w:eastAsia="Arial" w:hAnsi="Arial"/>
                <w:sz w:val="18"/>
                <w:szCs w:val="18"/>
                <w:u w:val="single" w:color="auto"/>
                <w:color w:val="0000EE"/>
                <w:w w:val="98"/>
              </w:rPr>
            </w:pPr>
            <w:hyperlink w:anchor="page28">
              <w:r>
                <w:rPr>
                  <w:rFonts w:ascii="Arial" w:cs="Arial" w:eastAsia="Arial" w:hAnsi="Arial"/>
                  <w:sz w:val="18"/>
                  <w:szCs w:val="18"/>
                  <w:u w:val="single" w:color="auto"/>
                  <w:color w:val="0000EE"/>
                  <w:w w:val="98"/>
                </w:rPr>
                <w:t>Item 3.</w:t>
              </w:r>
            </w:hyperlink>
          </w:p>
        </w:tc>
        <w:tc>
          <w:tcPr>
            <w:tcW w:w="8460" w:type="dxa"/>
            <w:vAlign w:val="bottom"/>
            <w:gridSpan w:val="2"/>
            <w:shd w:val="clear" w:color="auto" w:fill="CCEEFF"/>
          </w:tcPr>
          <w:p>
            <w:pPr>
              <w:ind w:left="8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Quantitative and Qualitative Disclosures About Market Risk</w:t>
              </w:r>
            </w:hyperlink>
          </w:p>
        </w:tc>
        <w:tc>
          <w:tcPr>
            <w:tcW w:w="2020" w:type="dxa"/>
            <w:vAlign w:val="bottom"/>
            <w:gridSpan w:val="2"/>
            <w:shd w:val="clear" w:color="auto" w:fill="CCEEFF"/>
          </w:tcPr>
          <w:p>
            <w:pPr>
              <w:jc w:val="center"/>
              <w:ind w:left="1550"/>
              <w:spacing w:after="0"/>
              <w:rPr>
                <w:rFonts w:ascii="Arial" w:cs="Arial" w:eastAsia="Arial" w:hAnsi="Arial"/>
                <w:sz w:val="18"/>
                <w:szCs w:val="18"/>
                <w:u w:val="single" w:color="auto"/>
                <w:color w:val="0000EE"/>
                <w:w w:val="89"/>
              </w:rPr>
            </w:pPr>
            <w:hyperlink w:anchor="page28">
              <w:r>
                <w:rPr>
                  <w:rFonts w:ascii="Arial" w:cs="Arial" w:eastAsia="Arial" w:hAnsi="Arial"/>
                  <w:sz w:val="18"/>
                  <w:szCs w:val="18"/>
                  <w:u w:val="single" w:color="auto"/>
                  <w:color w:val="0000EE"/>
                  <w:w w:val="89"/>
                </w:rPr>
                <w:t>28</w:t>
              </w:r>
            </w:hyperlink>
          </w:p>
        </w:tc>
        <w:tc>
          <w:tcPr>
            <w:tcW w:w="20" w:type="dxa"/>
            <w:vAlign w:val="bottom"/>
            <w:shd w:val="clear" w:color="auto" w:fill="CCEEFF"/>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40" w:type="dxa"/>
            <w:vAlign w:val="bottom"/>
            <w:shd w:val="clear" w:color="auto" w:fill="CCEEFF"/>
          </w:tcPr>
          <w:p>
            <w:pPr>
              <w:ind w:left="180"/>
              <w:spacing w:after="0"/>
              <w:rPr>
                <w:rFonts w:ascii="Arial" w:cs="Arial" w:eastAsia="Arial" w:hAnsi="Arial"/>
                <w:sz w:val="18"/>
                <w:szCs w:val="18"/>
                <w:u w:val="single" w:color="auto"/>
                <w:color w:val="0000EE"/>
                <w:w w:val="98"/>
              </w:rPr>
            </w:pPr>
            <w:hyperlink w:anchor="page28">
              <w:r>
                <w:rPr>
                  <w:rFonts w:ascii="Arial" w:cs="Arial" w:eastAsia="Arial" w:hAnsi="Arial"/>
                  <w:sz w:val="18"/>
                  <w:szCs w:val="18"/>
                  <w:u w:val="single" w:color="auto"/>
                  <w:color w:val="0000EE"/>
                  <w:w w:val="98"/>
                </w:rPr>
                <w:t>Item 4.</w:t>
              </w:r>
            </w:hyperlink>
          </w:p>
        </w:tc>
        <w:tc>
          <w:tcPr>
            <w:tcW w:w="8460" w:type="dxa"/>
            <w:vAlign w:val="bottom"/>
            <w:gridSpan w:val="2"/>
            <w:shd w:val="clear" w:color="auto" w:fill="CCEEFF"/>
          </w:tcPr>
          <w:p>
            <w:pPr>
              <w:ind w:left="8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Controls and Procedures</w:t>
              </w:r>
            </w:hyperlink>
          </w:p>
        </w:tc>
        <w:tc>
          <w:tcPr>
            <w:tcW w:w="2020" w:type="dxa"/>
            <w:vAlign w:val="bottom"/>
            <w:gridSpan w:val="2"/>
            <w:shd w:val="clear" w:color="auto" w:fill="CCEEFF"/>
          </w:tcPr>
          <w:p>
            <w:pPr>
              <w:jc w:val="center"/>
              <w:ind w:left="1550"/>
              <w:spacing w:after="0"/>
              <w:rPr>
                <w:rFonts w:ascii="Arial" w:cs="Arial" w:eastAsia="Arial" w:hAnsi="Arial"/>
                <w:sz w:val="18"/>
                <w:szCs w:val="18"/>
                <w:u w:val="single" w:color="auto"/>
                <w:color w:val="0000EE"/>
                <w:w w:val="89"/>
              </w:rPr>
            </w:pPr>
            <w:hyperlink w:anchor="page28">
              <w:r>
                <w:rPr>
                  <w:rFonts w:ascii="Arial" w:cs="Arial" w:eastAsia="Arial" w:hAnsi="Arial"/>
                  <w:sz w:val="18"/>
                  <w:szCs w:val="18"/>
                  <w:u w:val="single" w:color="auto"/>
                  <w:color w:val="0000EE"/>
                  <w:w w:val="89"/>
                </w:rPr>
                <w:t>28</w:t>
              </w:r>
            </w:hyperlink>
          </w:p>
        </w:tc>
        <w:tc>
          <w:tcPr>
            <w:tcW w:w="20" w:type="dxa"/>
            <w:vAlign w:val="bottom"/>
            <w:shd w:val="clear" w:color="auto" w:fill="CCEEFF"/>
          </w:tcPr>
          <w:p>
            <w:pPr>
              <w:spacing w:after="0"/>
              <w:rPr>
                <w:sz w:val="18"/>
                <w:szCs w:val="18"/>
                <w:color w:val="auto"/>
              </w:rPr>
            </w:pPr>
          </w:p>
        </w:tc>
      </w:tr>
      <w:tr>
        <w:trPr>
          <w:trHeight w:val="216"/>
        </w:trPr>
        <w:tc>
          <w:tcPr>
            <w:tcW w:w="1280" w:type="dxa"/>
            <w:vAlign w:val="bottom"/>
            <w:gridSpan w:val="2"/>
          </w:tcPr>
          <w:p>
            <w:pPr>
              <w:spacing w:after="0"/>
              <w:rPr>
                <w:sz w:val="18"/>
                <w:szCs w:val="18"/>
                <w:color w:val="auto"/>
              </w:rPr>
            </w:pPr>
          </w:p>
        </w:tc>
        <w:tc>
          <w:tcPr>
            <w:tcW w:w="79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Part II Other Information</w:t>
            </w:r>
          </w:p>
        </w:tc>
        <w:tc>
          <w:tcPr>
            <w:tcW w:w="1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1280" w:type="dxa"/>
            <w:vAlign w:val="bottom"/>
            <w:gridSpan w:val="2"/>
          </w:tcPr>
          <w:p>
            <w:pPr>
              <w:spacing w:after="0"/>
              <w:rPr>
                <w:sz w:val="18"/>
                <w:szCs w:val="18"/>
                <w:color w:val="auto"/>
              </w:rPr>
            </w:pPr>
          </w:p>
        </w:tc>
        <w:tc>
          <w:tcPr>
            <w:tcW w:w="79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200" w:type="dxa"/>
            <w:vAlign w:val="bottom"/>
            <w:gridSpan w:val="3"/>
            <w:shd w:val="clear" w:color="auto" w:fill="CCEEFF"/>
          </w:tcPr>
          <w:p>
            <w:pPr>
              <w:ind w:left="180"/>
              <w:spacing w:after="0"/>
              <w:rPr>
                <w:rFonts w:ascii="Arial" w:cs="Arial" w:eastAsia="Arial" w:hAnsi="Arial"/>
                <w:sz w:val="18"/>
                <w:szCs w:val="18"/>
                <w:color w:val="0000EE"/>
              </w:rPr>
            </w:pPr>
            <w:hyperlink w:anchor="page28">
              <w:r>
                <w:rPr>
                  <w:rFonts w:ascii="Arial" w:cs="Arial" w:eastAsia="Arial" w:hAnsi="Arial"/>
                  <w:sz w:val="18"/>
                  <w:szCs w:val="18"/>
                  <w:u w:val="single" w:color="auto"/>
                  <w:color w:val="0000EE"/>
                </w:rPr>
                <w:t>Item 1A</w:t>
              </w:r>
              <w:r>
                <w:rPr>
                  <w:rFonts w:ascii="Arial" w:cs="Arial" w:eastAsia="Arial" w:hAnsi="Arial"/>
                  <w:sz w:val="18"/>
                  <w:szCs w:val="18"/>
                  <w:color w:val="0000EE"/>
                </w:rPr>
                <w:t>.</w:t>
              </w:r>
              <w:r>
                <w:rPr>
                  <w:rFonts w:ascii="Arial" w:cs="Arial" w:eastAsia="Arial" w:hAnsi="Arial"/>
                  <w:sz w:val="18"/>
                  <w:szCs w:val="18"/>
                  <w:u w:val="single" w:color="auto"/>
                  <w:color w:val="0000EE"/>
                </w:rPr>
                <w:t>Risk Factors</w:t>
              </w:r>
            </w:hyperlink>
          </w:p>
        </w:tc>
        <w:tc>
          <w:tcPr>
            <w:tcW w:w="2020" w:type="dxa"/>
            <w:vAlign w:val="bottom"/>
            <w:gridSpan w:val="2"/>
            <w:shd w:val="clear" w:color="auto" w:fill="CCEEFF"/>
          </w:tcPr>
          <w:p>
            <w:pPr>
              <w:jc w:val="center"/>
              <w:ind w:left="1550"/>
              <w:spacing w:after="0"/>
              <w:rPr>
                <w:rFonts w:ascii="Arial" w:cs="Arial" w:eastAsia="Arial" w:hAnsi="Arial"/>
                <w:sz w:val="18"/>
                <w:szCs w:val="18"/>
                <w:u w:val="single" w:color="auto"/>
                <w:color w:val="0000EE"/>
                <w:w w:val="89"/>
              </w:rPr>
            </w:pPr>
            <w:hyperlink w:anchor="page28">
              <w:r>
                <w:rPr>
                  <w:rFonts w:ascii="Arial" w:cs="Arial" w:eastAsia="Arial" w:hAnsi="Arial"/>
                  <w:sz w:val="18"/>
                  <w:szCs w:val="18"/>
                  <w:u w:val="single" w:color="auto"/>
                  <w:color w:val="0000EE"/>
                  <w:w w:val="89"/>
                </w:rPr>
                <w:t>28</w:t>
              </w:r>
            </w:hyperlink>
          </w:p>
        </w:tc>
        <w:tc>
          <w:tcPr>
            <w:tcW w:w="20" w:type="dxa"/>
            <w:vAlign w:val="bottom"/>
            <w:shd w:val="clear" w:color="auto" w:fill="CCEEFF"/>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40" w:type="dxa"/>
            <w:vAlign w:val="bottom"/>
            <w:shd w:val="clear" w:color="auto" w:fill="CCEEFF"/>
          </w:tcPr>
          <w:p>
            <w:pPr>
              <w:ind w:left="180"/>
              <w:spacing w:after="0"/>
              <w:rPr>
                <w:rFonts w:ascii="Arial" w:cs="Arial" w:eastAsia="Arial" w:hAnsi="Arial"/>
                <w:sz w:val="18"/>
                <w:szCs w:val="18"/>
                <w:u w:val="single" w:color="auto"/>
                <w:color w:val="0000EE"/>
                <w:w w:val="98"/>
              </w:rPr>
            </w:pPr>
            <w:hyperlink w:anchor="page29">
              <w:r>
                <w:rPr>
                  <w:rFonts w:ascii="Arial" w:cs="Arial" w:eastAsia="Arial" w:hAnsi="Arial"/>
                  <w:sz w:val="18"/>
                  <w:szCs w:val="18"/>
                  <w:u w:val="single" w:color="auto"/>
                  <w:color w:val="0000EE"/>
                  <w:w w:val="98"/>
                </w:rPr>
                <w:t>Item 2.</w:t>
              </w:r>
            </w:hyperlink>
          </w:p>
        </w:tc>
        <w:tc>
          <w:tcPr>
            <w:tcW w:w="8460" w:type="dxa"/>
            <w:vAlign w:val="bottom"/>
            <w:gridSpan w:val="2"/>
            <w:shd w:val="clear" w:color="auto" w:fill="CCEEFF"/>
          </w:tcPr>
          <w:p>
            <w:pPr>
              <w:ind w:left="8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Unregistered Sales of Equity Securities and Use of Proceeds</w:t>
              </w:r>
            </w:hyperlink>
          </w:p>
        </w:tc>
        <w:tc>
          <w:tcPr>
            <w:tcW w:w="2020" w:type="dxa"/>
            <w:vAlign w:val="bottom"/>
            <w:gridSpan w:val="2"/>
            <w:shd w:val="clear" w:color="auto" w:fill="CCEEFF"/>
          </w:tcPr>
          <w:p>
            <w:pPr>
              <w:jc w:val="center"/>
              <w:ind w:left="1550"/>
              <w:spacing w:after="0"/>
              <w:rPr>
                <w:rFonts w:ascii="Arial" w:cs="Arial" w:eastAsia="Arial" w:hAnsi="Arial"/>
                <w:sz w:val="18"/>
                <w:szCs w:val="18"/>
                <w:u w:val="single" w:color="auto"/>
                <w:color w:val="0000EE"/>
                <w:w w:val="89"/>
              </w:rPr>
            </w:pPr>
            <w:hyperlink w:anchor="page29">
              <w:r>
                <w:rPr>
                  <w:rFonts w:ascii="Arial" w:cs="Arial" w:eastAsia="Arial" w:hAnsi="Arial"/>
                  <w:sz w:val="18"/>
                  <w:szCs w:val="18"/>
                  <w:u w:val="single" w:color="auto"/>
                  <w:color w:val="0000EE"/>
                  <w:w w:val="89"/>
                </w:rPr>
                <w:t>29</w:t>
              </w:r>
            </w:hyperlink>
          </w:p>
        </w:tc>
        <w:tc>
          <w:tcPr>
            <w:tcW w:w="20" w:type="dxa"/>
            <w:vAlign w:val="bottom"/>
            <w:shd w:val="clear" w:color="auto" w:fill="CCEEFF"/>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40" w:type="dxa"/>
            <w:vAlign w:val="bottom"/>
            <w:shd w:val="clear" w:color="auto" w:fill="CCEEFF"/>
          </w:tcPr>
          <w:p>
            <w:pPr>
              <w:ind w:left="180"/>
              <w:spacing w:after="0"/>
              <w:rPr>
                <w:rFonts w:ascii="Arial" w:cs="Arial" w:eastAsia="Arial" w:hAnsi="Arial"/>
                <w:sz w:val="18"/>
                <w:szCs w:val="18"/>
                <w:u w:val="single" w:color="auto"/>
                <w:color w:val="0000EE"/>
                <w:w w:val="98"/>
              </w:rPr>
            </w:pPr>
            <w:hyperlink w:anchor="page30">
              <w:r>
                <w:rPr>
                  <w:rFonts w:ascii="Arial" w:cs="Arial" w:eastAsia="Arial" w:hAnsi="Arial"/>
                  <w:sz w:val="18"/>
                  <w:szCs w:val="18"/>
                  <w:u w:val="single" w:color="auto"/>
                  <w:color w:val="0000EE"/>
                  <w:w w:val="98"/>
                </w:rPr>
                <w:t>Item 6.</w:t>
              </w:r>
            </w:hyperlink>
          </w:p>
        </w:tc>
        <w:tc>
          <w:tcPr>
            <w:tcW w:w="8460" w:type="dxa"/>
            <w:vAlign w:val="bottom"/>
            <w:gridSpan w:val="2"/>
            <w:shd w:val="clear" w:color="auto" w:fill="CCEEFF"/>
          </w:tcPr>
          <w:p>
            <w:pPr>
              <w:ind w:left="8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Exhibits</w:t>
              </w:r>
            </w:hyperlink>
          </w:p>
        </w:tc>
        <w:tc>
          <w:tcPr>
            <w:tcW w:w="2020" w:type="dxa"/>
            <w:vAlign w:val="bottom"/>
            <w:gridSpan w:val="2"/>
            <w:shd w:val="clear" w:color="auto" w:fill="CCEEFF"/>
          </w:tcPr>
          <w:p>
            <w:pPr>
              <w:jc w:val="center"/>
              <w:ind w:left="1550"/>
              <w:spacing w:after="0"/>
              <w:rPr>
                <w:rFonts w:ascii="Arial" w:cs="Arial" w:eastAsia="Arial" w:hAnsi="Arial"/>
                <w:sz w:val="18"/>
                <w:szCs w:val="18"/>
                <w:u w:val="single" w:color="auto"/>
                <w:color w:val="0000EE"/>
                <w:w w:val="89"/>
              </w:rPr>
            </w:pPr>
            <w:hyperlink w:anchor="page30">
              <w:r>
                <w:rPr>
                  <w:rFonts w:ascii="Arial" w:cs="Arial" w:eastAsia="Arial" w:hAnsi="Arial"/>
                  <w:sz w:val="18"/>
                  <w:szCs w:val="18"/>
                  <w:u w:val="single" w:color="auto"/>
                  <w:color w:val="0000EE"/>
                  <w:w w:val="89"/>
                </w:rPr>
                <w:t>30</w:t>
              </w:r>
            </w:hyperlink>
          </w:p>
        </w:tc>
        <w:tc>
          <w:tcPr>
            <w:tcW w:w="20" w:type="dxa"/>
            <w:vAlign w:val="bottom"/>
            <w:shd w:val="clear" w:color="auto" w:fill="CCEEFF"/>
          </w:tcPr>
          <w:p>
            <w:pPr>
              <w:spacing w:after="0"/>
              <w:rPr>
                <w:sz w:val="18"/>
                <w:szCs w:val="18"/>
                <w:color w:val="auto"/>
              </w:rPr>
            </w:pPr>
          </w:p>
        </w:tc>
      </w:tr>
      <w:tr>
        <w:trPr>
          <w:trHeight w:val="216"/>
        </w:trPr>
        <w:tc>
          <w:tcPr>
            <w:tcW w:w="1280" w:type="dxa"/>
            <w:vAlign w:val="bottom"/>
            <w:gridSpan w:val="2"/>
          </w:tcPr>
          <w:p>
            <w:pPr>
              <w:spacing w:after="0"/>
              <w:rPr>
                <w:sz w:val="18"/>
                <w:szCs w:val="18"/>
                <w:color w:val="auto"/>
              </w:rPr>
            </w:pPr>
          </w:p>
        </w:tc>
        <w:tc>
          <w:tcPr>
            <w:tcW w:w="79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200" w:type="dxa"/>
            <w:vAlign w:val="bottom"/>
            <w:gridSpan w:val="3"/>
            <w:shd w:val="clear" w:color="auto" w:fill="CCEEFF"/>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Signatures</w:t>
              </w:r>
            </w:hyperlink>
          </w:p>
        </w:tc>
        <w:tc>
          <w:tcPr>
            <w:tcW w:w="2020" w:type="dxa"/>
            <w:vAlign w:val="bottom"/>
            <w:gridSpan w:val="2"/>
            <w:shd w:val="clear" w:color="auto" w:fill="CCEEFF"/>
          </w:tcPr>
          <w:p>
            <w:pPr>
              <w:jc w:val="center"/>
              <w:ind w:left="1550"/>
              <w:spacing w:after="0"/>
              <w:rPr>
                <w:rFonts w:ascii="Arial" w:cs="Arial" w:eastAsia="Arial" w:hAnsi="Arial"/>
                <w:sz w:val="18"/>
                <w:szCs w:val="18"/>
                <w:u w:val="single" w:color="auto"/>
                <w:color w:val="0000EE"/>
                <w:w w:val="89"/>
              </w:rPr>
            </w:pPr>
            <w:hyperlink w:anchor="page32">
              <w:r>
                <w:rPr>
                  <w:rFonts w:ascii="Arial" w:cs="Arial" w:eastAsia="Arial" w:hAnsi="Arial"/>
                  <w:sz w:val="18"/>
                  <w:szCs w:val="18"/>
                  <w:u w:val="single" w:color="auto"/>
                  <w:color w:val="0000EE"/>
                  <w:w w:val="89"/>
                </w:rPr>
                <w:t>32</w:t>
              </w:r>
            </w:hyperlink>
          </w:p>
        </w:tc>
        <w:tc>
          <w:tcPr>
            <w:tcW w:w="20" w:type="dxa"/>
            <w:vAlign w:val="bottom"/>
            <w:shd w:val="clear" w:color="auto" w:fill="CCEEFF"/>
          </w:tcPr>
          <w:p>
            <w:pPr>
              <w:spacing w:after="0"/>
              <w:rPr>
                <w:sz w:val="18"/>
                <w:szCs w:val="18"/>
                <w:color w:val="auto"/>
              </w:rPr>
            </w:pPr>
          </w:p>
        </w:tc>
      </w:tr>
      <w:tr>
        <w:trPr>
          <w:trHeight w:val="432"/>
        </w:trPr>
        <w:tc>
          <w:tcPr>
            <w:tcW w:w="740" w:type="dxa"/>
            <w:vAlign w:val="bottom"/>
          </w:tcPr>
          <w:p>
            <w:pPr>
              <w:spacing w:after="0"/>
              <w:rPr>
                <w:sz w:val="24"/>
                <w:szCs w:val="24"/>
                <w:color w:val="auto"/>
              </w:rPr>
            </w:pPr>
          </w:p>
        </w:tc>
        <w:tc>
          <w:tcPr>
            <w:tcW w:w="8460" w:type="dxa"/>
            <w:vAlign w:val="bottom"/>
            <w:gridSpan w:val="2"/>
          </w:tcPr>
          <w:p>
            <w:pPr>
              <w:jc w:val="center"/>
              <w:ind w:left="1210"/>
              <w:spacing w:after="0"/>
              <w:rPr>
                <w:sz w:val="20"/>
                <w:szCs w:val="20"/>
                <w:color w:val="auto"/>
              </w:rPr>
            </w:pPr>
            <w:r>
              <w:rPr>
                <w:rFonts w:ascii="Arial" w:cs="Arial" w:eastAsia="Arial" w:hAnsi="Arial"/>
                <w:sz w:val="18"/>
                <w:szCs w:val="18"/>
                <w:color w:val="auto"/>
                <w:w w:val="79"/>
              </w:rPr>
              <w:t>3</w:t>
            </w:r>
          </w:p>
        </w:tc>
        <w:tc>
          <w:tcPr>
            <w:tcW w:w="1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7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792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3" w:name="page4"/>
    <w:bookmarkEnd w:id="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Item 1.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8"/>
              </w:rPr>
              <w:t>May 2,</w:t>
            </w:r>
          </w:p>
        </w:tc>
        <w:tc>
          <w:tcPr>
            <w:tcW w:w="18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February 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8"/>
              </w:rPr>
              <w:t>May 4,</w:t>
            </w:r>
          </w:p>
        </w:tc>
      </w:tr>
      <w:tr>
        <w:trPr>
          <w:trHeight w:val="234"/>
        </w:trPr>
        <w:tc>
          <w:tcPr>
            <w:tcW w:w="6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2020</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r>
      <w:tr>
        <w:trPr>
          <w:trHeight w:val="210"/>
        </w:trPr>
        <w:tc>
          <w:tcPr>
            <w:tcW w:w="6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center"/>
              <w:ind w:right="90"/>
              <w:spacing w:after="0"/>
              <w:rPr>
                <w:sz w:val="20"/>
                <w:szCs w:val="20"/>
                <w:color w:val="auto"/>
              </w:rPr>
            </w:pPr>
            <w:r>
              <w:rPr>
                <w:rFonts w:ascii="Arial" w:cs="Arial" w:eastAsia="Arial" w:hAnsi="Arial"/>
                <w:sz w:val="18"/>
                <w:szCs w:val="18"/>
                <w:color w:val="auto"/>
                <w:w w:val="91"/>
              </w:rPr>
              <w:t>(Unaudited)</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center"/>
              <w:ind w:right="110"/>
              <w:spacing w:after="0"/>
              <w:rPr>
                <w:sz w:val="20"/>
                <w:szCs w:val="20"/>
                <w:color w:val="auto"/>
              </w:rPr>
            </w:pPr>
            <w:r>
              <w:rPr>
                <w:rFonts w:ascii="Arial" w:cs="Arial" w:eastAsia="Arial" w:hAnsi="Arial"/>
                <w:sz w:val="18"/>
                <w:szCs w:val="18"/>
                <w:color w:val="auto"/>
                <w:w w:val="91"/>
              </w:rPr>
              <w:t>(Unaudited)</w:t>
            </w: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ind w:left="524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21,851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26,726</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20,238</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Inventories, net</w:t>
            </w:r>
          </w:p>
        </w:tc>
        <w:tc>
          <w:tcPr>
            <w:tcW w:w="180" w:type="dxa"/>
            <w:vAlign w:val="bottom"/>
          </w:tcPr>
          <w:p>
            <w:pPr>
              <w:spacing w:after="0"/>
              <w:rPr>
                <w:sz w:val="18"/>
                <w:szCs w:val="18"/>
                <w:color w:val="auto"/>
              </w:rPr>
            </w:pPr>
          </w:p>
        </w:tc>
        <w:tc>
          <w:tcPr>
            <w:tcW w:w="1520" w:type="dxa"/>
            <w:vAlign w:val="bottom"/>
            <w:gridSpan w:val="3"/>
          </w:tcPr>
          <w:p>
            <w:pPr>
              <w:jc w:val="right"/>
              <w:ind w:right="240"/>
              <w:spacing w:after="0"/>
              <w:rPr>
                <w:sz w:val="20"/>
                <w:szCs w:val="20"/>
                <w:color w:val="auto"/>
              </w:rPr>
            </w:pPr>
            <w:r>
              <w:rPr>
                <w:rFonts w:ascii="Arial" w:cs="Arial" w:eastAsia="Arial" w:hAnsi="Arial"/>
                <w:sz w:val="18"/>
                <w:szCs w:val="18"/>
                <w:color w:val="auto"/>
              </w:rPr>
              <w:t>53,238</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53,381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56,004</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Receivables, net</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7,099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11,526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8,836</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8,541</w:t>
            </w:r>
          </w:p>
        </w:tc>
        <w:tc>
          <w:tcPr>
            <w:tcW w:w="100" w:type="dxa"/>
            <w:vAlign w:val="bottom"/>
          </w:tcPr>
          <w:p>
            <w:pPr>
              <w:spacing w:after="0"/>
              <w:rPr>
                <w:sz w:val="18"/>
                <w:szCs w:val="18"/>
                <w:color w:val="auto"/>
              </w:rPr>
            </w:pPr>
          </w:p>
        </w:tc>
      </w:tr>
      <w:tr>
        <w:trPr>
          <w:trHeight w:val="209"/>
        </w:trPr>
        <w:tc>
          <w:tcPr>
            <w:tcW w:w="63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88,084</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98,750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93,619</w:t>
            </w:r>
          </w:p>
        </w:tc>
      </w:tr>
      <w:tr>
        <w:trPr>
          <w:trHeight w:val="216"/>
        </w:trPr>
        <w:tc>
          <w:tcPr>
            <w:tcW w:w="6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w:t>
            </w:r>
          </w:p>
        </w:tc>
        <w:tc>
          <w:tcPr>
            <w:tcW w:w="1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124,112</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126,144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144,483</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18"/>
                <w:szCs w:val="18"/>
                <w:color w:val="auto"/>
              </w:rPr>
            </w:pPr>
          </w:p>
        </w:tc>
        <w:tc>
          <w:tcPr>
            <w:tcW w:w="1520" w:type="dxa"/>
            <w:vAlign w:val="bottom"/>
            <w:gridSpan w:val="3"/>
          </w:tcPr>
          <w:p>
            <w:pPr>
              <w:jc w:val="right"/>
              <w:ind w:right="240"/>
              <w:spacing w:after="0"/>
              <w:rPr>
                <w:sz w:val="20"/>
                <w:szCs w:val="20"/>
                <w:color w:val="auto"/>
              </w:rPr>
            </w:pPr>
            <w:r>
              <w:rPr>
                <w:rFonts w:ascii="Arial" w:cs="Arial" w:eastAsia="Arial" w:hAnsi="Arial"/>
                <w:sz w:val="18"/>
                <w:szCs w:val="18"/>
                <w:color w:val="auto"/>
              </w:rPr>
              <w:t>61,626</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65,855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65,357</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3,411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3,241</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18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607</w:t>
            </w:r>
          </w:p>
        </w:tc>
      </w:tr>
      <w:tr>
        <w:trPr>
          <w:trHeight w:val="216"/>
        </w:trPr>
        <w:tc>
          <w:tcPr>
            <w:tcW w:w="6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3,005</w:t>
            </w: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3,102</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6320" w:type="dxa"/>
            <w:vAlign w:val="bottom"/>
          </w:tcPr>
          <w:p>
            <w:pPr>
              <w:spacing w:after="0"/>
              <w:rPr>
                <w:sz w:val="20"/>
                <w:szCs w:val="20"/>
                <w:color w:val="auto"/>
              </w:rPr>
            </w:pPr>
            <w:r>
              <w:rPr>
                <w:rFonts w:ascii="Arial" w:cs="Arial" w:eastAsia="Arial" w:hAnsi="Arial"/>
                <w:sz w:val="18"/>
                <w:szCs w:val="18"/>
                <w:color w:val="auto"/>
              </w:rPr>
              <w:t>Total Assets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276,827</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297,262</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309,531</w:t>
            </w:r>
          </w:p>
        </w:tc>
      </w:tr>
      <w:tr>
        <w:trPr>
          <w:trHeight w:val="20"/>
        </w:trPr>
        <w:tc>
          <w:tcPr>
            <w:tcW w:w="6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3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20" w:type="dxa"/>
            <w:vAlign w:val="bottom"/>
            <w:gridSpan w:val="5"/>
          </w:tcPr>
          <w:p>
            <w:pPr>
              <w:ind w:left="362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520" w:type="dxa"/>
            <w:vAlign w:val="bottom"/>
            <w:gridSpan w:val="3"/>
          </w:tcPr>
          <w:p>
            <w:pPr>
              <w:jc w:val="right"/>
              <w:ind w:right="240"/>
              <w:spacing w:after="0"/>
              <w:rPr>
                <w:sz w:val="20"/>
                <w:szCs w:val="20"/>
                <w:color w:val="auto"/>
              </w:rPr>
            </w:pPr>
            <w:r>
              <w:rPr>
                <w:rFonts w:ascii="Arial" w:cs="Arial" w:eastAsia="Arial" w:hAnsi="Arial"/>
                <w:sz w:val="18"/>
                <w:szCs w:val="18"/>
                <w:color w:val="auto"/>
              </w:rPr>
              <w:t>22,905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15,680</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20,887</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10,395</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16,536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7,785</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Operating lease liability short term</w:t>
            </w:r>
          </w:p>
        </w:tc>
        <w:tc>
          <w:tcPr>
            <w:tcW w:w="180" w:type="dxa"/>
            <w:vAlign w:val="bottom"/>
          </w:tcPr>
          <w:p>
            <w:pPr>
              <w:spacing w:after="0"/>
              <w:rPr>
                <w:sz w:val="18"/>
                <w:szCs w:val="18"/>
                <w:color w:val="auto"/>
              </w:rPr>
            </w:pPr>
          </w:p>
        </w:tc>
        <w:tc>
          <w:tcPr>
            <w:tcW w:w="1520" w:type="dxa"/>
            <w:vAlign w:val="bottom"/>
            <w:gridSpan w:val="3"/>
          </w:tcPr>
          <w:p>
            <w:pPr>
              <w:jc w:val="right"/>
              <w:ind w:right="240"/>
              <w:spacing w:after="0"/>
              <w:rPr>
                <w:sz w:val="20"/>
                <w:szCs w:val="20"/>
                <w:color w:val="auto"/>
              </w:rPr>
            </w:pPr>
            <w:r>
              <w:rPr>
                <w:rFonts w:ascii="Arial" w:cs="Arial" w:eastAsia="Arial" w:hAnsi="Arial"/>
                <w:sz w:val="18"/>
                <w:szCs w:val="18"/>
                <w:color w:val="auto"/>
              </w:rPr>
              <w:t>32,963</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30,912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30,558</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Gift cards and customer deposits</w:t>
            </w:r>
          </w:p>
        </w:tc>
        <w:tc>
          <w:tcPr>
            <w:tcW w:w="1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18,530</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20,231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19,026</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Deferred revenue and other</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18"/>
                <w:szCs w:val="18"/>
                <w:color w:val="auto"/>
              </w:rPr>
            </w:pPr>
          </w:p>
        </w:tc>
      </w:tr>
      <w:tr>
        <w:trPr>
          <w:trHeight w:val="223"/>
        </w:trPr>
        <w:tc>
          <w:tcPr>
            <w:tcW w:w="63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87,396</w:t>
            </w: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85,964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80,262</w:t>
            </w:r>
          </w:p>
        </w:tc>
      </w:tr>
      <w:tr>
        <w:trPr>
          <w:trHeight w:val="216"/>
        </w:trPr>
        <w:tc>
          <w:tcPr>
            <w:tcW w:w="6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liability long term</w:t>
            </w:r>
          </w:p>
        </w:tc>
        <w:tc>
          <w:tcPr>
            <w:tcW w:w="1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118,416</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119,625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137,666</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Deferred franchise revenue</w:t>
            </w:r>
          </w:p>
        </w:tc>
        <w:tc>
          <w:tcPr>
            <w:tcW w:w="180" w:type="dxa"/>
            <w:vAlign w:val="bottom"/>
          </w:tcPr>
          <w:p>
            <w:pPr>
              <w:spacing w:after="0"/>
              <w:rPr>
                <w:sz w:val="18"/>
                <w:szCs w:val="18"/>
                <w:color w:val="auto"/>
              </w:rPr>
            </w:pPr>
          </w:p>
        </w:tc>
        <w:tc>
          <w:tcPr>
            <w:tcW w:w="1520" w:type="dxa"/>
            <w:vAlign w:val="bottom"/>
            <w:gridSpan w:val="3"/>
          </w:tcPr>
          <w:p>
            <w:pPr>
              <w:jc w:val="right"/>
              <w:ind w:right="240"/>
              <w:spacing w:after="0"/>
              <w:rPr>
                <w:sz w:val="20"/>
                <w:szCs w:val="20"/>
                <w:color w:val="auto"/>
              </w:rPr>
            </w:pPr>
            <w:r>
              <w:rPr>
                <w:rFonts w:ascii="Arial" w:cs="Arial" w:eastAsia="Arial" w:hAnsi="Arial"/>
                <w:sz w:val="18"/>
                <w:szCs w:val="18"/>
                <w:color w:val="auto"/>
              </w:rPr>
              <w:t>915</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1,325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1,580</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1,717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1,586</w:t>
            </w:r>
          </w:p>
        </w:tc>
      </w:tr>
      <w:tr>
        <w:trPr>
          <w:trHeight w:val="216"/>
        </w:trPr>
        <w:tc>
          <w:tcPr>
            <w:tcW w:w="6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6320" w:type="dxa"/>
            <w:vAlign w:val="bottom"/>
          </w:tcPr>
          <w:p>
            <w:pPr>
              <w:ind w:left="180"/>
              <w:spacing w:after="0" w:line="201" w:lineRule="exact"/>
              <w:rPr>
                <w:sz w:val="20"/>
                <w:szCs w:val="20"/>
                <w:color w:val="auto"/>
              </w:rPr>
            </w:pPr>
            <w:r>
              <w:rPr>
                <w:rFonts w:ascii="Arial" w:cs="Arial" w:eastAsia="Arial" w:hAnsi="Arial"/>
                <w:sz w:val="18"/>
                <w:szCs w:val="18"/>
                <w:color w:val="auto"/>
                <w:w w:val="92"/>
              </w:rPr>
              <w:t>Preferred stock, par value $0.01, Shares authorized: 15,000,000; No shares issued</w:t>
            </w: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320" w:type="dxa"/>
            <w:vAlign w:val="bottom"/>
          </w:tcPr>
          <w:p>
            <w:pPr>
              <w:ind w:left="340"/>
              <w:spacing w:after="0"/>
              <w:rPr>
                <w:sz w:val="20"/>
                <w:szCs w:val="20"/>
                <w:color w:val="auto"/>
              </w:rPr>
            </w:pPr>
            <w:r>
              <w:rPr>
                <w:rFonts w:ascii="Arial" w:cs="Arial" w:eastAsia="Arial" w:hAnsi="Arial"/>
                <w:sz w:val="18"/>
                <w:szCs w:val="18"/>
                <w:color w:val="auto"/>
              </w:rPr>
              <w:t>or outstanding at May 2, 2020, February 1, 2020 and May 4, 2019</w:t>
            </w:r>
          </w:p>
        </w:tc>
        <w:tc>
          <w:tcPr>
            <w:tcW w:w="18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6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par value $0.01, Shares authorized: 50,000,000; Issued and</w:t>
            </w: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outstanding: 15,439,538, 15,205,981 and 15,130,418 shares, respectively</w:t>
            </w:r>
          </w:p>
        </w:tc>
        <w:tc>
          <w:tcPr>
            <w:tcW w:w="180" w:type="dxa"/>
            <w:vAlign w:val="bottom"/>
            <w:shd w:val="clear" w:color="auto" w:fill="CCEEFF"/>
          </w:tcPr>
          <w:p>
            <w:pPr>
              <w:spacing w:after="0"/>
              <w:rPr>
                <w:sz w:val="20"/>
                <w:szCs w:val="20"/>
                <w:color w:val="auto"/>
              </w:rPr>
            </w:pPr>
          </w:p>
        </w:tc>
        <w:tc>
          <w:tcPr>
            <w:tcW w:w="1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155</w:t>
            </w:r>
          </w:p>
        </w:tc>
        <w:tc>
          <w:tcPr>
            <w:tcW w:w="18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1520" w:type="dxa"/>
            <w:vAlign w:val="bottom"/>
            <w:gridSpan w:val="3"/>
          </w:tcPr>
          <w:p>
            <w:pPr>
              <w:jc w:val="right"/>
              <w:ind w:right="240"/>
              <w:spacing w:after="0"/>
              <w:rPr>
                <w:sz w:val="20"/>
                <w:szCs w:val="20"/>
                <w:color w:val="auto"/>
              </w:rPr>
            </w:pPr>
            <w:r>
              <w:rPr>
                <w:rFonts w:ascii="Arial" w:cs="Arial" w:eastAsia="Arial" w:hAnsi="Arial"/>
                <w:sz w:val="18"/>
                <w:szCs w:val="18"/>
                <w:color w:val="auto"/>
              </w:rPr>
              <w:t>71,491</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70,633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69,550</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(11,909)</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(12,079)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(12,123)</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8,720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29,925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30,861</w:t>
            </w:r>
          </w:p>
        </w:tc>
      </w:tr>
      <w:tr>
        <w:trPr>
          <w:trHeight w:val="216"/>
        </w:trPr>
        <w:tc>
          <w:tcPr>
            <w:tcW w:w="63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stockholders' equity</w:t>
            </w:r>
          </w:p>
        </w:tc>
        <w:tc>
          <w:tcPr>
            <w:tcW w:w="1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68,457</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88,631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88,437</w:t>
            </w:r>
          </w:p>
        </w:tc>
      </w:tr>
      <w:tr>
        <w:trPr>
          <w:trHeight w:val="209"/>
        </w:trPr>
        <w:tc>
          <w:tcPr>
            <w:tcW w:w="63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276,827</w:t>
            </w:r>
          </w:p>
        </w:tc>
        <w:tc>
          <w:tcPr>
            <w:tcW w:w="20" w:type="dxa"/>
            <w:vAlign w:val="bottom"/>
            <w:tcBorders>
              <w:top w:val="single" w:sz="8" w:color="CCEEFF"/>
              <w:bottom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297,262</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309,531</w:t>
            </w:r>
          </w:p>
        </w:tc>
        <w:tc>
          <w:tcPr>
            <w:tcW w:w="100" w:type="dxa"/>
            <w:vAlign w:val="bottom"/>
            <w:tcBorders>
              <w:top w:val="single" w:sz="8" w:color="CCEEFF"/>
            </w:tcBorders>
          </w:tcPr>
          <w:p>
            <w:pPr>
              <w:spacing w:after="0"/>
              <w:rPr>
                <w:sz w:val="18"/>
                <w:szCs w:val="18"/>
                <w:color w:val="auto"/>
              </w:rPr>
            </w:pPr>
          </w:p>
        </w:tc>
      </w:tr>
      <w:tr>
        <w:trPr>
          <w:trHeight w:val="20"/>
        </w:trPr>
        <w:tc>
          <w:tcPr>
            <w:tcW w:w="6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Thirteen weeks ended</w:t>
            </w:r>
          </w:p>
        </w:tc>
      </w:tr>
      <w:tr>
        <w:trPr>
          <w:trHeight w:val="191"/>
        </w:trPr>
        <w:tc>
          <w:tcPr>
            <w:tcW w:w="62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98"/>
              </w:rPr>
              <w:t>May 2,</w:t>
            </w:r>
          </w:p>
        </w:tc>
        <w:tc>
          <w:tcPr>
            <w:tcW w:w="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270"/>
              <w:spacing w:after="0" w:line="191" w:lineRule="exact"/>
              <w:rPr>
                <w:sz w:val="20"/>
                <w:szCs w:val="20"/>
                <w:color w:val="auto"/>
              </w:rPr>
            </w:pPr>
            <w:r>
              <w:rPr>
                <w:rFonts w:ascii="Arial" w:cs="Arial" w:eastAsia="Arial" w:hAnsi="Arial"/>
                <w:sz w:val="18"/>
                <w:szCs w:val="18"/>
                <w:b w:val="1"/>
                <w:bCs w:val="1"/>
                <w:color w:val="auto"/>
              </w:rPr>
              <w:t>May 4,</w:t>
            </w:r>
          </w:p>
        </w:tc>
        <w:tc>
          <w:tcPr>
            <w:tcW w:w="100" w:type="dxa"/>
            <w:vAlign w:val="bottom"/>
          </w:tcPr>
          <w:p>
            <w:pPr>
              <w:spacing w:after="0"/>
              <w:rPr>
                <w:sz w:val="16"/>
                <w:szCs w:val="16"/>
                <w:color w:val="auto"/>
              </w:rPr>
            </w:pPr>
          </w:p>
        </w:tc>
      </w:tr>
      <w:tr>
        <w:trPr>
          <w:trHeight w:val="234"/>
        </w:trPr>
        <w:tc>
          <w:tcPr>
            <w:tcW w:w="62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Net retail sales</w:t>
            </w:r>
          </w:p>
        </w:tc>
        <w:tc>
          <w:tcPr>
            <w:tcW w:w="24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45,647</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81,048</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Commercial revenue</w:t>
            </w:r>
          </w:p>
        </w:tc>
        <w:tc>
          <w:tcPr>
            <w:tcW w:w="2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2,754</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International franchising</w:t>
            </w: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644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560</w:t>
            </w:r>
          </w:p>
        </w:tc>
      </w:tr>
      <w:tr>
        <w:trPr>
          <w:trHeight w:val="20"/>
        </w:trPr>
        <w:tc>
          <w:tcPr>
            <w:tcW w:w="62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2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Total revenues</w:t>
            </w:r>
          </w:p>
        </w:tc>
        <w:tc>
          <w:tcPr>
            <w:tcW w:w="2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46,624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84,362</w:t>
            </w:r>
          </w:p>
        </w:tc>
      </w:tr>
      <w:tr>
        <w:trPr>
          <w:trHeight w:val="209"/>
        </w:trPr>
        <w:tc>
          <w:tcPr>
            <w:tcW w:w="620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2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Cost of merchandise sold - retail</w:t>
            </w: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33,352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44,420</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Store asset impairment</w:t>
            </w:r>
          </w:p>
        </w:tc>
        <w:tc>
          <w:tcPr>
            <w:tcW w:w="2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4,819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Cost of merchandise sold - commercial</w:t>
            </w: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140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1,264</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Cost of merchandise sold - international franchising</w:t>
            </w:r>
          </w:p>
        </w:tc>
        <w:tc>
          <w:tcPr>
            <w:tcW w:w="2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w:t>
            </w:r>
          </w:p>
        </w:tc>
      </w:tr>
      <w:tr>
        <w:trPr>
          <w:trHeight w:val="20"/>
        </w:trPr>
        <w:tc>
          <w:tcPr>
            <w:tcW w:w="6200" w:type="dxa"/>
            <w:vAlign w:val="bottom"/>
            <w:shd w:val="clear" w:color="auto" w:fill="CCEEFF"/>
          </w:tcPr>
          <w:p>
            <w:pPr>
              <w:spacing w:after="0" w:line="20" w:lineRule="exact"/>
              <w:rPr>
                <w:sz w:val="1"/>
                <w:szCs w:val="1"/>
                <w:color w:val="auto"/>
              </w:rPr>
            </w:pPr>
          </w:p>
        </w:tc>
        <w:tc>
          <w:tcPr>
            <w:tcW w:w="2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200" w:type="dxa"/>
            <w:vAlign w:val="bottom"/>
          </w:tcPr>
          <w:p>
            <w:pPr>
              <w:ind w:left="820"/>
              <w:spacing w:after="0"/>
              <w:rPr>
                <w:sz w:val="20"/>
                <w:szCs w:val="20"/>
                <w:color w:val="auto"/>
              </w:rPr>
            </w:pPr>
            <w:r>
              <w:rPr>
                <w:rFonts w:ascii="Arial" w:cs="Arial" w:eastAsia="Arial" w:hAnsi="Arial"/>
                <w:sz w:val="18"/>
                <w:szCs w:val="18"/>
                <w:color w:val="auto"/>
              </w:rPr>
              <w:t>Total cost of merchandise sold</w:t>
            </w: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38,566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46,124</w:t>
            </w:r>
          </w:p>
        </w:tc>
      </w:tr>
      <w:tr>
        <w:trPr>
          <w:trHeight w:val="20"/>
        </w:trPr>
        <w:tc>
          <w:tcPr>
            <w:tcW w:w="62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Consolidated gross profit</w:t>
            </w:r>
          </w:p>
        </w:tc>
        <w:tc>
          <w:tcPr>
            <w:tcW w:w="2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8,058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38,238</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26,725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35,808</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expense, net</w:t>
            </w:r>
          </w:p>
        </w:tc>
        <w:tc>
          <w:tcPr>
            <w:tcW w:w="2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r>
      <w:tr>
        <w:trPr>
          <w:trHeight w:val="20"/>
        </w:trPr>
        <w:tc>
          <w:tcPr>
            <w:tcW w:w="6200" w:type="dxa"/>
            <w:vAlign w:val="bottom"/>
            <w:shd w:val="clear" w:color="auto" w:fill="CCEEFF"/>
          </w:tcPr>
          <w:p>
            <w:pPr>
              <w:spacing w:after="0" w:line="20" w:lineRule="exact"/>
              <w:rPr>
                <w:sz w:val="1"/>
                <w:szCs w:val="1"/>
                <w:color w:val="auto"/>
              </w:rPr>
            </w:pPr>
          </w:p>
        </w:tc>
        <w:tc>
          <w:tcPr>
            <w:tcW w:w="2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200" w:type="dxa"/>
            <w:vAlign w:val="bottom"/>
          </w:tcPr>
          <w:p>
            <w:pPr>
              <w:ind w:left="820"/>
              <w:spacing w:after="0"/>
              <w:rPr>
                <w:sz w:val="20"/>
                <w:szCs w:val="20"/>
                <w:color w:val="auto"/>
              </w:rPr>
            </w:pPr>
            <w:r>
              <w:rPr>
                <w:rFonts w:ascii="Arial" w:cs="Arial" w:eastAsia="Arial" w:hAnsi="Arial"/>
                <w:sz w:val="18"/>
                <w:szCs w:val="18"/>
                <w:color w:val="auto"/>
              </w:rPr>
              <w:t>(Loss) income before income taxes</w:t>
            </w: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(18,664)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2,410</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2,540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1,213</w:t>
            </w:r>
          </w:p>
        </w:tc>
      </w:tr>
      <w:tr>
        <w:trPr>
          <w:trHeight w:val="20"/>
        </w:trPr>
        <w:tc>
          <w:tcPr>
            <w:tcW w:w="6200" w:type="dxa"/>
            <w:vAlign w:val="bottom"/>
            <w:shd w:val="clear" w:color="auto" w:fill="CCEEFF"/>
          </w:tcPr>
          <w:p>
            <w:pPr>
              <w:spacing w:after="0" w:line="20" w:lineRule="exact"/>
              <w:rPr>
                <w:sz w:val="1"/>
                <w:szCs w:val="1"/>
                <w:color w:val="auto"/>
              </w:rPr>
            </w:pPr>
          </w:p>
        </w:tc>
        <w:tc>
          <w:tcPr>
            <w:tcW w:w="2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200" w:type="dxa"/>
            <w:vAlign w:val="bottom"/>
          </w:tcPr>
          <w:p>
            <w:pPr>
              <w:ind w:left="820"/>
              <w:spacing w:after="0"/>
              <w:rPr>
                <w:sz w:val="20"/>
                <w:szCs w:val="20"/>
                <w:color w:val="auto"/>
              </w:rPr>
            </w:pPr>
            <w:r>
              <w:rPr>
                <w:rFonts w:ascii="Arial" w:cs="Arial" w:eastAsia="Arial" w:hAnsi="Arial"/>
                <w:sz w:val="18"/>
                <w:szCs w:val="18"/>
                <w:color w:val="auto"/>
              </w:rPr>
              <w:t>Net (loss) income</w:t>
            </w:r>
          </w:p>
        </w:tc>
        <w:tc>
          <w:tcPr>
            <w:tcW w:w="22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(21,204)</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1,197</w:t>
            </w:r>
          </w:p>
        </w:tc>
      </w:tr>
      <w:tr>
        <w:trPr>
          <w:trHeight w:val="20"/>
        </w:trPr>
        <w:tc>
          <w:tcPr>
            <w:tcW w:w="62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20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200" w:type="dxa"/>
            <w:vAlign w:val="bottom"/>
          </w:tcPr>
          <w:p>
            <w:pPr>
              <w:ind w:left="340"/>
              <w:spacing w:after="0"/>
              <w:rPr>
                <w:sz w:val="20"/>
                <w:szCs w:val="20"/>
                <w:color w:val="auto"/>
              </w:rPr>
            </w:pPr>
            <w:r>
              <w:rPr>
                <w:rFonts w:ascii="Arial" w:cs="Arial" w:eastAsia="Arial" w:hAnsi="Arial"/>
                <w:sz w:val="18"/>
                <w:szCs w:val="18"/>
                <w:color w:val="auto"/>
              </w:rPr>
              <w:t>Foreign currency translation adjustment</w:t>
            </w: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170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(105)</w:t>
            </w:r>
          </w:p>
        </w:tc>
      </w:tr>
      <w:tr>
        <w:trPr>
          <w:trHeight w:val="20"/>
        </w:trPr>
        <w:tc>
          <w:tcPr>
            <w:tcW w:w="62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 income</w:t>
            </w:r>
          </w:p>
        </w:tc>
        <w:tc>
          <w:tcPr>
            <w:tcW w:w="224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(21,034)</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1,092</w:t>
            </w:r>
          </w:p>
        </w:tc>
      </w:tr>
      <w:tr>
        <w:trPr>
          <w:trHeight w:val="196"/>
        </w:trPr>
        <w:tc>
          <w:tcPr>
            <w:tcW w:w="6200" w:type="dxa"/>
            <w:vAlign w:val="bottom"/>
            <w:tcBorders>
              <w:top w:val="single" w:sz="8" w:color="CCEEFF"/>
            </w:tcBorders>
          </w:tcPr>
          <w:p>
            <w:pPr>
              <w:spacing w:after="0"/>
              <w:rPr>
                <w:sz w:val="17"/>
                <w:szCs w:val="17"/>
                <w:color w:val="auto"/>
              </w:rPr>
            </w:pPr>
          </w:p>
        </w:tc>
        <w:tc>
          <w:tcPr>
            <w:tcW w:w="224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(Loss) income per common share:</w:t>
            </w:r>
          </w:p>
        </w:tc>
        <w:tc>
          <w:tcPr>
            <w:tcW w:w="2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00" w:type="dxa"/>
            <w:vAlign w:val="bottom"/>
          </w:tcPr>
          <w:p>
            <w:pPr>
              <w:ind w:left="340"/>
              <w:spacing w:after="0"/>
              <w:rPr>
                <w:sz w:val="20"/>
                <w:szCs w:val="20"/>
                <w:color w:val="auto"/>
              </w:rPr>
            </w:pPr>
            <w:r>
              <w:rPr>
                <w:rFonts w:ascii="Arial" w:cs="Arial" w:eastAsia="Arial" w:hAnsi="Arial"/>
                <w:sz w:val="18"/>
                <w:szCs w:val="18"/>
                <w:color w:val="auto"/>
              </w:rPr>
              <w:t>Basic</w:t>
            </w:r>
          </w:p>
        </w:tc>
        <w:tc>
          <w:tcPr>
            <w:tcW w:w="24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(1.42)</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0.08</w:t>
            </w:r>
          </w:p>
        </w:tc>
      </w:tr>
      <w:tr>
        <w:trPr>
          <w:trHeight w:val="216"/>
        </w:trPr>
        <w:tc>
          <w:tcPr>
            <w:tcW w:w="6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24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(1.42)</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w:t>
            </w:r>
          </w:p>
        </w:tc>
      </w:tr>
      <w:tr>
        <w:trPr>
          <w:trHeight w:val="216"/>
        </w:trPr>
        <w:tc>
          <w:tcPr>
            <w:tcW w:w="6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common per share amounts:</w:t>
            </w:r>
          </w:p>
        </w:tc>
        <w:tc>
          <w:tcPr>
            <w:tcW w:w="2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00" w:type="dxa"/>
            <w:vAlign w:val="bottom"/>
          </w:tcPr>
          <w:p>
            <w:pPr>
              <w:ind w:left="340"/>
              <w:spacing w:after="0"/>
              <w:rPr>
                <w:sz w:val="20"/>
                <w:szCs w:val="20"/>
                <w:color w:val="auto"/>
              </w:rPr>
            </w:pPr>
            <w:r>
              <w:rPr>
                <w:rFonts w:ascii="Arial" w:cs="Arial" w:eastAsia="Arial" w:hAnsi="Arial"/>
                <w:sz w:val="18"/>
                <w:szCs w:val="18"/>
                <w:color w:val="auto"/>
              </w:rPr>
              <w:t>Basic</w:t>
            </w: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14,926,097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14,612,575</w:t>
            </w:r>
          </w:p>
        </w:tc>
      </w:tr>
      <w:tr>
        <w:trPr>
          <w:trHeight w:val="216"/>
        </w:trPr>
        <w:tc>
          <w:tcPr>
            <w:tcW w:w="6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2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14,926,097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14,738,240</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8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Thirteen weeks ended</w:t>
            </w:r>
          </w:p>
        </w:tc>
      </w:tr>
      <w:tr>
        <w:trPr>
          <w:trHeight w:val="191"/>
        </w:trPr>
        <w:tc>
          <w:tcPr>
            <w:tcW w:w="80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right"/>
              <w:ind w:right="600"/>
              <w:spacing w:after="0" w:line="191" w:lineRule="exact"/>
              <w:rPr>
                <w:sz w:val="20"/>
                <w:szCs w:val="20"/>
                <w:color w:val="auto"/>
              </w:rPr>
            </w:pPr>
            <w:r>
              <w:rPr>
                <w:rFonts w:ascii="Arial" w:cs="Arial" w:eastAsia="Arial" w:hAnsi="Arial"/>
                <w:sz w:val="18"/>
                <w:szCs w:val="18"/>
                <w:b w:val="1"/>
                <w:bCs w:val="1"/>
                <w:color w:val="auto"/>
              </w:rPr>
              <w:t>May 2,</w:t>
            </w:r>
          </w:p>
        </w:tc>
        <w:tc>
          <w:tcPr>
            <w:tcW w:w="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370"/>
              <w:spacing w:after="0" w:line="191" w:lineRule="exact"/>
              <w:rPr>
                <w:sz w:val="20"/>
                <w:szCs w:val="20"/>
                <w:color w:val="auto"/>
              </w:rPr>
            </w:pPr>
            <w:r>
              <w:rPr>
                <w:rFonts w:ascii="Arial" w:cs="Arial" w:eastAsia="Arial" w:hAnsi="Arial"/>
                <w:sz w:val="18"/>
                <w:szCs w:val="18"/>
                <w:b w:val="1"/>
                <w:bCs w:val="1"/>
                <w:color w:val="auto"/>
              </w:rPr>
              <w:t>May 4,</w:t>
            </w:r>
          </w:p>
        </w:tc>
        <w:tc>
          <w:tcPr>
            <w:tcW w:w="100" w:type="dxa"/>
            <w:vAlign w:val="bottom"/>
          </w:tcPr>
          <w:p>
            <w:pPr>
              <w:spacing w:after="0"/>
              <w:rPr>
                <w:sz w:val="16"/>
                <w:szCs w:val="16"/>
                <w:color w:val="auto"/>
              </w:rPr>
            </w:pPr>
          </w:p>
        </w:tc>
      </w:tr>
      <w:tr>
        <w:trPr>
          <w:trHeight w:val="234"/>
        </w:trPr>
        <w:tc>
          <w:tcPr>
            <w:tcW w:w="80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flows (used in) from operating activities:</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Net (loss) income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(21,204)</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1,197</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less to net cash provided by operating activities:</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3,457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3,512</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Share-based and performance-based stock compensation</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720</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Impairment of right-of-use assets and fixed assets</w:t>
            </w:r>
          </w:p>
        </w:tc>
        <w:tc>
          <w:tcPr>
            <w:tcW w:w="3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4,819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Deferred taxes</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3,388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Provision for doubtful accounts</w:t>
            </w:r>
          </w:p>
        </w:tc>
        <w:tc>
          <w:tcPr>
            <w:tcW w:w="3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589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Gain on disposal of property and equipment</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Change in assets and liabilities:</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Inventories, net</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2,424</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Receivables, net</w:t>
            </w:r>
          </w:p>
        </w:tc>
        <w:tc>
          <w:tcPr>
            <w:tcW w:w="3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3,732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1,762</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Prepaid expenses and other assets</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4,423</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Accounts payable and accrued expenses</w:t>
            </w:r>
          </w:p>
        </w:tc>
        <w:tc>
          <w:tcPr>
            <w:tcW w:w="3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2,716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(1,910)</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Operating leases</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(2,988)</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Gift cards and customer deposits</w:t>
            </w:r>
          </w:p>
        </w:tc>
        <w:tc>
          <w:tcPr>
            <w:tcW w:w="36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(1,635)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(2,621)</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Deferred revenue</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(1,239)</w:t>
            </w:r>
          </w:p>
        </w:tc>
      </w:tr>
      <w:tr>
        <w:trPr>
          <w:trHeight w:val="20"/>
        </w:trPr>
        <w:tc>
          <w:tcPr>
            <w:tcW w:w="80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000" w:type="dxa"/>
            <w:vAlign w:val="bottom"/>
          </w:tcPr>
          <w:p>
            <w:pPr>
              <w:ind w:left="980"/>
              <w:spacing w:after="0"/>
              <w:rPr>
                <w:sz w:val="20"/>
                <w:szCs w:val="20"/>
                <w:color w:val="auto"/>
              </w:rPr>
            </w:pPr>
            <w:r>
              <w:rPr>
                <w:rFonts w:ascii="Arial" w:cs="Arial" w:eastAsia="Arial" w:hAnsi="Arial"/>
                <w:sz w:val="18"/>
                <w:szCs w:val="18"/>
                <w:color w:val="auto"/>
              </w:rPr>
              <w:t>Net cash (used in) provided by operating activities</w:t>
            </w:r>
          </w:p>
        </w:tc>
        <w:tc>
          <w:tcPr>
            <w:tcW w:w="36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(2,506)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5,141</w:t>
            </w: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flows used in investing activities:</w:t>
            </w:r>
          </w:p>
        </w:tc>
        <w:tc>
          <w:tcPr>
            <w:tcW w:w="3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(2,849)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(2,440)</w:t>
            </w:r>
          </w:p>
        </w:tc>
      </w:tr>
      <w:tr>
        <w:trPr>
          <w:trHeight w:val="20"/>
        </w:trPr>
        <w:tc>
          <w:tcPr>
            <w:tcW w:w="80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(2,849)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(2,440)</w:t>
            </w:r>
          </w:p>
        </w:tc>
      </w:tr>
      <w:tr>
        <w:trPr>
          <w:trHeight w:val="210"/>
        </w:trPr>
        <w:tc>
          <w:tcPr>
            <w:tcW w:w="80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Cash flows used in financing activities:</w:t>
            </w: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Proceeds from the exercise of employee stock options, net of withholding tax payments</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(258)</w:t>
            </w:r>
          </w:p>
        </w:tc>
      </w:tr>
      <w:tr>
        <w:trPr>
          <w:trHeight w:val="20"/>
        </w:trPr>
        <w:tc>
          <w:tcPr>
            <w:tcW w:w="80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ind w:left="98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(114)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(258)</w:t>
            </w:r>
          </w:p>
        </w:tc>
      </w:tr>
      <w:tr>
        <w:trPr>
          <w:trHeight w:val="20"/>
        </w:trPr>
        <w:tc>
          <w:tcPr>
            <w:tcW w:w="80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rates on cash</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w:t>
            </w:r>
          </w:p>
        </w:tc>
      </w:tr>
      <w:tr>
        <w:trPr>
          <w:trHeight w:val="20"/>
        </w:trPr>
        <w:tc>
          <w:tcPr>
            <w:tcW w:w="80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36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(4,918)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2,344</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28,395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19,561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23,477</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21,905</w:t>
            </w:r>
          </w:p>
        </w:tc>
      </w:tr>
      <w:tr>
        <w:trPr>
          <w:trHeight w:val="20"/>
        </w:trPr>
        <w:tc>
          <w:tcPr>
            <w:tcW w:w="80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Supplemental disclosure of cash flow information:</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cash, cash equivalents and restricted cash</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23,477</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21,905</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Less: Restricted cash from long-term deposits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(1,626)</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(1,667)</w:t>
            </w:r>
          </w:p>
        </w:tc>
      </w:tr>
      <w:tr>
        <w:trPr>
          <w:trHeight w:val="250"/>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cash and cash equivalents</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21,851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20,238</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7"/>
        </w:trPr>
        <w:tc>
          <w:tcPr>
            <w:tcW w:w="8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cash received during the period for income taxes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r>
      <w:tr>
        <w:trPr>
          <w:trHeight w:val="432"/>
        </w:trPr>
        <w:tc>
          <w:tcPr>
            <w:tcW w:w="8360" w:type="dxa"/>
            <w:vAlign w:val="bottom"/>
            <w:gridSpan w:val="2"/>
          </w:tcPr>
          <w:p>
            <w:pPr>
              <w:ind w:left="3000"/>
              <w:spacing w:after="0"/>
              <w:rPr>
                <w:sz w:val="20"/>
                <w:szCs w:val="20"/>
                <w:color w:val="auto"/>
              </w:rPr>
            </w:pPr>
            <w:r>
              <w:rPr>
                <w:rFonts w:ascii="Arial" w:cs="Arial" w:eastAsia="Arial" w:hAnsi="Arial"/>
                <w:sz w:val="18"/>
                <w:szCs w:val="18"/>
                <w:color w:val="auto"/>
                <w:w w:val="90"/>
              </w:rPr>
              <w:t>See accompanying notes to condensed consolidated financial statements.</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tcPr>
          <w:p>
            <w:pPr>
              <w:ind w:left="5580"/>
              <w:spacing w:after="0"/>
              <w:rPr>
                <w:sz w:val="20"/>
                <w:szCs w:val="20"/>
                <w:color w:val="auto"/>
              </w:rPr>
            </w:pPr>
            <w:r>
              <w:rPr>
                <w:rFonts w:ascii="Arial" w:cs="Arial" w:eastAsia="Arial" w:hAnsi="Arial"/>
                <w:sz w:val="18"/>
                <w:szCs w:val="18"/>
                <w:color w:val="auto"/>
              </w:rPr>
              <w:t>6</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80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18" w:right="339" w:bottom="1440" w:gutter="0" w:footer="0" w:header="0"/>
        </w:sectPr>
      </w:pPr>
    </w:p>
    <w:bookmarkStart w:id="6" w:name="page7"/>
    <w:bookmarkEnd w:id="6"/>
    <w:p>
      <w:pPr>
        <w:ind w:left="20"/>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ind w:left="20" w:firstLine="486"/>
        <w:spacing w:after="0" w:line="287" w:lineRule="auto"/>
        <w:rPr>
          <w:sz w:val="20"/>
          <w:szCs w:val="20"/>
          <w:color w:val="auto"/>
        </w:rPr>
      </w:pPr>
      <w:r>
        <w:rPr>
          <w:rFonts w:ascii="Arial" w:cs="Arial" w:eastAsia="Arial" w:hAnsi="Arial"/>
          <w:sz w:val="16"/>
          <w:szCs w:val="16"/>
          <w:color w:val="auto"/>
        </w:rPr>
        <w:t>The condensed consolidated financial statements included herein are unaudited and have been prepared by Build-A-Bear Workshop, Inc. and its subsidiaries (collectively, the “Company”) pursuant to the rules and regulations of the U.S. Securities and Exchange Commission (“SEC”). Certain information and footnote disclosures normally included in financial statements prepared in accordance with U.S. generally accepted accounting principles (“GAAP”) have been condensed or omitted pursuant to such rules and regulations. The condensed consolidated balance sheet of the Company as of February 1, 2020 was derived from the Company’s audited consolidated balance sheet as of that date. All other condensed consolidated financial statements contained herein are unaudited and reflect all adjustments which are, in the opinion of management, necessary to summarize fairly the financial position of the Company and the results of the Company’s operations and cash flows for the periods presented. All of these adjustments are of a normal recurring nature. All significant intercompany balances and transactions have been eliminated in consolidation. Because of the seasonal nature of the Company’s operations, results of operations of any single reporting period should not be considered as indicative of results for a full year. These condensed consolidated financial statements should be read in conjunction with the Company’s audited consolidated financial statements for the fiscal year ended February 1, 2020, which were included in the Company’s Annual Report on Form 10-K filed with the SEC on April 16, 2020.</w:t>
      </w:r>
    </w:p>
    <w:p>
      <w:pPr>
        <w:spacing w:after="0" w:line="172"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COVID-19 Pandemic</w:t>
      </w:r>
    </w:p>
    <w:p>
      <w:pPr>
        <w:spacing w:after="0" w:line="225" w:lineRule="exact"/>
        <w:rPr>
          <w:sz w:val="20"/>
          <w:szCs w:val="20"/>
          <w:color w:val="auto"/>
        </w:rPr>
      </w:pPr>
    </w:p>
    <w:p>
      <w:pPr>
        <w:ind w:right="160" w:firstLine="648"/>
        <w:spacing w:after="0" w:line="269" w:lineRule="auto"/>
        <w:rPr>
          <w:sz w:val="20"/>
          <w:szCs w:val="20"/>
          <w:color w:val="auto"/>
        </w:rPr>
      </w:pPr>
      <w:r>
        <w:rPr>
          <w:rFonts w:ascii="Arial" w:cs="Arial" w:eastAsia="Arial" w:hAnsi="Arial"/>
          <w:sz w:val="17"/>
          <w:szCs w:val="17"/>
          <w:color w:val="auto"/>
        </w:rPr>
        <w:t>In March 2020, the World Health Organization announced that COVID-19 is a global pandemic. On March 17, 2020, the Company announced the temporary closure of all owned and operated stores in the United States, Canada, the United Kingdom, Denmark and Ireland as a result of the pandemic. In addition, on March 26, 2020, the Company announced the temporary closure of its warehouse and e-commerce fulfillment center in Ohio as it reviewed its process related to workplace safety, including social distancing and sanitation practices recommended by the Centers for Disease Control and Prevention. The Ohio warehouse was reopened on April 1, 2020 following the review and reconfiguration of workflow and workspaces to further promote social distancing and minimize interaction as orders are fulfilled. While some stores in the United States and the e-commerce businesses in the United States and the United Kingdom continue to serve customers during this crisis, the Company has experienced a loss of sales and earnings as a result of the store closures. In addition, many of the Company's wholesale customers have also closed their retail stores affecting their inventory purchases. Although the store closures are expected to be temporary and the Company has begun to open stores where allowable by local law, the Company cannot estimate the duration of the store closures for the remainder of stores, the impact on our interactive retail experience once stores are reopened, or the full financial effect as a result of COVID-19.</w:t>
      </w:r>
    </w:p>
    <w:p>
      <w:pPr>
        <w:spacing w:after="0" w:line="182"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response to COVID-19, the Company has taken the following actions:</w:t>
      </w:r>
    </w:p>
    <w:p>
      <w:pPr>
        <w:spacing w:after="0" w:line="225" w:lineRule="exact"/>
        <w:rPr>
          <w:sz w:val="20"/>
          <w:szCs w:val="20"/>
          <w:color w:val="auto"/>
        </w:rPr>
      </w:pPr>
    </w:p>
    <w:p>
      <w:pPr>
        <w:ind w:left="500" w:hanging="175"/>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Reducing and deferring expenses</w:t>
      </w:r>
    </w:p>
    <w:p>
      <w:pPr>
        <w:spacing w:after="0" w:line="23" w:lineRule="exact"/>
        <w:rPr>
          <w:rFonts w:ascii="Arial" w:cs="Arial" w:eastAsia="Arial" w:hAnsi="Arial"/>
          <w:sz w:val="18"/>
          <w:szCs w:val="18"/>
          <w:color w:val="auto"/>
        </w:rPr>
      </w:pPr>
    </w:p>
    <w:p>
      <w:pPr>
        <w:ind w:left="820" w:hanging="158"/>
        <w:spacing w:after="0"/>
        <w:tabs>
          <w:tab w:leader="none" w:pos="8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Furlough of over 90% of its employees effective March 29, 2020;</w:t>
      </w:r>
    </w:p>
    <w:p>
      <w:pPr>
        <w:spacing w:after="0" w:line="9" w:lineRule="exact"/>
        <w:rPr>
          <w:rFonts w:ascii="Arial" w:cs="Arial" w:eastAsia="Arial" w:hAnsi="Arial"/>
          <w:sz w:val="18"/>
          <w:szCs w:val="18"/>
          <w:color w:val="auto"/>
        </w:rPr>
      </w:pPr>
    </w:p>
    <w:p>
      <w:pPr>
        <w:ind w:left="820" w:hanging="158"/>
        <w:spacing w:after="0"/>
        <w:tabs>
          <w:tab w:leader="none" w:pos="820" w:val="left"/>
        </w:tabs>
        <w:numPr>
          <w:ilvl w:val="1"/>
          <w:numId w:val="3"/>
        </w:numPr>
        <w:rPr>
          <w:rFonts w:ascii="Arial" w:cs="Arial" w:eastAsia="Arial" w:hAnsi="Arial"/>
          <w:sz w:val="16"/>
          <w:szCs w:val="16"/>
          <w:color w:val="auto"/>
        </w:rPr>
      </w:pPr>
      <w:r>
        <w:rPr>
          <w:rFonts w:ascii="Arial" w:cs="Arial" w:eastAsia="Arial" w:hAnsi="Arial"/>
          <w:sz w:val="16"/>
          <w:szCs w:val="16"/>
          <w:color w:val="auto"/>
        </w:rPr>
        <w:t>A 20% reduction in compensation for all employees not on temporary leave including each of its executive officers effective March 29, 2020;</w:t>
      </w:r>
    </w:p>
    <w:p>
      <w:pPr>
        <w:spacing w:after="0" w:line="32" w:lineRule="exact"/>
        <w:rPr>
          <w:rFonts w:ascii="Arial" w:cs="Arial" w:eastAsia="Arial" w:hAnsi="Arial"/>
          <w:sz w:val="16"/>
          <w:szCs w:val="16"/>
          <w:color w:val="auto"/>
        </w:rPr>
      </w:pPr>
    </w:p>
    <w:p>
      <w:pPr>
        <w:ind w:left="820" w:hanging="158"/>
        <w:spacing w:after="0"/>
        <w:tabs>
          <w:tab w:leader="none" w:pos="820" w:val="left"/>
        </w:tabs>
        <w:numPr>
          <w:ilvl w:val="1"/>
          <w:numId w:val="3"/>
        </w:numPr>
        <w:rPr>
          <w:rFonts w:ascii="Arial" w:cs="Arial" w:eastAsia="Arial" w:hAnsi="Arial"/>
          <w:sz w:val="18"/>
          <w:szCs w:val="18"/>
          <w:color w:val="auto"/>
        </w:rPr>
      </w:pPr>
      <w:r>
        <w:rPr>
          <w:rFonts w:ascii="Arial" w:cs="Arial" w:eastAsia="Arial" w:hAnsi="Arial"/>
          <w:sz w:val="18"/>
          <w:szCs w:val="18"/>
          <w:color w:val="auto"/>
        </w:rPr>
        <w:t>Elimination of the cash retainer for all non-employee directors serving on its Board of Directors for the fiscal 2020 first quarter;</w:t>
      </w:r>
    </w:p>
    <w:p>
      <w:pPr>
        <w:spacing w:after="0" w:line="9" w:lineRule="exact"/>
        <w:rPr>
          <w:rFonts w:ascii="Arial" w:cs="Arial" w:eastAsia="Arial" w:hAnsi="Arial"/>
          <w:sz w:val="18"/>
          <w:szCs w:val="18"/>
          <w:color w:val="auto"/>
        </w:rPr>
      </w:pPr>
    </w:p>
    <w:p>
      <w:pPr>
        <w:ind w:left="500" w:right="220" w:firstLine="162"/>
        <w:spacing w:after="0" w:line="250" w:lineRule="auto"/>
        <w:tabs>
          <w:tab w:leader="none" w:pos="815"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delayed payment of 100% of the bonus earned by the company’s executive officers for fiscal 2019 performance and 80% of such bonuses earned by its other associates;</w:t>
      </w:r>
    </w:p>
    <w:p>
      <w:pPr>
        <w:ind w:left="820" w:hanging="158"/>
        <w:spacing w:after="0"/>
        <w:tabs>
          <w:tab w:leader="none" w:pos="8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delayed payment of the Company’s contribution to its 401(k) plan; and</w:t>
      </w:r>
    </w:p>
    <w:p>
      <w:pPr>
        <w:spacing w:after="0" w:line="9" w:lineRule="exact"/>
        <w:rPr>
          <w:rFonts w:ascii="Arial" w:cs="Arial" w:eastAsia="Arial" w:hAnsi="Arial"/>
          <w:sz w:val="18"/>
          <w:szCs w:val="18"/>
          <w:color w:val="auto"/>
        </w:rPr>
      </w:pPr>
    </w:p>
    <w:p>
      <w:pPr>
        <w:ind w:left="500" w:right="40" w:firstLine="162"/>
        <w:spacing w:after="0" w:line="265" w:lineRule="auto"/>
        <w:tabs>
          <w:tab w:leader="none" w:pos="815" w:val="left"/>
        </w:tabs>
        <w:numPr>
          <w:ilvl w:val="1"/>
          <w:numId w:val="3"/>
        </w:numPr>
        <w:rPr>
          <w:rFonts w:ascii="Arial" w:cs="Arial" w:eastAsia="Arial" w:hAnsi="Arial"/>
          <w:sz w:val="17"/>
          <w:szCs w:val="17"/>
          <w:color w:val="auto"/>
        </w:rPr>
      </w:pPr>
      <w:r>
        <w:rPr>
          <w:rFonts w:ascii="Arial" w:cs="Arial" w:eastAsia="Arial" w:hAnsi="Arial"/>
          <w:sz w:val="17"/>
          <w:szCs w:val="17"/>
          <w:color w:val="auto"/>
        </w:rPr>
        <w:t>Reduction in expenses and deferral of payments through extension of payment terms in many areas including its marketing programs. At quarter end, the Company had not paid April store rent and was in discussions with landlords regarding more favorable terms;</w:t>
      </w:r>
    </w:p>
    <w:p>
      <w:pPr>
        <w:ind w:left="500" w:hanging="175"/>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Reducing its planned capital expenditures to maintenance levels</w:t>
      </w:r>
    </w:p>
    <w:p>
      <w:pPr>
        <w:spacing w:after="0" w:line="9" w:lineRule="exact"/>
        <w:rPr>
          <w:rFonts w:ascii="Arial" w:cs="Arial" w:eastAsia="Arial" w:hAnsi="Arial"/>
          <w:sz w:val="18"/>
          <w:szCs w:val="18"/>
          <w:color w:val="auto"/>
        </w:rPr>
      </w:pPr>
    </w:p>
    <w:p>
      <w:pPr>
        <w:ind w:left="500" w:right="380" w:hanging="175"/>
        <w:spacing w:after="0" w:line="260"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Leveraging operating lease optionality with over 70% of its leases having a natural lease event over the next three years with approximately 120 locations having events before the end of fiscal 2020</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18" w:right="339" w:bottom="1440" w:gutter="0" w:footer="0" w:header="0"/>
        </w:sectPr>
      </w:pPr>
    </w:p>
    <w:bookmarkStart w:id="7" w:name="page8"/>
    <w:bookmarkEnd w:id="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Operational and Distribution Network Update due to COVID-19:</w:t>
      </w:r>
    </w:p>
    <w:p>
      <w:pPr>
        <w:spacing w:after="0" w:line="225" w:lineRule="exact"/>
        <w:rPr>
          <w:sz w:val="20"/>
          <w:szCs w:val="20"/>
          <w:color w:val="auto"/>
        </w:rPr>
      </w:pPr>
    </w:p>
    <w:p>
      <w:pPr>
        <w:ind w:left="480" w:hanging="175"/>
        <w:spacing w:after="0" w:line="258" w:lineRule="auto"/>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Starting on March 18, 2020, the Company temporarily closed its corporately-managed retail locations in North America and Europe. Since that time, the Company has modified several key operational processes including:</w:t>
      </w:r>
    </w:p>
    <w:p>
      <w:pPr>
        <w:spacing w:after="0" w:line="1" w:lineRule="exact"/>
        <w:rPr>
          <w:rFonts w:ascii="Arial" w:cs="Arial" w:eastAsia="Arial" w:hAnsi="Arial"/>
          <w:sz w:val="18"/>
          <w:szCs w:val="18"/>
          <w:color w:val="auto"/>
        </w:rPr>
      </w:pPr>
    </w:p>
    <w:p>
      <w:pPr>
        <w:ind w:left="480" w:right="720" w:firstLine="162"/>
        <w:spacing w:after="0" w:line="250" w:lineRule="auto"/>
        <w:tabs>
          <w:tab w:leader="none" w:pos="795" w:val="left"/>
        </w:tabs>
        <w:numPr>
          <w:ilvl w:val="2"/>
          <w:numId w:val="4"/>
        </w:numPr>
        <w:rPr>
          <w:rFonts w:ascii="Arial" w:cs="Arial" w:eastAsia="Arial" w:hAnsi="Arial"/>
          <w:sz w:val="18"/>
          <w:szCs w:val="18"/>
          <w:color w:val="auto"/>
        </w:rPr>
      </w:pPr>
      <w:r>
        <w:rPr>
          <w:rFonts w:ascii="Arial" w:cs="Arial" w:eastAsia="Arial" w:hAnsi="Arial"/>
          <w:sz w:val="18"/>
          <w:szCs w:val="18"/>
          <w:color w:val="auto"/>
        </w:rPr>
        <w:t>Modifying its popular in-store experience to accommodate various governmental social distancing recommendations, crowd limitation requirements and recommendations and employee and guest safety considerations; and</w:t>
      </w:r>
    </w:p>
    <w:p>
      <w:pPr>
        <w:ind w:left="480" w:right="20" w:firstLine="162"/>
        <w:spacing w:after="0" w:line="250" w:lineRule="auto"/>
        <w:tabs>
          <w:tab w:leader="none" w:pos="795" w:val="left"/>
        </w:tabs>
        <w:numPr>
          <w:ilvl w:val="2"/>
          <w:numId w:val="4"/>
        </w:numPr>
        <w:rPr>
          <w:rFonts w:ascii="Arial" w:cs="Arial" w:eastAsia="Arial" w:hAnsi="Arial"/>
          <w:sz w:val="18"/>
          <w:szCs w:val="18"/>
          <w:color w:val="auto"/>
        </w:rPr>
      </w:pPr>
      <w:r>
        <w:rPr>
          <w:rFonts w:ascii="Arial" w:cs="Arial" w:eastAsia="Arial" w:hAnsi="Arial"/>
          <w:sz w:val="18"/>
          <w:szCs w:val="18"/>
          <w:color w:val="auto"/>
        </w:rPr>
        <w:t>Adding a “Workshop Wednesday” program that offers digital entertainment and activities for families staying at home, generating nearly 100 million media impressions when it was announced in April. The Company expects Workshop Wednesdays to expand in the future to include in-store events;</w:t>
      </w:r>
    </w:p>
    <w:p>
      <w:pPr>
        <w:spacing w:after="0" w:line="1" w:lineRule="exact"/>
        <w:rPr>
          <w:rFonts w:ascii="Arial" w:cs="Arial" w:eastAsia="Arial" w:hAnsi="Arial"/>
          <w:sz w:val="18"/>
          <w:szCs w:val="18"/>
          <w:color w:val="auto"/>
        </w:rPr>
      </w:pPr>
    </w:p>
    <w:p>
      <w:pPr>
        <w:ind w:left="500" w:right="60" w:hanging="182"/>
        <w:spacing w:after="0" w:line="281" w:lineRule="auto"/>
        <w:tabs>
          <w:tab w:leader="none" w:pos="500" w:val="left"/>
        </w:tabs>
        <w:numPr>
          <w:ilvl w:val="1"/>
          <w:numId w:val="4"/>
        </w:numPr>
        <w:rPr>
          <w:rFonts w:ascii="Arial" w:cs="Arial" w:eastAsia="Arial" w:hAnsi="Arial"/>
          <w:sz w:val="16"/>
          <w:szCs w:val="16"/>
          <w:color w:val="auto"/>
        </w:rPr>
      </w:pPr>
      <w:r>
        <w:rPr>
          <w:rFonts w:ascii="Arial" w:cs="Arial" w:eastAsia="Arial" w:hAnsi="Arial"/>
          <w:sz w:val="16"/>
          <w:szCs w:val="16"/>
          <w:color w:val="auto"/>
        </w:rPr>
        <w:t>The Company’s e-commerce site was fully operational throughout the quarter. Order processing times were extended as procedures were updated to enhance social distancing and sanitation practices at its distribution center. The Company has seen its digital demand continue to gain momentum with growth rates increasing to triple-digit levels following the store closures and has improved fulfillment times with expanded features including:</w:t>
      </w:r>
    </w:p>
    <w:p>
      <w:pPr>
        <w:spacing w:after="0" w:line="1" w:lineRule="exact"/>
        <w:rPr>
          <w:rFonts w:ascii="Arial" w:cs="Arial" w:eastAsia="Arial" w:hAnsi="Arial"/>
          <w:sz w:val="16"/>
          <w:szCs w:val="16"/>
          <w:color w:val="auto"/>
        </w:rPr>
      </w:pPr>
    </w:p>
    <w:p>
      <w:pPr>
        <w:ind w:left="800" w:hanging="144"/>
        <w:spacing w:after="0"/>
        <w:tabs>
          <w:tab w:leader="none" w:pos="800" w:val="left"/>
        </w:tabs>
        <w:numPr>
          <w:ilvl w:val="3"/>
          <w:numId w:val="4"/>
        </w:numPr>
        <w:rPr>
          <w:rFonts w:ascii="Arial" w:cs="Arial" w:eastAsia="Arial" w:hAnsi="Arial"/>
          <w:sz w:val="16"/>
          <w:szCs w:val="16"/>
          <w:color w:val="auto"/>
        </w:rPr>
      </w:pPr>
      <w:r>
        <w:rPr>
          <w:rFonts w:ascii="Arial" w:cs="Arial" w:eastAsia="Arial" w:hAnsi="Arial"/>
          <w:sz w:val="16"/>
          <w:szCs w:val="16"/>
          <w:color w:val="auto"/>
        </w:rPr>
        <w:t>Adding capabilities for select stores to supplement its e-commerce fulfillment with a “buy online, ship from store” omni-channel program; and</w:t>
      </w:r>
    </w:p>
    <w:p>
      <w:pPr>
        <w:spacing w:after="0" w:line="32" w:lineRule="exact"/>
        <w:rPr>
          <w:rFonts w:ascii="Arial" w:cs="Arial" w:eastAsia="Arial" w:hAnsi="Arial"/>
          <w:sz w:val="16"/>
          <w:szCs w:val="16"/>
          <w:color w:val="auto"/>
        </w:rPr>
      </w:pPr>
    </w:p>
    <w:p>
      <w:pPr>
        <w:ind w:left="800" w:hanging="144"/>
        <w:spacing w:after="0"/>
        <w:tabs>
          <w:tab w:leader="none" w:pos="800" w:val="left"/>
        </w:tabs>
        <w:numPr>
          <w:ilvl w:val="3"/>
          <w:numId w:val="4"/>
        </w:numPr>
        <w:rPr>
          <w:rFonts w:ascii="Arial" w:cs="Arial" w:eastAsia="Arial" w:hAnsi="Arial"/>
          <w:sz w:val="18"/>
          <w:szCs w:val="18"/>
          <w:color w:val="auto"/>
        </w:rPr>
      </w:pPr>
      <w:r>
        <w:rPr>
          <w:rFonts w:ascii="Arial" w:cs="Arial" w:eastAsia="Arial" w:hAnsi="Arial"/>
          <w:sz w:val="18"/>
          <w:szCs w:val="18"/>
          <w:color w:val="auto"/>
        </w:rPr>
        <w:t>Adding new queue technology and enabling a chat bot to better serve customers in-line for high-demand product launches;</w:t>
      </w:r>
    </w:p>
    <w:p>
      <w:pPr>
        <w:spacing w:after="0" w:line="9" w:lineRule="exact"/>
        <w:rPr>
          <w:rFonts w:ascii="Arial" w:cs="Arial" w:eastAsia="Arial" w:hAnsi="Arial"/>
          <w:sz w:val="18"/>
          <w:szCs w:val="18"/>
          <w:color w:val="auto"/>
        </w:rPr>
      </w:pPr>
    </w:p>
    <w:p>
      <w:pPr>
        <w:ind w:left="500" w:hanging="182"/>
        <w:spacing w:after="0"/>
        <w:tabs>
          <w:tab w:leader="none" w:pos="5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Company’s supply chain had minimal disruption in the quarter with the Company able to receive deliveries in a timely manner;</w:t>
      </w:r>
    </w:p>
    <w:p>
      <w:pPr>
        <w:spacing w:after="0" w:line="9" w:lineRule="exact"/>
        <w:rPr>
          <w:rFonts w:ascii="Arial" w:cs="Arial" w:eastAsia="Arial" w:hAnsi="Arial"/>
          <w:sz w:val="18"/>
          <w:szCs w:val="18"/>
          <w:color w:val="auto"/>
        </w:rPr>
      </w:pPr>
    </w:p>
    <w:p>
      <w:pPr>
        <w:ind w:left="500" w:right="280" w:hanging="182"/>
        <w:spacing w:after="0" w:line="265" w:lineRule="auto"/>
        <w:tabs>
          <w:tab w:leader="none" w:pos="500" w:val="left"/>
        </w:tabs>
        <w:numPr>
          <w:ilvl w:val="1"/>
          <w:numId w:val="4"/>
        </w:numPr>
        <w:rPr>
          <w:rFonts w:ascii="Arial" w:cs="Arial" w:eastAsia="Arial" w:hAnsi="Arial"/>
          <w:sz w:val="17"/>
          <w:szCs w:val="17"/>
          <w:color w:val="auto"/>
        </w:rPr>
      </w:pPr>
      <w:r>
        <w:rPr>
          <w:rFonts w:ascii="Arial" w:cs="Arial" w:eastAsia="Arial" w:hAnsi="Arial"/>
          <w:sz w:val="17"/>
          <w:szCs w:val="17"/>
          <w:color w:val="auto"/>
        </w:rPr>
        <w:t>The Company’s franchisees ended the quarter with 80 locations across Africa, Asia, Australia, Mexico, the Middle East and South America. The majority of the locations were closed due to COVID-19 at quarter-end and have begun opening as permitted by law; and</w:t>
      </w:r>
    </w:p>
    <w:p>
      <w:pPr>
        <w:ind w:left="500" w:right="180" w:hanging="182"/>
        <w:spacing w:after="0" w:line="260" w:lineRule="auto"/>
        <w:tabs>
          <w:tab w:leader="none" w:pos="5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Company’s third-party retail partners such as Great Wolf Resorts and Carnival Cruise Lines were closed due to COVID-19 at quarter-end and remain temporarily closed.</w:t>
      </w:r>
    </w:p>
    <w:p>
      <w:pPr>
        <w:spacing w:after="0" w:line="185" w:lineRule="exact"/>
        <w:rPr>
          <w:sz w:val="20"/>
          <w:szCs w:val="20"/>
          <w:color w:val="auto"/>
        </w:rPr>
      </w:pPr>
    </w:p>
    <w:p>
      <w:pPr>
        <w:ind w:right="40" w:firstLine="486"/>
        <w:spacing w:after="0" w:line="291" w:lineRule="auto"/>
        <w:rPr>
          <w:sz w:val="20"/>
          <w:szCs w:val="20"/>
          <w:color w:val="auto"/>
        </w:rPr>
      </w:pPr>
      <w:r>
        <w:rPr>
          <w:rFonts w:ascii="Arial" w:cs="Arial" w:eastAsia="Arial" w:hAnsi="Arial"/>
          <w:sz w:val="16"/>
          <w:szCs w:val="16"/>
          <w:color w:val="auto"/>
        </w:rPr>
        <w:t>The Company has not borrowed on its credit facility as of June 8, 2020. Due to the impacts of COVID-19 and the continued closure of a majority of our corporately managed stores, our financial performance in the second quarter of fiscal 2020 will be negatively impacted. The Company's liquidity may be negatively impacted if stores do not resume normal operations and the Company may be required to pursue additional sources of financing to meet its financial obligations. Obtaining such financing is not guaranteed and is largely dependent on market conditions and other factors. The Company believes that its current cash balance, along with the actions taken as outlined above, provide it with sufficient current liquidity. Future impact of COVID-19 may require further actions by the Company to improve its cash position, including but not limited to, monetizing Company assets including the Company owned warehouse in Ohio, inventory, implementing further employee furloughs, and foregoing capital expenditures and other discretionary expenses.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Accounting Policies</w:t>
      </w:r>
    </w:p>
    <w:p>
      <w:pPr>
        <w:spacing w:after="0" w:line="225"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The Company's significant accounting policies are summarized in Note 2 to the consolidated financial statements included in our Form 10-K for the year ended February 1, 2020. An update and supplement to these policies is needed for the Company's accounting for government assistance, long-live asset impairment, and lease modifications as a result of activity during the first quarter of fiscal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Government Grants</w:t>
      </w:r>
    </w:p>
    <w:p>
      <w:pPr>
        <w:spacing w:after="0" w:line="225"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The Company applied for reimbursement of payroll expenses in certain jurisdictions through COVID-19 related government programs for payroll paid to employees who were paid while not providing services to the Company prior to the end of the first quarter of fiscal 2020. These programs require the Company to apply to the government for reimbursement of wages based on the applicable laws and programs within each jurisdiction. Through review of and application to these programs, the Company believes it qualifies for such reimbursement, and it is probable that the expenses will be reimbursed. As a result, the Company recorded a reduction to expenses of approximately $1.5 million related to these wages within the Selling, general and administrative line within the Condensed Consolidated Statement of Operations and Comprehensive Income (Loss) for the period ending May 2, 2020. In addition, a portion of these amounts was received subsequent to the end of the quarter.</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8" w:name="page9"/>
    <w:bookmarkEnd w:id="8"/>
    <w:p>
      <w:pPr>
        <w:ind w:left="20"/>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Long-live Assets, including right-of-use operating lease assets</w:t>
      </w:r>
    </w:p>
    <w:p>
      <w:pPr>
        <w:spacing w:after="0" w:line="225" w:lineRule="exact"/>
        <w:rPr>
          <w:sz w:val="20"/>
          <w:szCs w:val="20"/>
          <w:color w:val="auto"/>
        </w:rPr>
      </w:pPr>
    </w:p>
    <w:p>
      <w:pPr>
        <w:ind w:right="220" w:firstLine="648"/>
        <w:spacing w:after="0" w:line="268" w:lineRule="auto"/>
        <w:rPr>
          <w:sz w:val="20"/>
          <w:szCs w:val="20"/>
          <w:color w:val="auto"/>
        </w:rPr>
      </w:pPr>
      <w:r>
        <w:rPr>
          <w:rFonts w:ascii="Arial" w:cs="Arial" w:eastAsia="Arial" w:hAnsi="Arial"/>
          <w:sz w:val="17"/>
          <w:szCs w:val="17"/>
          <w:color w:val="auto"/>
        </w:rPr>
        <w:t>Whenever facts and circumstances indicate that the carrying value of long-lived assets and right-of-use operating lease assets may not be recoverable, the carrying value is reviewed. If this review indicates that the carrying value of the asset will not be recovered, as determined based on projected undiscounted cash flows related to the asset over its remaining life, the carrying value of the asset is reduced to its estimated fair value. The Company typically performs an annual assessment of the store assets in the direct-to-consumer (“DTC”) segment, based on operating performance and forecasts of future performance. As a result of the COVID-19 pandemic, we experienced lower than projected revenues and identified indicators of impairment for our store fleet. We performed undiscounted cash flow analyses over the long-lived assets and right-of-use assets and determined that certain stores had long-lived and right-of-use assets with carrying values that exceeded their estimated undiscounted cash flows. We estimated fair values of these long-lived assets based on our discounted cash flows or market rent assessments. Our analysis indicated that the carrying values of certain of our long-lived assets exceeded their respective fair values. As a result, we recognized an impairment charge of $4.8 million for the thirteen weeks ended May 2, 2020. with approximately $2.4 million for right-of-use operating lease assets and $2.4 million for fixed assets including leasehold improvements and fixtures, furniture and fixtures, and machinery and equipment. The charge is recorded in Store asset impairment within the Condensed Consolidated Statement of Operations and Comprehensive Income (Loss). These impairment charges were primarily driven by lower than projected revenues and the effect of store closures as a result of the COVID-19 pandemic. The majority of the impairment was recorded for assets associated with stores in North America. For the thirteen weeks ended May 4, 2019, the Company recorded impairment charges of $5.9 million on right-of-use assets into retained earnings as a result of the adoption of ASC 842 Leases.</w:t>
      </w:r>
    </w:p>
    <w:p>
      <w:pPr>
        <w:spacing w:after="0" w:line="182"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The determination of estimated market rent used in the fair value estimate of the Company’s operating lease assets included within the respective store asset group requires significant management judgment. Changes in these estimates could have a significant impact on whether long-lived store assets should be further evaluated for impairment and could have a significant impact on the resulting impairment charge. The significant estimates, all of which are considered Level 3 inputs, used in the fair value methodology include: the Company’s expectations for future operations and projected cash flows, including revenues, operating expenses, and market conditions.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modifications</w:t>
      </w:r>
    </w:p>
    <w:p>
      <w:pPr>
        <w:spacing w:after="0" w:line="225"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In April 2020, the FASB issued guidance indicating that entities may elect not to evaluate whether a concession provided by lessors is a lease modification. Under existing lease guidance, an entity would have to determine if a lease concession was the result of a new arrangement reached with the landlord, which would be accounted for under the lease modification framework, or if the concession was under the enforceable rights and obligations that existed in the original lease, which would be accounted for outside the lease modification framework. The FASB guidance provides entities with the option to elect to account for lease concessions as though the enforceable rights and obligations existed in the original lease. During the first quarter of 2020, the Company did not modify any leases as a result of the COVID-19 pandemic and as a result, the Company has not yet made a policy election with respect to lease modifications. Refer to Note 3 to the consolidated financial statements for further discussion regarding the Company's leases.</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2. Revenue</w:t>
      </w:r>
    </w:p>
    <w:p>
      <w:pPr>
        <w:spacing w:after="0" w:line="229" w:lineRule="exact"/>
        <w:rPr>
          <w:sz w:val="20"/>
          <w:szCs w:val="20"/>
          <w:color w:val="auto"/>
        </w:rPr>
      </w:pPr>
    </w:p>
    <w:p>
      <w:pPr>
        <w:ind w:left="20" w:firstLine="486"/>
        <w:spacing w:after="0" w:line="257" w:lineRule="auto"/>
        <w:rPr>
          <w:sz w:val="20"/>
          <w:szCs w:val="20"/>
          <w:color w:val="auto"/>
        </w:rPr>
      </w:pPr>
      <w:r>
        <w:rPr>
          <w:rFonts w:ascii="Arial" w:cs="Arial" w:eastAsia="Arial" w:hAnsi="Arial"/>
          <w:sz w:val="18"/>
          <w:szCs w:val="18"/>
          <w:color w:val="auto"/>
        </w:rPr>
        <w:t>Nearly all the Company’s revenue is derived from retail sales (including e-commerce sites) and is recognized when control of the merchandise is transferred to the customer. The Company's disaggregated revenue is fully disclosed as net sales to external customers by reporting segment and by geographic area (See Note 11 — Segment Information for additional information). The Company's direct-to-consumer reporting segment represents 98% of consolidated revenue for the first quarter fiscal 2020. The majority of these sales transactions are single performance obligations that are recorded when control is transferred to the customer.</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The following is a description of principal activities from which the Company generates its revenue, by reportable segment.</w:t>
      </w:r>
    </w:p>
    <w:p>
      <w:pPr>
        <w:spacing w:after="0" w:line="225" w:lineRule="exact"/>
        <w:rPr>
          <w:sz w:val="20"/>
          <w:szCs w:val="20"/>
          <w:color w:val="auto"/>
        </w:rPr>
      </w:pPr>
    </w:p>
    <w:p>
      <w:pPr>
        <w:ind w:left="20" w:right="100" w:firstLine="486"/>
        <w:spacing w:after="0" w:line="255" w:lineRule="auto"/>
        <w:rPr>
          <w:sz w:val="20"/>
          <w:szCs w:val="20"/>
          <w:color w:val="auto"/>
        </w:rPr>
      </w:pPr>
      <w:r>
        <w:rPr>
          <w:rFonts w:ascii="Arial" w:cs="Arial" w:eastAsia="Arial" w:hAnsi="Arial"/>
          <w:sz w:val="18"/>
          <w:szCs w:val="18"/>
          <w:color w:val="auto"/>
        </w:rPr>
        <w:t>The Company’s direct-to-consumer segment includes the operating activities of corporately-managed stores, other retail-delivered operations and online sales. Direct-to-consumer revenue is recognized when control of the merchandise is transferred to the customer and for the Company's online sales, generally upon delivery to the customer. Revenue is measured as the amount of consideration, including any discounts or incentives, the Company expects to receive in exchange for transferring the merchandise. Product returns have historically averaged less than one-half of one percent due to the interactive nature of sales, where consumers customize their own stuffed animal. The Company has elected to exclude from revenue all collected sales, value added and other taxes paid by its customers.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18" w:right="339" w:bottom="1440" w:gutter="0" w:footer="0" w:header="0"/>
        </w:sectPr>
      </w:pPr>
    </w:p>
    <w:bookmarkStart w:id="9" w:name="page10"/>
    <w:bookmarkEnd w:id="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For the Company’s gift cards, revenue is deferred for single transactions until redemption including any related gift card discounts. Historically, most gift card redemptions have occurred within three years of acquisition and approximately 75% of gift cards have been redeemed within the first twelve months. In addition, unredeemed gift cards or breakage revenue is recorded in proportion to the customer’s redemption period using an estimated breakage rate based on historical experience. For certain qualifying transactions, a portion of revenue transactions are deferred for the obligation related to the Company’s loyalty program or when a material right in the form of a future discount is granted. In these transactions, the transaction price is allocated to the separate performance obligations based on the relative standalone selling price. The standalone selling price for the points earned for the Company's loyalty program is estimated using the net retail value of the merchandise purchased, adjusted for estimated breakage based on historical redemption patterns. The revenue associated with the initial merchandise purchased is recognized immediately and the value assigned to the points is deferred until the points are redeemed, forfeited or expired. In regard to the consolidated balance sheet, contract liabilities for gift cards are classified as gift cards and customer deposits.</w:t>
      </w:r>
    </w:p>
    <w:p>
      <w:pPr>
        <w:spacing w:after="0" w:line="200" w:lineRule="exact"/>
        <w:rPr>
          <w:sz w:val="20"/>
          <w:szCs w:val="20"/>
          <w:color w:val="auto"/>
        </w:rPr>
      </w:pPr>
    </w:p>
    <w:p>
      <w:pPr>
        <w:spacing w:after="0" w:line="201" w:lineRule="exact"/>
        <w:rPr>
          <w:sz w:val="20"/>
          <w:szCs w:val="20"/>
          <w:color w:val="auto"/>
        </w:rPr>
      </w:pPr>
    </w:p>
    <w:p>
      <w:pPr>
        <w:ind w:right="120" w:firstLine="486"/>
        <w:spacing w:after="0" w:line="291" w:lineRule="auto"/>
        <w:rPr>
          <w:sz w:val="20"/>
          <w:szCs w:val="20"/>
          <w:color w:val="auto"/>
        </w:rPr>
      </w:pPr>
      <w:r>
        <w:rPr>
          <w:rFonts w:ascii="Arial" w:cs="Arial" w:eastAsia="Arial" w:hAnsi="Arial"/>
          <w:sz w:val="16"/>
          <w:szCs w:val="16"/>
          <w:color w:val="auto"/>
        </w:rPr>
        <w:t>The Company’s commercial segment includes transactions with other businesses and are mainly comprised of licensing the Company’s intellectual properties for third-party use and wholesale sales of merchandise, including supplies and fixtures. Revenue for wholesale sales is recognized when control of the merchandise or fixtures is transferred to the customer, which generally occurs upon delivery to the customer. The license agreements provide the customer with highly interrelated rights that are not distinct in the context of the contract and therefore, have been accounted for as a single performance obligation and recognized as licensee sales occur. If the contract includes a guaranteed minimum, the minimum guarantee is recognized on a straight-line basis over the guarantee term until such time as royalties earned through licensee sales exceed the minimum guarantee. The Company classifies these guaranteed minimum contract liabilities as deferred revenue on the consolidated balance sheet.</w:t>
      </w:r>
    </w:p>
    <w:p>
      <w:pPr>
        <w:spacing w:after="0" w:line="166" w:lineRule="exact"/>
        <w:rPr>
          <w:sz w:val="20"/>
          <w:szCs w:val="20"/>
          <w:color w:val="auto"/>
        </w:rPr>
      </w:pPr>
    </w:p>
    <w:p>
      <w:pPr>
        <w:ind w:right="120" w:firstLine="486"/>
        <w:spacing w:after="0" w:line="270" w:lineRule="auto"/>
        <w:rPr>
          <w:sz w:val="20"/>
          <w:szCs w:val="20"/>
          <w:color w:val="auto"/>
        </w:rPr>
      </w:pPr>
      <w:r>
        <w:rPr>
          <w:rFonts w:ascii="Arial" w:cs="Arial" w:eastAsia="Arial" w:hAnsi="Arial"/>
          <w:sz w:val="17"/>
          <w:szCs w:val="17"/>
          <w:color w:val="auto"/>
        </w:rPr>
        <w:t>The Company’s international franchising segment includes the activities with franchisees who operate store locations in certain countries and includes development fees, sales-based royalties and merchandise, including supplies and fixture sales. The Company's obligations under the franchise agreement are ongoing and include operations and product development support and training, generally concentrated around new store openings. These obligations are highly interrelated rights that are not distinct in the context of the contract and, therefore, have been accounted for as a single performance obligation and recognized as franchisee sales occur. If the contract includes an initial, one-time nonrefundable development fee, this fee is recognized on a straight-line basis over the term of the franchise agreement, which may extend for periods up to 25 years, or if the agreement is terminated prior to the end of the term. The Company classifies these initial, one-time nonrefundable franchise fee contract liabilities as deferred revenue on the consolidated balance sheet. Revenue from merchandise and fixture sales is recognized when control is transferred to the franchisee which generally occurs upon delivery to the customer.</w:t>
      </w:r>
    </w:p>
    <w:p>
      <w:pPr>
        <w:spacing w:after="0" w:line="181"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The Company also incurs expenses directly related to the startup of new franchises, including finder’s fees, legal and travel costs as well as expenses related to its ongoing support of the franchisees, predominantly travel and employee compensation. Accordingly, the Company’s policy is to capitalize the finder’s fee, an incremental cost, and expense all other costs as incurred. Additionally, the Company amortizes these capitalized costs into expense in the same pattern as the development fee's recording of revenue as described previously.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Leases</w:t>
      </w:r>
    </w:p>
    <w:p>
      <w:pPr>
        <w:spacing w:after="0" w:line="229"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The majority of the Company's leases relate to retail stores and corporate offices. For leases with terms greater than 12 months, the Company records the related asset and obligation at the present value of lease payments over the term. Most retail store leases have an original term of five to ten-year base period and include renewal options to extend the lease term beyond the initial base period and are typically much shorter than the original lease term giving the Company lease optionality. Some leases also include early termination options, which can be exercised under specific conditions. Additionally, the Company may operate stores for a period of time on a month-to-month basis after the expiration of the lease term. The Company's lease agreements do not contain any material residual value guarantees or material restrictive covenants. Additionally, certain leases contain incentives, such as construction allowances from landlords and/or rent abatements subsequent to taking possession of the leased property.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380" w:firstLine="486"/>
        <w:spacing w:after="0" w:line="277" w:lineRule="auto"/>
        <w:rPr>
          <w:sz w:val="20"/>
          <w:szCs w:val="20"/>
          <w:color w:val="auto"/>
        </w:rPr>
      </w:pPr>
      <w:r>
        <w:rPr>
          <w:rFonts w:ascii="Arial" w:cs="Arial" w:eastAsia="Arial" w:hAnsi="Arial"/>
          <w:sz w:val="18"/>
          <w:szCs w:val="18"/>
          <w:color w:val="auto"/>
        </w:rPr>
        <w:t>The table below presents certain information related to the lease costs for operating leases for the thirteen weeks ended May 2, 2020 and May 4, 2019 (in thousands).</w:t>
      </w:r>
    </w:p>
    <w:p>
      <w:pPr>
        <w:spacing w:after="0" w:line="166"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5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00" w:type="dxa"/>
            <w:vAlign w:val="bottom"/>
            <w:gridSpan w:val="5"/>
          </w:tcPr>
          <w:p>
            <w:pPr>
              <w:jc w:val="right"/>
              <w:ind w:right="840"/>
              <w:spacing w:after="0"/>
              <w:rPr>
                <w:sz w:val="20"/>
                <w:szCs w:val="20"/>
                <w:color w:val="auto"/>
              </w:rPr>
            </w:pPr>
            <w:r>
              <w:rPr>
                <w:rFonts w:ascii="Arial" w:cs="Arial" w:eastAsia="Arial" w:hAnsi="Arial"/>
                <w:sz w:val="18"/>
                <w:szCs w:val="18"/>
                <w:b w:val="1"/>
                <w:bCs w:val="1"/>
                <w:color w:val="auto"/>
              </w:rPr>
              <w:t>Thirteen weeks ended</w:t>
            </w:r>
          </w:p>
        </w:tc>
      </w:tr>
      <w:tr>
        <w:trPr>
          <w:trHeight w:val="234"/>
        </w:trPr>
        <w:tc>
          <w:tcPr>
            <w:tcW w:w="5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ind w:left="120"/>
              <w:spacing w:after="0"/>
              <w:rPr>
                <w:sz w:val="20"/>
                <w:szCs w:val="20"/>
                <w:color w:val="auto"/>
              </w:rPr>
            </w:pPr>
            <w:r>
              <w:rPr>
                <w:rFonts w:ascii="Arial" w:cs="Arial" w:eastAsia="Arial" w:hAnsi="Arial"/>
                <w:sz w:val="18"/>
                <w:szCs w:val="18"/>
                <w:b w:val="1"/>
                <w:bCs w:val="1"/>
                <w:color w:val="auto"/>
              </w:rPr>
              <w:t>May 2, 2020</w:t>
            </w:r>
          </w:p>
        </w:tc>
        <w:tc>
          <w:tcPr>
            <w:tcW w:w="200" w:type="dxa"/>
            <w:vAlign w:val="bottom"/>
          </w:tcPr>
          <w:p>
            <w:pPr>
              <w:spacing w:after="0"/>
              <w:rPr>
                <w:sz w:val="20"/>
                <w:szCs w:val="20"/>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May 4, 2019</w:t>
            </w:r>
          </w:p>
        </w:tc>
      </w:tr>
      <w:tr>
        <w:trPr>
          <w:trHeight w:val="209"/>
        </w:trPr>
        <w:tc>
          <w:tcPr>
            <w:tcW w:w="57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costs</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10,416</w:t>
            </w:r>
          </w:p>
        </w:tc>
      </w:tr>
      <w:tr>
        <w:trPr>
          <w:trHeight w:val="216"/>
        </w:trPr>
        <w:tc>
          <w:tcPr>
            <w:tcW w:w="5700" w:type="dxa"/>
            <w:vAlign w:val="bottom"/>
          </w:tcPr>
          <w:p>
            <w:pPr>
              <w:ind w:left="20"/>
              <w:spacing w:after="0"/>
              <w:rPr>
                <w:sz w:val="20"/>
                <w:szCs w:val="20"/>
                <w:color w:val="auto"/>
              </w:rPr>
            </w:pPr>
            <w:r>
              <w:rPr>
                <w:rFonts w:ascii="Arial" w:cs="Arial" w:eastAsia="Arial" w:hAnsi="Arial"/>
                <w:sz w:val="18"/>
                <w:szCs w:val="18"/>
                <w:color w:val="auto"/>
              </w:rPr>
              <w:t>Variable lease costs</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621</w:t>
            </w:r>
          </w:p>
        </w:tc>
      </w:tr>
      <w:tr>
        <w:trPr>
          <w:trHeight w:val="216"/>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 term lease costs</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387</w:t>
            </w:r>
          </w:p>
        </w:tc>
      </w:tr>
      <w:tr>
        <w:trPr>
          <w:trHeight w:val="20"/>
        </w:trPr>
        <w:tc>
          <w:tcPr>
            <w:tcW w:w="57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5700" w:type="dxa"/>
            <w:vAlign w:val="bottom"/>
          </w:tcPr>
          <w:p>
            <w:pPr>
              <w:ind w:left="180"/>
              <w:spacing w:after="0"/>
              <w:rPr>
                <w:sz w:val="20"/>
                <w:szCs w:val="20"/>
                <w:color w:val="auto"/>
              </w:rPr>
            </w:pPr>
            <w:r>
              <w:rPr>
                <w:rFonts w:ascii="Arial" w:cs="Arial" w:eastAsia="Arial" w:hAnsi="Arial"/>
                <w:sz w:val="18"/>
                <w:szCs w:val="18"/>
                <w:color w:val="auto"/>
              </w:rPr>
              <w:t>Total Operating Lease costs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10,018</w:t>
            </w:r>
          </w:p>
        </w:tc>
        <w:tc>
          <w:tcPr>
            <w:tcW w:w="1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11,424</w:t>
            </w:r>
          </w:p>
        </w:tc>
      </w:tr>
      <w:tr>
        <w:trPr>
          <w:trHeight w:val="20"/>
        </w:trPr>
        <w:tc>
          <w:tcPr>
            <w:tcW w:w="5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information</w:t>
      </w:r>
    </w:p>
    <w:p>
      <w:pPr>
        <w:spacing w:after="0" w:line="23" w:lineRule="exact"/>
        <w:rPr>
          <w:sz w:val="20"/>
          <w:szCs w:val="20"/>
          <w:color w:val="auto"/>
        </w:rPr>
      </w:pPr>
    </w:p>
    <w:p>
      <w:pPr>
        <w:ind w:right="560" w:firstLine="486"/>
        <w:spacing w:after="0" w:line="260" w:lineRule="auto"/>
        <w:rPr>
          <w:sz w:val="20"/>
          <w:szCs w:val="20"/>
          <w:color w:val="auto"/>
        </w:rPr>
      </w:pPr>
      <w:r>
        <w:rPr>
          <w:rFonts w:ascii="Arial" w:cs="Arial" w:eastAsia="Arial" w:hAnsi="Arial"/>
          <w:sz w:val="18"/>
          <w:szCs w:val="18"/>
          <w:color w:val="auto"/>
        </w:rPr>
        <w:t>The table below presents supplemental cash flow information related to leases for the thirteen weeks ended May 2, 2020 and May 4, 2019 (in thousands).</w:t>
      </w:r>
    </w:p>
    <w:p>
      <w:pPr>
        <w:spacing w:after="0" w:line="181"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3300" w:type="dxa"/>
            <w:vAlign w:val="bottom"/>
            <w:gridSpan w:val="4"/>
          </w:tcPr>
          <w:p>
            <w:pPr>
              <w:jc w:val="right"/>
              <w:ind w:right="840"/>
              <w:spacing w:after="0"/>
              <w:rPr>
                <w:sz w:val="20"/>
                <w:szCs w:val="20"/>
                <w:color w:val="auto"/>
              </w:rPr>
            </w:pPr>
            <w:r>
              <w:rPr>
                <w:rFonts w:ascii="Arial" w:cs="Arial" w:eastAsia="Arial" w:hAnsi="Arial"/>
                <w:sz w:val="18"/>
                <w:szCs w:val="18"/>
                <w:b w:val="1"/>
                <w:bCs w:val="1"/>
                <w:color w:val="auto"/>
              </w:rPr>
              <w:t>Thirteen weeks ended</w:t>
            </w:r>
          </w:p>
        </w:tc>
      </w:tr>
      <w:tr>
        <w:trPr>
          <w:trHeight w:val="234"/>
        </w:trPr>
        <w:tc>
          <w:tcPr>
            <w:tcW w:w="5680" w:type="dxa"/>
            <w:vAlign w:val="bottom"/>
          </w:tcPr>
          <w:p>
            <w:pPr>
              <w:spacing w:after="0"/>
              <w:rPr>
                <w:sz w:val="20"/>
                <w:szCs w:val="20"/>
                <w:color w:val="auto"/>
              </w:rPr>
            </w:pPr>
          </w:p>
        </w:tc>
        <w:tc>
          <w:tcPr>
            <w:tcW w:w="15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May 2, 2020</w:t>
            </w:r>
          </w:p>
        </w:tc>
        <w:tc>
          <w:tcPr>
            <w:tcW w:w="180" w:type="dxa"/>
            <w:vAlign w:val="bottom"/>
          </w:tcPr>
          <w:p>
            <w:pPr>
              <w:spacing w:after="0"/>
              <w:rPr>
                <w:sz w:val="20"/>
                <w:szCs w:val="20"/>
                <w:color w:val="auto"/>
              </w:rPr>
            </w:pPr>
          </w:p>
        </w:tc>
        <w:tc>
          <w:tcPr>
            <w:tcW w:w="15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May 4, 2019</w:t>
            </w:r>
          </w:p>
        </w:tc>
        <w:tc>
          <w:tcPr>
            <w:tcW w:w="80" w:type="dxa"/>
            <w:vAlign w:val="bottom"/>
          </w:tcPr>
          <w:p>
            <w:pPr>
              <w:spacing w:after="0"/>
              <w:rPr>
                <w:sz w:val="20"/>
                <w:szCs w:val="20"/>
                <w:color w:val="auto"/>
              </w:rPr>
            </w:pPr>
          </w:p>
        </w:tc>
      </w:tr>
      <w:tr>
        <w:trPr>
          <w:trHeight w:val="21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cash flows for operating leases</w:t>
            </w: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7,455</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11,199</w:t>
            </w:r>
          </w:p>
        </w:tc>
      </w:tr>
    </w:tbl>
    <w:p>
      <w:pPr>
        <w:spacing w:after="0" w:line="202" w:lineRule="exact"/>
        <w:rPr>
          <w:sz w:val="20"/>
          <w:szCs w:val="20"/>
          <w:color w:val="auto"/>
        </w:rPr>
      </w:pPr>
    </w:p>
    <w:p>
      <w:pPr>
        <w:ind w:right="640" w:firstLine="486"/>
        <w:spacing w:after="0" w:line="342" w:lineRule="auto"/>
        <w:rPr>
          <w:sz w:val="20"/>
          <w:szCs w:val="20"/>
          <w:color w:val="auto"/>
        </w:rPr>
      </w:pPr>
      <w:r>
        <w:rPr>
          <w:rFonts w:ascii="Arial" w:cs="Arial" w:eastAsia="Arial" w:hAnsi="Arial"/>
          <w:sz w:val="16"/>
          <w:szCs w:val="16"/>
          <w:color w:val="auto"/>
        </w:rPr>
        <w:t>As of May 2, 2020 and May 4, 2019, the weighted-average remaining operating lease term was 5.6 years and 6.4 years, respectively, and the weighted-average discount rate was 6.1% and 5.9%, respectively, for operating leases recognized on our Condensed Consolidated Balance Sheets.</w:t>
      </w:r>
    </w:p>
    <w:p>
      <w:pPr>
        <w:spacing w:after="0" w:line="124"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As discussed above, the Company incurred impairment charges during the thirteen week period ending May 2, 2020, of $2.4 million against right-of-use operating lease assets.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Undiscounted cash flows</w:t>
      </w:r>
    </w:p>
    <w:p>
      <w:pPr>
        <w:spacing w:after="0" w:line="23" w:lineRule="exact"/>
        <w:rPr>
          <w:sz w:val="20"/>
          <w:szCs w:val="20"/>
          <w:color w:val="auto"/>
        </w:rPr>
      </w:pPr>
    </w:p>
    <w:p>
      <w:pPr>
        <w:ind w:left="500" w:right="660"/>
        <w:spacing w:after="0" w:line="260" w:lineRule="auto"/>
        <w:rPr>
          <w:sz w:val="20"/>
          <w:szCs w:val="20"/>
          <w:color w:val="auto"/>
        </w:rPr>
      </w:pPr>
      <w:r>
        <w:rPr>
          <w:rFonts w:ascii="Arial" w:cs="Arial" w:eastAsia="Arial" w:hAnsi="Arial"/>
          <w:sz w:val="18"/>
          <w:szCs w:val="18"/>
          <w:color w:val="auto"/>
        </w:rPr>
        <w:t>The table below reconciles the undiscounted cash flows for each of the first five years and total of the remaining years to the operating lease liabilities recorded on the balance sheet (in thousands).</w:t>
      </w:r>
    </w:p>
    <w:p>
      <w:pPr>
        <w:spacing w:after="0" w:line="181"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7380" w:type="dxa"/>
            <w:vAlign w:val="bottom"/>
            <w:tcBorders>
              <w:bottom w:val="single" w:sz="8" w:color="auto"/>
            </w:tcBorders>
          </w:tcPr>
          <w:p>
            <w:pPr>
              <w:ind w:left="2980"/>
              <w:spacing w:after="0"/>
              <w:rPr>
                <w:sz w:val="20"/>
                <w:szCs w:val="20"/>
                <w:color w:val="auto"/>
              </w:rPr>
            </w:pPr>
            <w:r>
              <w:rPr>
                <w:rFonts w:ascii="Arial" w:cs="Arial" w:eastAsia="Arial" w:hAnsi="Arial"/>
                <w:sz w:val="18"/>
                <w:szCs w:val="18"/>
                <w:b w:val="1"/>
                <w:bCs w:val="1"/>
                <w:color w:val="auto"/>
              </w:rPr>
              <w:t>Operating Leases</w:t>
            </w:r>
          </w:p>
        </w:tc>
        <w:tc>
          <w:tcPr>
            <w:tcW w:w="5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r>
      <w:tr>
        <w:trPr>
          <w:trHeight w:val="210"/>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31,859</w:t>
            </w: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2021</w:t>
            </w:r>
          </w:p>
        </w:tc>
        <w:tc>
          <w:tcPr>
            <w:tcW w:w="5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34,065</w:t>
            </w:r>
          </w:p>
        </w:tc>
      </w:t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29,829</w:t>
            </w: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2023</w:t>
            </w:r>
          </w:p>
        </w:tc>
        <w:tc>
          <w:tcPr>
            <w:tcW w:w="5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25,424</w:t>
            </w:r>
          </w:p>
        </w:tc>
      </w:t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21,480</w:t>
            </w: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5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35,759</w:t>
            </w:r>
          </w:p>
        </w:tc>
      </w:tr>
      <w:tr>
        <w:trPr>
          <w:trHeight w:val="20"/>
        </w:trPr>
        <w:tc>
          <w:tcPr>
            <w:tcW w:w="73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7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minimum lease payments</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178,416</w:t>
            </w: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Less: amount of lease payments representing interest</w:t>
            </w:r>
          </w:p>
        </w:tc>
        <w:tc>
          <w:tcPr>
            <w:tcW w:w="5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(27,037)</w:t>
            </w:r>
          </w:p>
        </w:tc>
      </w:tr>
      <w:tr>
        <w:trPr>
          <w:trHeight w:val="20"/>
        </w:trPr>
        <w:tc>
          <w:tcPr>
            <w:tcW w:w="73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7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Present value of future minimum lease payments</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151,379</w:t>
            </w: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Less: current obligations under leases</w:t>
            </w:r>
          </w:p>
        </w:tc>
        <w:tc>
          <w:tcPr>
            <w:tcW w:w="5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(32,963)</w:t>
            </w:r>
          </w:p>
        </w:tc>
      </w:tr>
      <w:tr>
        <w:trPr>
          <w:trHeight w:val="20"/>
        </w:trPr>
        <w:tc>
          <w:tcPr>
            <w:tcW w:w="73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7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lease obligations</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118,416</w:t>
            </w:r>
          </w:p>
        </w:tc>
      </w:tr>
      <w:tr>
        <w:trPr>
          <w:trHeight w:val="20"/>
        </w:trPr>
        <w:tc>
          <w:tcPr>
            <w:tcW w:w="73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of May 2, 2020, the Company has additional executed leases that have not yet commenced with operating lease liabilities of $1.4 million. These leases will commence in 2020 with lease terms ranging from two to five years.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Prepaid Expenses and Other Current Assets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Prepaid expenses and other current assets consist of the following (in thousands):</w:t>
      </w:r>
    </w:p>
    <w:p>
      <w:pPr>
        <w:spacing w:after="0" w:line="221"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May 2,</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February 1,</w:t>
            </w:r>
          </w:p>
        </w:tc>
        <w:tc>
          <w:tcPr>
            <w:tcW w:w="30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May 4,</w:t>
            </w:r>
          </w:p>
        </w:tc>
      </w:tr>
      <w:tr>
        <w:trPr>
          <w:trHeight w:val="234"/>
        </w:trPr>
        <w:tc>
          <w:tcPr>
            <w:tcW w:w="4500" w:type="dxa"/>
            <w:vAlign w:val="bottom"/>
          </w:tcPr>
          <w:p>
            <w:pPr>
              <w:spacing w:after="0"/>
              <w:rPr>
                <w:sz w:val="20"/>
                <w:szCs w:val="20"/>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2020</w:t>
            </w:r>
          </w:p>
        </w:tc>
        <w:tc>
          <w:tcPr>
            <w:tcW w:w="4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r>
      <w:tr>
        <w:trPr>
          <w:trHeight w:val="210"/>
        </w:trPr>
        <w:tc>
          <w:tcPr>
            <w:tcW w:w="4500" w:type="dxa"/>
            <w:vAlign w:val="bottom"/>
            <w:shd w:val="clear" w:color="auto" w:fill="CCEEFF"/>
          </w:tcPr>
          <w:p>
            <w:pPr>
              <w:ind w:left="20"/>
              <w:spacing w:after="0" w:line="210" w:lineRule="exact"/>
              <w:rPr>
                <w:sz w:val="20"/>
                <w:szCs w:val="20"/>
                <w:color w:val="auto"/>
              </w:rPr>
            </w:pPr>
            <w:r>
              <w:rPr>
                <w:rFonts w:ascii="Arial" w:cs="Arial" w:eastAsia="Arial" w:hAnsi="Arial"/>
                <w:sz w:val="15"/>
                <w:szCs w:val="15"/>
                <w:color w:val="auto"/>
              </w:rPr>
              <w:t xml:space="preserve">Prepaid occupancy </w:t>
            </w:r>
            <w:r>
              <w:rPr>
                <w:rFonts w:ascii="Arial" w:cs="Arial" w:eastAsia="Arial" w:hAnsi="Arial"/>
                <w:sz w:val="24"/>
                <w:szCs w:val="24"/>
                <w:color w:val="auto"/>
                <w:vertAlign w:val="superscript"/>
              </w:rPr>
              <w:t>(1)</w:t>
            </w:r>
          </w:p>
        </w:tc>
        <w:tc>
          <w:tcPr>
            <w:tcW w:w="10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1,097</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2,860</w:t>
            </w:r>
          </w:p>
        </w:tc>
      </w:tr>
      <w:tr>
        <w:trPr>
          <w:trHeight w:val="216"/>
        </w:trPr>
        <w:tc>
          <w:tcPr>
            <w:tcW w:w="4500" w:type="dxa"/>
            <w:vAlign w:val="bottom"/>
          </w:tcPr>
          <w:p>
            <w:pPr>
              <w:ind w:left="20"/>
              <w:spacing w:after="0"/>
              <w:rPr>
                <w:sz w:val="20"/>
                <w:szCs w:val="20"/>
                <w:color w:val="auto"/>
              </w:rPr>
            </w:pPr>
            <w:r>
              <w:rPr>
                <w:rFonts w:ascii="Arial" w:cs="Arial" w:eastAsia="Arial" w:hAnsi="Arial"/>
                <w:sz w:val="18"/>
                <w:szCs w:val="18"/>
                <w:color w:val="auto"/>
              </w:rPr>
              <w:t>Prepaid income taxes</w:t>
            </w:r>
          </w:p>
        </w:tc>
        <w:tc>
          <w:tcPr>
            <w:tcW w:w="10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239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164</w:t>
            </w:r>
          </w:p>
        </w:tc>
        <w:tc>
          <w:tcPr>
            <w:tcW w:w="30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515</w:t>
            </w:r>
          </w:p>
        </w:tc>
      </w:tr>
      <w:tr>
        <w:trPr>
          <w:trHeight w:val="216"/>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insurance</w:t>
            </w:r>
          </w:p>
        </w:tc>
        <w:tc>
          <w:tcPr>
            <w:tcW w:w="108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628</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w:t>
            </w:r>
          </w:p>
        </w:tc>
      </w:tr>
      <w:tr>
        <w:trPr>
          <w:trHeight w:val="216"/>
        </w:trPr>
        <w:tc>
          <w:tcPr>
            <w:tcW w:w="4500" w:type="dxa"/>
            <w:vAlign w:val="bottom"/>
          </w:tcPr>
          <w:p>
            <w:pPr>
              <w:ind w:left="20"/>
              <w:spacing w:after="0"/>
              <w:rPr>
                <w:sz w:val="20"/>
                <w:szCs w:val="20"/>
                <w:color w:val="auto"/>
              </w:rPr>
            </w:pPr>
            <w:r>
              <w:rPr>
                <w:rFonts w:ascii="Arial" w:cs="Arial" w:eastAsia="Arial" w:hAnsi="Arial"/>
                <w:sz w:val="18"/>
                <w:szCs w:val="18"/>
                <w:color w:val="auto"/>
              </w:rPr>
              <w:t>Prepaid gift card fees</w:t>
            </w:r>
          </w:p>
        </w:tc>
        <w:tc>
          <w:tcPr>
            <w:tcW w:w="10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1,266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1,413</w:t>
            </w:r>
          </w:p>
        </w:tc>
        <w:tc>
          <w:tcPr>
            <w:tcW w:w="30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1,251</w:t>
            </w:r>
          </w:p>
        </w:tc>
      </w:tr>
      <w:tr>
        <w:trPr>
          <w:trHeight w:val="216"/>
        </w:trPr>
        <w:tc>
          <w:tcPr>
            <w:tcW w:w="45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5"/>
                <w:szCs w:val="25"/>
                <w:color w:val="auto"/>
                <w:vertAlign w:val="superscript"/>
              </w:rPr>
              <w:t>(2)</w:t>
            </w:r>
          </w:p>
        </w:tc>
        <w:tc>
          <w:tcPr>
            <w:tcW w:w="108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3,646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3,815</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3,785</w:t>
            </w:r>
          </w:p>
        </w:tc>
      </w:tr>
      <w:tr>
        <w:trPr>
          <w:trHeight w:val="20"/>
        </w:trPr>
        <w:tc>
          <w:tcPr>
            <w:tcW w:w="450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4500" w:type="dxa"/>
            <w:vAlign w:val="bottom"/>
          </w:tcPr>
          <w:p>
            <w:pPr>
              <w:ind w:left="180"/>
              <w:spacing w:after="0"/>
              <w:rPr>
                <w:sz w:val="20"/>
                <w:szCs w:val="20"/>
                <w:color w:val="auto"/>
              </w:rPr>
            </w:pPr>
            <w:r>
              <w:rPr>
                <w:rFonts w:ascii="Arial" w:cs="Arial" w:eastAsia="Arial" w:hAnsi="Arial"/>
                <w:sz w:val="18"/>
                <w:szCs w:val="18"/>
                <w:color w:val="auto"/>
              </w:rPr>
              <w:t>Total</w:t>
            </w:r>
          </w:p>
        </w:tc>
        <w:tc>
          <w:tcPr>
            <w:tcW w:w="1080" w:type="dxa"/>
            <w:vAlign w:val="bottom"/>
          </w:tcPr>
          <w:p>
            <w:pPr>
              <w:jc w:val="right"/>
              <w:ind w:right="89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5,896</w:t>
            </w:r>
          </w:p>
        </w:tc>
        <w:tc>
          <w:tcPr>
            <w:tcW w:w="1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7,117</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8,541</w:t>
            </w:r>
          </w:p>
        </w:tc>
      </w:tr>
      <w:tr>
        <w:trPr>
          <w:trHeight w:val="20"/>
        </w:trPr>
        <w:tc>
          <w:tcPr>
            <w:tcW w:w="45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920" w:hanging="35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Prepaid occupancy consists of prepaid expenses related to non-lease components.</w:t>
      </w:r>
    </w:p>
    <w:p>
      <w:pPr>
        <w:spacing w:after="0" w:line="23" w:lineRule="exact"/>
        <w:rPr>
          <w:rFonts w:ascii="Arial" w:cs="Arial" w:eastAsia="Arial" w:hAnsi="Arial"/>
          <w:sz w:val="18"/>
          <w:szCs w:val="18"/>
          <w:color w:val="auto"/>
        </w:rPr>
      </w:pPr>
    </w:p>
    <w:p>
      <w:pPr>
        <w:ind w:left="920" w:hanging="35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Other consists primarily of prepaid expense related to IT maintenance contracts and software as a service.</w:t>
      </w:r>
    </w:p>
    <w:p>
      <w:pPr>
        <w:spacing w:after="0" w:line="200" w:lineRule="exact"/>
        <w:rPr>
          <w:rFonts w:ascii="Arial" w:cs="Arial" w:eastAsia="Arial" w:hAnsi="Arial"/>
          <w:sz w:val="18"/>
          <w:szCs w:val="18"/>
          <w:color w:val="auto"/>
        </w:rPr>
      </w:pPr>
    </w:p>
    <w:p>
      <w:pPr>
        <w:spacing w:after="0" w:line="249" w:lineRule="exact"/>
        <w:rPr>
          <w:rFonts w:ascii="Arial" w:cs="Arial" w:eastAsia="Arial" w:hAnsi="Arial"/>
          <w:sz w:val="18"/>
          <w:szCs w:val="18"/>
          <w:color w:val="auto"/>
        </w:rPr>
      </w:pPr>
    </w:p>
    <w:p>
      <w:pPr>
        <w:ind w:left="180" w:hanging="172"/>
        <w:spacing w:after="0"/>
        <w:tabs>
          <w:tab w:leader="none" w:pos="1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680" w:type="dxa"/>
            <w:vAlign w:val="bottom"/>
            <w:gridSpan w:val="2"/>
          </w:tcPr>
          <w:p>
            <w:pPr>
              <w:spacing w:after="0"/>
              <w:rPr>
                <w:sz w:val="20"/>
                <w:szCs w:val="20"/>
                <w:color w:val="auto"/>
              </w:rPr>
            </w:pPr>
            <w:r>
              <w:rPr>
                <w:rFonts w:ascii="Arial" w:cs="Arial" w:eastAsia="Arial" w:hAnsi="Arial"/>
                <w:sz w:val="18"/>
                <w:szCs w:val="18"/>
                <w:color w:val="auto"/>
              </w:rPr>
              <w:t>Accrued expenses consist of the following (in thousands):</w:t>
            </w:r>
          </w:p>
        </w:tc>
        <w:tc>
          <w:tcPr>
            <w:tcW w:w="10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1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May 2,</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February 1,</w:t>
            </w:r>
          </w:p>
        </w:tc>
        <w:tc>
          <w:tcPr>
            <w:tcW w:w="300" w:type="dxa"/>
            <w:vAlign w:val="bottom"/>
          </w:tcPr>
          <w:p>
            <w:pPr>
              <w:spacing w:after="0"/>
              <w:rPr>
                <w:sz w:val="24"/>
                <w:szCs w:val="2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May 4,</w:t>
            </w:r>
          </w:p>
        </w:tc>
      </w:tr>
      <w:tr>
        <w:trPr>
          <w:trHeight w:val="234"/>
        </w:trPr>
        <w:tc>
          <w:tcPr>
            <w:tcW w:w="18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2020</w:t>
            </w:r>
          </w:p>
        </w:tc>
        <w:tc>
          <w:tcPr>
            <w:tcW w:w="4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r>
      <w:tr>
        <w:trPr>
          <w:trHeight w:val="209"/>
        </w:trPr>
        <w:tc>
          <w:tcPr>
            <w:tcW w:w="180" w:type="dxa"/>
            <w:vAlign w:val="bottom"/>
          </w:tcPr>
          <w:p>
            <w:pPr>
              <w:spacing w:after="0"/>
              <w:rPr>
                <w:sz w:val="18"/>
                <w:szCs w:val="18"/>
                <w:color w:val="auto"/>
              </w:rPr>
            </w:pPr>
          </w:p>
        </w:tc>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wages, bonuses and related expenses</w:t>
            </w: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9,145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13,373</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4,897</w:t>
            </w:r>
          </w:p>
        </w:tc>
      </w:tr>
      <w:tr>
        <w:trPr>
          <w:trHeight w:val="216"/>
        </w:trPr>
        <w:tc>
          <w:tcPr>
            <w:tcW w:w="180" w:type="dxa"/>
            <w:vAlign w:val="bottom"/>
          </w:tcPr>
          <w:p>
            <w:pPr>
              <w:spacing w:after="0"/>
              <w:rPr>
                <w:sz w:val="18"/>
                <w:szCs w:val="18"/>
                <w:color w:val="auto"/>
              </w:rPr>
            </w:pPr>
          </w:p>
        </w:tc>
        <w:tc>
          <w:tcPr>
            <w:tcW w:w="4500" w:type="dxa"/>
            <w:vAlign w:val="bottom"/>
          </w:tcPr>
          <w:p>
            <w:pPr>
              <w:ind w:left="20"/>
              <w:spacing w:after="0"/>
              <w:rPr>
                <w:sz w:val="20"/>
                <w:szCs w:val="20"/>
                <w:color w:val="auto"/>
              </w:rPr>
            </w:pPr>
            <w:r>
              <w:rPr>
                <w:rFonts w:ascii="Arial" w:cs="Arial" w:eastAsia="Arial" w:hAnsi="Arial"/>
                <w:sz w:val="18"/>
                <w:szCs w:val="18"/>
                <w:color w:val="auto"/>
              </w:rPr>
              <w:t>Sales and value added taxes payable</w:t>
            </w:r>
          </w:p>
        </w:tc>
        <w:tc>
          <w:tcPr>
            <w:tcW w:w="104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1,084</w:t>
            </w:r>
          </w:p>
        </w:tc>
        <w:tc>
          <w:tcPr>
            <w:tcW w:w="20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1,489</w:t>
            </w:r>
          </w:p>
        </w:tc>
        <w:tc>
          <w:tcPr>
            <w:tcW w:w="30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1,487</w:t>
            </w:r>
          </w:p>
        </w:tc>
      </w:tr>
      <w:tr>
        <w:trPr>
          <w:trHeight w:val="216"/>
        </w:trPr>
        <w:tc>
          <w:tcPr>
            <w:tcW w:w="180" w:type="dxa"/>
            <w:vAlign w:val="bottom"/>
          </w:tcPr>
          <w:p>
            <w:pPr>
              <w:spacing w:after="0"/>
              <w:rPr>
                <w:sz w:val="18"/>
                <w:szCs w:val="18"/>
                <w:color w:val="auto"/>
              </w:rPr>
            </w:pPr>
          </w:p>
        </w:tc>
        <w:tc>
          <w:tcPr>
            <w:tcW w:w="45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Accrued rent and related expenses </w:t>
            </w:r>
            <w:r>
              <w:rPr>
                <w:rFonts w:ascii="Arial" w:cs="Arial" w:eastAsia="Arial" w:hAnsi="Arial"/>
                <w:sz w:val="25"/>
                <w:szCs w:val="25"/>
                <w:color w:val="auto"/>
                <w:vertAlign w:val="superscript"/>
              </w:rPr>
              <w:t>(1)</w:t>
            </w:r>
          </w:p>
        </w:tc>
        <w:tc>
          <w:tcPr>
            <w:tcW w:w="10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726</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845</w:t>
            </w:r>
          </w:p>
        </w:tc>
      </w:tr>
      <w:tr>
        <w:trPr>
          <w:trHeight w:val="216"/>
        </w:trPr>
        <w:tc>
          <w:tcPr>
            <w:tcW w:w="180" w:type="dxa"/>
            <w:vAlign w:val="bottom"/>
          </w:tcPr>
          <w:p>
            <w:pPr>
              <w:spacing w:after="0"/>
              <w:rPr>
                <w:sz w:val="18"/>
                <w:szCs w:val="18"/>
                <w:color w:val="auto"/>
              </w:rPr>
            </w:pPr>
          </w:p>
        </w:tc>
        <w:tc>
          <w:tcPr>
            <w:tcW w:w="4500" w:type="dxa"/>
            <w:vAlign w:val="bottom"/>
          </w:tcPr>
          <w:p>
            <w:pPr>
              <w:ind w:left="20"/>
              <w:spacing w:after="0"/>
              <w:rPr>
                <w:sz w:val="20"/>
                <w:szCs w:val="20"/>
                <w:color w:val="auto"/>
              </w:rPr>
            </w:pPr>
            <w:r>
              <w:rPr>
                <w:rFonts w:ascii="Arial" w:cs="Arial" w:eastAsia="Arial" w:hAnsi="Arial"/>
                <w:sz w:val="18"/>
                <w:szCs w:val="18"/>
                <w:color w:val="auto"/>
              </w:rPr>
              <w:t>Current income taxes payable</w:t>
            </w:r>
          </w:p>
        </w:tc>
        <w:tc>
          <w:tcPr>
            <w:tcW w:w="104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97</w:t>
            </w:r>
          </w:p>
        </w:tc>
        <w:tc>
          <w:tcPr>
            <w:tcW w:w="20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948</w:t>
            </w:r>
          </w:p>
        </w:tc>
        <w:tc>
          <w:tcPr>
            <w:tcW w:w="30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556</w:t>
            </w:r>
          </w:p>
        </w:tc>
      </w:tr>
      <w:tr>
        <w:trPr>
          <w:trHeight w:val="20"/>
        </w:trPr>
        <w:tc>
          <w:tcPr>
            <w:tcW w:w="1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180" w:type="dxa"/>
            <w:vAlign w:val="bottom"/>
          </w:tcPr>
          <w:p>
            <w:pPr>
              <w:spacing w:after="0"/>
              <w:rPr>
                <w:sz w:val="19"/>
                <w:szCs w:val="19"/>
                <w:color w:val="auto"/>
              </w:rPr>
            </w:pPr>
          </w:p>
        </w:tc>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10,395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16,536</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7,785</w:t>
            </w:r>
          </w:p>
        </w:tc>
      </w:tr>
      <w:tr>
        <w:trPr>
          <w:trHeight w:val="20"/>
        </w:trPr>
        <w:tc>
          <w:tcPr>
            <w:tcW w:w="180" w:type="dxa"/>
            <w:vAlign w:val="bottom"/>
          </w:tcPr>
          <w:p>
            <w:pPr>
              <w:spacing w:after="0" w:line="20" w:lineRule="exact"/>
              <w:rPr>
                <w:sz w:val="1"/>
                <w:szCs w:val="1"/>
                <w:color w:val="auto"/>
              </w:rPr>
            </w:pPr>
          </w:p>
        </w:tc>
        <w:tc>
          <w:tcPr>
            <w:tcW w:w="45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920" w:hanging="359"/>
        <w:spacing w:after="0"/>
        <w:tabs>
          <w:tab w:leader="none" w:pos="920" w:val="left"/>
        </w:tabs>
        <w:numPr>
          <w:ilvl w:val="1"/>
          <w:numId w:val="7"/>
        </w:numPr>
        <w:rPr>
          <w:rFonts w:ascii="Arial" w:cs="Arial" w:eastAsia="Arial" w:hAnsi="Arial"/>
          <w:sz w:val="18"/>
          <w:szCs w:val="18"/>
          <w:color w:val="auto"/>
        </w:rPr>
      </w:pPr>
      <w:r>
        <w:rPr>
          <w:rFonts w:ascii="Arial" w:cs="Arial" w:eastAsia="Arial" w:hAnsi="Arial"/>
          <w:sz w:val="18"/>
          <w:szCs w:val="18"/>
          <w:color w:val="auto"/>
        </w:rPr>
        <w:t>Accrued rent and related expenses consist of accrued costs associated with non-lease components.</w:t>
      </w:r>
    </w:p>
    <w:p>
      <w:pPr>
        <w:spacing w:after="0" w:line="200" w:lineRule="exact"/>
        <w:rPr>
          <w:rFonts w:ascii="Arial" w:cs="Arial" w:eastAsia="Arial" w:hAnsi="Arial"/>
          <w:sz w:val="18"/>
          <w:szCs w:val="18"/>
          <w:color w:val="auto"/>
        </w:rPr>
      </w:pPr>
    </w:p>
    <w:p>
      <w:pPr>
        <w:spacing w:after="0" w:line="264" w:lineRule="exact"/>
        <w:rPr>
          <w:rFonts w:ascii="Arial" w:cs="Arial" w:eastAsia="Arial" w:hAnsi="Arial"/>
          <w:sz w:val="18"/>
          <w:szCs w:val="18"/>
          <w:color w:val="auto"/>
        </w:rPr>
      </w:pPr>
    </w:p>
    <w:p>
      <w:pPr>
        <w:ind w:left="180" w:hanging="172"/>
        <w:spacing w:after="0"/>
        <w:tabs>
          <w:tab w:leader="none" w:pos="1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On March 14, 2017, the Company’s Board of Directors (the “Board”) adopted, subject to stockholder approval, the Build-A-Bear Workshop, Inc. 2017 Omnibus Incentive Plan (the “2017 Plan”). On May 11, 2017, at the Company’s 2017 Annual Meeting of Stockholders, the Company’s stockholders approved the 2017 Plan. The 2017 Plan, which is administered by the Compensation and Development Committee of the Board, permits the grant of stock options (including both incentive and non-qualified stock options), stock appreciation rights, restricted stock, cash and other stock-based awards, some of which may be performance-based pursuant to the terms of the 2017 Plan. The Board may amend, modify or terminate the 2017 Plan at any time, except as otherwise provided in the 2017 Plan. The 2017 Plan will terminate on March 14, 2027, unless earlier terminated by the Board. The number of shares of the Company’s common stock authorized for issuance under the 2017 Plan is 1,000,000, plus shares of stock subject to outstanding awards made under the Company's Third Amended and Restated 2004 Stock Incentive Plan that on or after March 21, 2017 may be forfeited, expire or be settled for cash.</w:t>
      </w:r>
    </w:p>
    <w:p>
      <w:pPr>
        <w:spacing w:after="0" w:line="165"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For the thirteen weeks ended May 2, 2020 and May 4, 2019, Selling, general and administrative expense included $0.3 million and $0.7 million, respectively, of stock-based compensation expense. As of May 2, 2020, there was $2.4 million of total unrecognized compensation expense related to unvested restricted stock and option awards which is expected to be recognized over a weighted-average period of 1.2 years.</w:t>
      </w:r>
    </w:p>
    <w:p>
      <w:pPr>
        <w:spacing w:after="0" w:line="1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12" w:name="page13"/>
    <w:bookmarkEnd w:id="1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540" w:type="dxa"/>
            <w:vAlign w:val="bottom"/>
            <w:gridSpan w:val="4"/>
          </w:tcPr>
          <w:p>
            <w:pPr>
              <w:jc w:val="right"/>
              <w:ind w:right="10"/>
              <w:spacing w:after="0"/>
              <w:rPr>
                <w:sz w:val="20"/>
                <w:szCs w:val="20"/>
                <w:color w:val="auto"/>
              </w:rPr>
            </w:pPr>
            <w:r>
              <w:rPr>
                <w:rFonts w:ascii="Arial" w:cs="Arial" w:eastAsia="Arial" w:hAnsi="Arial"/>
                <w:sz w:val="18"/>
                <w:szCs w:val="18"/>
                <w:color w:val="auto"/>
                <w:w w:val="97"/>
              </w:rPr>
              <w:t>The following table is a summary of the balances and activity for stock options for the thirteen weeks ended May 2, 2020:</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320" w:type="dxa"/>
            <w:vAlign w:val="bottom"/>
          </w:tcPr>
          <w:p>
            <w:pPr>
              <w:spacing w:after="0"/>
              <w:rPr>
                <w:sz w:val="24"/>
                <w:szCs w:val="24"/>
                <w:color w:val="auto"/>
              </w:rPr>
            </w:pPr>
          </w:p>
        </w:tc>
        <w:tc>
          <w:tcPr>
            <w:tcW w:w="2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Options</w:t>
            </w:r>
          </w:p>
        </w:tc>
        <w:tc>
          <w:tcPr>
            <w:tcW w:w="1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73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jc w:val="right"/>
              <w:ind w:right="110"/>
              <w:spacing w:after="0" w:line="191" w:lineRule="exact"/>
              <w:rPr>
                <w:sz w:val="20"/>
                <w:szCs w:val="20"/>
                <w:color w:val="auto"/>
              </w:rPr>
            </w:pPr>
            <w:r>
              <w:rPr>
                <w:rFonts w:ascii="Arial" w:cs="Arial" w:eastAsia="Arial" w:hAnsi="Arial"/>
                <w:sz w:val="18"/>
                <w:szCs w:val="18"/>
                <w:b w:val="1"/>
                <w:bCs w:val="1"/>
                <w:color w:val="auto"/>
                <w:w w:val="87"/>
              </w:rPr>
              <w:t>Weighted Average</w:t>
            </w:r>
          </w:p>
        </w:tc>
        <w:tc>
          <w:tcPr>
            <w:tcW w:w="100" w:type="dxa"/>
            <w:vAlign w:val="bottom"/>
          </w:tcPr>
          <w:p>
            <w:pPr>
              <w:spacing w:after="0"/>
              <w:rPr>
                <w:sz w:val="16"/>
                <w:szCs w:val="16"/>
                <w:color w:val="auto"/>
              </w:rPr>
            </w:pPr>
          </w:p>
        </w:tc>
      </w:tr>
      <w:tr>
        <w:trPr>
          <w:trHeight w:val="234"/>
        </w:trPr>
        <w:tc>
          <w:tcPr>
            <w:tcW w:w="7320" w:type="dxa"/>
            <w:vAlign w:val="bottom"/>
          </w:tcPr>
          <w:p>
            <w:pPr>
              <w:spacing w:after="0"/>
              <w:rPr>
                <w:sz w:val="20"/>
                <w:szCs w:val="20"/>
                <w:color w:val="auto"/>
              </w:rPr>
            </w:pPr>
          </w:p>
        </w:tc>
        <w:tc>
          <w:tcPr>
            <w:tcW w:w="18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Exercise Price</w:t>
            </w:r>
          </w:p>
        </w:tc>
        <w:tc>
          <w:tcPr>
            <w:tcW w:w="100" w:type="dxa"/>
            <w:vAlign w:val="bottom"/>
          </w:tcPr>
          <w:p>
            <w:pPr>
              <w:spacing w:after="0"/>
              <w:rPr>
                <w:sz w:val="20"/>
                <w:szCs w:val="20"/>
                <w:color w:val="auto"/>
              </w:rPr>
            </w:pPr>
          </w:p>
        </w:tc>
      </w:tr>
      <w:tr>
        <w:trPr>
          <w:trHeight w:val="21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Outstanding, February 1, 2020</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923,254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9.76</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Granted</w:t>
            </w:r>
          </w:p>
        </w:tc>
        <w:tc>
          <w:tcPr>
            <w:tcW w:w="1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Canceled or expired</w:t>
            </w:r>
          </w:p>
        </w:tc>
        <w:tc>
          <w:tcPr>
            <w:tcW w:w="2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(68,616)</w:t>
            </w: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6.59</w:t>
            </w:r>
          </w:p>
        </w:tc>
      </w:tr>
      <w:tr>
        <w:trPr>
          <w:trHeight w:val="210"/>
        </w:trPr>
        <w:tc>
          <w:tcPr>
            <w:tcW w:w="73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Outstanding, May 2, 2020</w:t>
            </w: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854,638</w:t>
            </w: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10.02</w:t>
            </w:r>
          </w:p>
        </w:tc>
        <w:tc>
          <w:tcPr>
            <w:tcW w:w="100" w:type="dxa"/>
            <w:vAlign w:val="bottom"/>
            <w:tcBorders>
              <w:top w:val="single" w:sz="8" w:color="CCEEFF"/>
            </w:tcBorders>
          </w:tcPr>
          <w:p>
            <w:pPr>
              <w:spacing w:after="0"/>
              <w:rPr>
                <w:sz w:val="18"/>
                <w:szCs w:val="18"/>
                <w:color w:val="auto"/>
              </w:rPr>
            </w:pPr>
          </w:p>
        </w:tc>
      </w:tr>
      <w:tr>
        <w:trPr>
          <w:trHeight w:val="20"/>
        </w:trPr>
        <w:tc>
          <w:tcPr>
            <w:tcW w:w="73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20" w:firstLine="648"/>
        <w:spacing w:after="0" w:line="277" w:lineRule="auto"/>
        <w:rPr>
          <w:sz w:val="20"/>
          <w:szCs w:val="20"/>
          <w:color w:val="auto"/>
        </w:rPr>
      </w:pPr>
      <w:r>
        <w:rPr>
          <w:rFonts w:ascii="Arial" w:cs="Arial" w:eastAsia="Arial" w:hAnsi="Arial"/>
          <w:sz w:val="18"/>
          <w:szCs w:val="18"/>
          <w:color w:val="auto"/>
        </w:rPr>
        <w:t>The following table is a summary of the balances and activity related to time-based and performance-based restricted stock for the thirteen weeks ended May 2,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40" w:type="dxa"/>
            <w:vAlign w:val="bottom"/>
            <w:gridSpan w:val="5"/>
          </w:tcPr>
          <w:p>
            <w:pPr>
              <w:ind w:left="40"/>
              <w:spacing w:after="0"/>
              <w:rPr>
                <w:sz w:val="20"/>
                <w:szCs w:val="20"/>
                <w:color w:val="auto"/>
              </w:rPr>
            </w:pPr>
            <w:r>
              <w:rPr>
                <w:rFonts w:ascii="Arial" w:cs="Arial" w:eastAsia="Arial" w:hAnsi="Arial"/>
                <w:sz w:val="18"/>
                <w:szCs w:val="18"/>
                <w:b w:val="1"/>
                <w:bCs w:val="1"/>
                <w:color w:val="auto"/>
                <w:w w:val="94"/>
              </w:rPr>
              <w:t>Performance-Based Restricted</w:t>
            </w:r>
          </w:p>
        </w:tc>
      </w:tr>
      <w:tr>
        <w:trPr>
          <w:trHeight w:val="234"/>
        </w:trPr>
        <w:tc>
          <w:tcPr>
            <w:tcW w:w="5980" w:type="dxa"/>
            <w:vAlign w:val="bottom"/>
          </w:tcPr>
          <w:p>
            <w:pPr>
              <w:spacing w:after="0"/>
              <w:rPr>
                <w:sz w:val="20"/>
                <w:szCs w:val="20"/>
                <w:color w:val="auto"/>
              </w:rPr>
            </w:pPr>
          </w:p>
        </w:tc>
        <w:tc>
          <w:tcPr>
            <w:tcW w:w="2720" w:type="dxa"/>
            <w:vAlign w:val="bottom"/>
            <w:gridSpan w:val="5"/>
          </w:tcPr>
          <w:p>
            <w:pPr>
              <w:jc w:val="right"/>
              <w:ind w:right="360"/>
              <w:spacing w:after="0"/>
              <w:rPr>
                <w:sz w:val="20"/>
                <w:szCs w:val="20"/>
                <w:color w:val="auto"/>
              </w:rPr>
            </w:pPr>
            <w:r>
              <w:rPr>
                <w:rFonts w:ascii="Arial" w:cs="Arial" w:eastAsia="Arial" w:hAnsi="Arial"/>
                <w:sz w:val="18"/>
                <w:szCs w:val="18"/>
                <w:b w:val="1"/>
                <w:bCs w:val="1"/>
                <w:color w:val="auto"/>
                <w:w w:val="93"/>
              </w:rPr>
              <w:t>Time-Based Restricted Stock</w:t>
            </w:r>
          </w:p>
        </w:tc>
        <w:tc>
          <w:tcPr>
            <w:tcW w:w="1440" w:type="dxa"/>
            <w:vAlign w:val="bottom"/>
            <w:gridSpan w:val="3"/>
          </w:tcPr>
          <w:p>
            <w:pPr>
              <w:jc w:val="right"/>
              <w:spacing w:after="0"/>
              <w:rPr>
                <w:sz w:val="20"/>
                <w:szCs w:val="20"/>
                <w:color w:val="auto"/>
              </w:rPr>
            </w:pPr>
            <w:r>
              <w:rPr>
                <w:rFonts w:ascii="Arial" w:cs="Arial" w:eastAsia="Arial" w:hAnsi="Arial"/>
                <w:sz w:val="18"/>
                <w:szCs w:val="18"/>
                <w:b w:val="1"/>
                <w:bCs w:val="1"/>
                <w:color w:val="auto"/>
              </w:rPr>
              <w:t>Stock</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598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10"/>
              <w:spacing w:after="0" w:line="191" w:lineRule="exact"/>
              <w:rPr>
                <w:sz w:val="20"/>
                <w:szCs w:val="20"/>
                <w:color w:val="auto"/>
              </w:rPr>
            </w:pPr>
            <w:r>
              <w:rPr>
                <w:rFonts w:ascii="Arial" w:cs="Arial" w:eastAsia="Arial" w:hAnsi="Arial"/>
                <w:sz w:val="18"/>
                <w:szCs w:val="18"/>
                <w:b w:val="1"/>
                <w:bCs w:val="1"/>
                <w:color w:val="auto"/>
                <w:w w:val="88"/>
              </w:rPr>
              <w:t>Weighted</w:t>
            </w:r>
          </w:p>
        </w:tc>
        <w:tc>
          <w:tcPr>
            <w:tcW w:w="2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30"/>
              <w:spacing w:after="0" w:line="191"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6"/>
                <w:szCs w:val="16"/>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Average</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Grant Date</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Grant Date</w:t>
            </w:r>
          </w:p>
        </w:tc>
      </w:tr>
      <w:tr>
        <w:trPr>
          <w:trHeight w:val="234"/>
        </w:trPr>
        <w:tc>
          <w:tcPr>
            <w:tcW w:w="5980" w:type="dxa"/>
            <w:vAlign w:val="bottom"/>
          </w:tcPr>
          <w:p>
            <w:pPr>
              <w:spacing w:after="0"/>
              <w:rPr>
                <w:sz w:val="20"/>
                <w:szCs w:val="20"/>
                <w:color w:val="auto"/>
              </w:rPr>
            </w:pPr>
          </w:p>
        </w:tc>
        <w:tc>
          <w:tcPr>
            <w:tcW w:w="11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Shares</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Fair Value</w:t>
            </w:r>
          </w:p>
        </w:tc>
        <w:tc>
          <w:tcPr>
            <w:tcW w:w="220" w:type="dxa"/>
            <w:vAlign w:val="bottom"/>
          </w:tcPr>
          <w:p>
            <w:pPr>
              <w:spacing w:after="0"/>
              <w:rPr>
                <w:sz w:val="20"/>
                <w:szCs w:val="20"/>
                <w:color w:val="auto"/>
              </w:rPr>
            </w:pPr>
          </w:p>
        </w:tc>
        <w:tc>
          <w:tcPr>
            <w:tcW w:w="110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Fair Value</w:t>
            </w:r>
          </w:p>
        </w:tc>
        <w:tc>
          <w:tcPr>
            <w:tcW w:w="100" w:type="dxa"/>
            <w:vAlign w:val="bottom"/>
          </w:tcPr>
          <w:p>
            <w:pPr>
              <w:spacing w:after="0"/>
              <w:rPr>
                <w:sz w:val="20"/>
                <w:szCs w:val="20"/>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Outstanding, February 1, 2020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453,403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262,964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7.59</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spacing w:after="0"/>
              <w:rPr>
                <w:sz w:val="20"/>
                <w:szCs w:val="20"/>
                <w:color w:val="auto"/>
              </w:rPr>
            </w:pPr>
            <w:r>
              <w:rPr>
                <w:rFonts w:ascii="Arial" w:cs="Arial" w:eastAsia="Arial" w:hAnsi="Arial"/>
                <w:sz w:val="18"/>
                <w:szCs w:val="18"/>
                <w:color w:val="auto"/>
              </w:rPr>
              <w:t>246,666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2.04</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(186,628)</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7.52</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(56,380)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8.85</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Canceled or expired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(27,517)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8.85</w:t>
            </w:r>
          </w:p>
        </w:tc>
      </w:tr>
      <w:tr>
        <w:trPr>
          <w:trHeight w:val="20"/>
        </w:trPr>
        <w:tc>
          <w:tcPr>
            <w:tcW w:w="598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Arial" w:cs="Arial" w:eastAsia="Arial" w:hAnsi="Arial"/>
                <w:sz w:val="18"/>
                <w:szCs w:val="18"/>
                <w:color w:val="auto"/>
              </w:rPr>
              <w:t>Outstanding, May 2, 2020</w:t>
            </w:r>
          </w:p>
        </w:tc>
        <w:tc>
          <w:tcPr>
            <w:tcW w:w="1120" w:type="dxa"/>
            <w:vAlign w:val="bottom"/>
          </w:tcPr>
          <w:p>
            <w:pPr>
              <w:jc w:val="right"/>
              <w:spacing w:after="0"/>
              <w:rPr>
                <w:sz w:val="20"/>
                <w:szCs w:val="20"/>
                <w:color w:val="auto"/>
              </w:rPr>
            </w:pPr>
            <w:r>
              <w:rPr>
                <w:rFonts w:ascii="Arial" w:cs="Arial" w:eastAsia="Arial" w:hAnsi="Arial"/>
                <w:sz w:val="18"/>
                <w:szCs w:val="18"/>
                <w:color w:val="auto"/>
              </w:rPr>
              <w:t>513,441</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4.17</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179,067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7.00</w:t>
            </w:r>
          </w:p>
        </w:tc>
      </w:tr>
      <w:tr>
        <w:trPr>
          <w:trHeight w:val="20"/>
        </w:trPr>
        <w:tc>
          <w:tcPr>
            <w:tcW w:w="59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920" w:firstLine="648"/>
        <w:spacing w:after="0" w:line="277" w:lineRule="auto"/>
        <w:rPr>
          <w:sz w:val="20"/>
          <w:szCs w:val="20"/>
          <w:color w:val="auto"/>
        </w:rPr>
      </w:pPr>
      <w:r>
        <w:rPr>
          <w:rFonts w:ascii="Arial" w:cs="Arial" w:eastAsia="Arial" w:hAnsi="Arial"/>
          <w:sz w:val="18"/>
          <w:szCs w:val="18"/>
          <w:color w:val="auto"/>
        </w:rPr>
        <w:t>The total fair value of shares vested during the thirteen weeks ended May 2, 2020 and May 4, 2019 was $1.9 million and $1.6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outstanding performance shares as of May 2, 2020 consist of the following:</w:t>
      </w:r>
    </w:p>
    <w:p>
      <w:pPr>
        <w:spacing w:after="0" w:line="221" w:lineRule="exact"/>
        <w:rPr>
          <w:sz w:val="20"/>
          <w:szCs w:val="20"/>
          <w:color w:val="auto"/>
        </w:rPr>
      </w:pPr>
    </w:p>
    <w:p>
      <w:pPr>
        <w:ind w:left="9460"/>
        <w:spacing w:after="0"/>
        <w:rPr>
          <w:sz w:val="20"/>
          <w:szCs w:val="20"/>
          <w:color w:val="auto"/>
        </w:rPr>
      </w:pPr>
      <w:r>
        <w:rPr>
          <w:rFonts w:ascii="Arial" w:cs="Arial" w:eastAsia="Arial" w:hAnsi="Arial"/>
          <w:sz w:val="18"/>
          <w:szCs w:val="18"/>
          <w:b w:val="1"/>
          <w:bCs w:val="1"/>
          <w:color w:val="auto"/>
        </w:rPr>
        <w:t>Performance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17145</wp:posOffset>
            </wp:positionV>
            <wp:extent cx="11315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243" w:lineRule="exact"/>
        <w:rPr>
          <w:sz w:val="20"/>
          <w:szCs w:val="20"/>
          <w:color w:val="auto"/>
        </w:rPr>
      </w:pPr>
    </w:p>
    <w:p>
      <w:pPr>
        <w:spacing w:after="0"/>
        <w:rPr>
          <w:sz w:val="20"/>
          <w:szCs w:val="20"/>
          <w:color w:val="auto"/>
        </w:rPr>
      </w:pPr>
      <w:r>
        <w:rPr>
          <w:rFonts w:ascii="Arial" w:cs="Arial" w:eastAsia="Arial" w:hAnsi="Arial"/>
          <w:sz w:val="15"/>
          <w:szCs w:val="15"/>
          <w:color w:val="auto"/>
        </w:rPr>
        <w:t>Unearned shares subject to performance-based restrictions at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2018 - 2020 consolidated total revenue growth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7"/>
          <w:szCs w:val="17"/>
          <w:color w:val="auto"/>
        </w:rPr>
        <w:t>2018 - 2020 consolidated pre-tax income growth objectives</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7"/>
          <w:szCs w:val="17"/>
          <w:color w:val="auto"/>
        </w:rPr>
        <w:t>2019 - 2021 consolidated pre-tax income growth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Performance shares outstanding, May 2,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20,756</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62,500</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95,811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-755015</wp:posOffset>
            </wp:positionH>
            <wp:positionV relativeFrom="paragraph">
              <wp:posOffset>20320</wp:posOffset>
            </wp:positionV>
            <wp:extent cx="11315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179,067</w:t>
      </w:r>
    </w:p>
    <w:p>
      <w:pPr>
        <w:spacing w:after="0" w:line="262" w:lineRule="exact"/>
        <w:rPr>
          <w:sz w:val="20"/>
          <w:szCs w:val="20"/>
          <w:color w:val="auto"/>
        </w:rPr>
      </w:pPr>
    </w:p>
    <w:p>
      <w:pPr>
        <w:sectPr>
          <w:pgSz w:w="11900" w:h="16838" w:orient="portrait"/>
          <w:cols w:equalWidth="0" w:num="2">
            <w:col w:w="9820" w:space="720"/>
            <w:col w:w="700"/>
          </w:cols>
          <w:pgMar w:left="320" w:top="118" w:right="339" w:bottom="1440" w:gutter="0" w:footer="0" w:header="0"/>
          <w:type w:val="continuous"/>
        </w:sect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3" w:name="page14"/>
    <w:bookmarkEnd w:id="13"/>
    <w:p>
      <w:pPr>
        <w:ind w:left="20"/>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7. Income Taxes</w:t>
      </w:r>
    </w:p>
    <w:p>
      <w:pPr>
        <w:spacing w:after="0" w:line="229"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The effective tax rate was (13.6%) for the thirteen weeks ended May 2, 2020 compared to 50.5% for the thirteen weeks ended May 4, 2019. In the first quarter of fiscal 2020, the effective tax rate differed from the statutory rate of 21% primarily due to the $3.3 million valuation allowance recorded on the beginning balance of the net deferred tax assets in certain jurisdictions offset by $0.8 million of benefit as a result of the Coronavirus Aid, Relief, and Economic Security ("CARES") Act. In addition, no tax benefit was recorded on the current period pretax loss as a full valuation allowance has now been recorded globally. In the first quarter of fiscal 2019, the effective tax rate differed from the statutory rate of 21% primarily due to the valuation allowance being recorded in certain foreign loss companies and the $0.2 million tax impact of equity awards vesting.</w:t>
      </w: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8. Stockholders’ Equity</w:t>
      </w:r>
    </w:p>
    <w:p>
      <w:pPr>
        <w:spacing w:after="0" w:line="229" w:lineRule="exact"/>
        <w:rPr>
          <w:sz w:val="20"/>
          <w:szCs w:val="20"/>
          <w:color w:val="auto"/>
        </w:rPr>
      </w:pPr>
    </w:p>
    <w:p>
      <w:pPr>
        <w:ind w:left="20" w:right="260" w:firstLine="648"/>
        <w:spacing w:after="0" w:line="277" w:lineRule="auto"/>
        <w:rPr>
          <w:sz w:val="20"/>
          <w:szCs w:val="20"/>
          <w:color w:val="auto"/>
        </w:rPr>
      </w:pPr>
      <w:r>
        <w:rPr>
          <w:rFonts w:ascii="Arial" w:cs="Arial" w:eastAsia="Arial" w:hAnsi="Arial"/>
          <w:sz w:val="18"/>
          <w:szCs w:val="18"/>
          <w:color w:val="auto"/>
        </w:rPr>
        <w:t>The following table sets forth the changes in stockholders’ equity (in thousands) for the thirteen weeks ended May 2, 2020 and May 4, 2019 (in thousands):</w:t>
      </w:r>
    </w:p>
    <w:p>
      <w:pPr>
        <w:spacing w:after="0" w:line="16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80" w:type="dxa"/>
            <w:vAlign w:val="bottom"/>
            <w:gridSpan w:val="14"/>
          </w:tcPr>
          <w:p>
            <w:pPr>
              <w:jc w:val="right"/>
              <w:ind w:right="640"/>
              <w:spacing w:after="0"/>
              <w:rPr>
                <w:sz w:val="20"/>
                <w:szCs w:val="20"/>
                <w:color w:val="auto"/>
              </w:rPr>
            </w:pPr>
            <w:r>
              <w:rPr>
                <w:rFonts w:ascii="Arial" w:cs="Arial" w:eastAsia="Arial" w:hAnsi="Arial"/>
                <w:sz w:val="18"/>
                <w:szCs w:val="18"/>
                <w:b w:val="1"/>
                <w:bCs w:val="1"/>
                <w:color w:val="auto"/>
                <w:w w:val="99"/>
              </w:rPr>
              <w:t>For the thirteen weeks ended May 2, 2020</w:t>
            </w:r>
          </w:p>
        </w:tc>
        <w:tc>
          <w:tcPr>
            <w:tcW w:w="120" w:type="dxa"/>
            <w:vAlign w:val="bottom"/>
          </w:tcPr>
          <w:p>
            <w:pPr>
              <w:spacing w:after="0"/>
              <w:rPr>
                <w:sz w:val="20"/>
                <w:szCs w:val="20"/>
                <w:color w:val="auto"/>
              </w:rPr>
            </w:pPr>
          </w:p>
        </w:tc>
        <w:tc>
          <w:tcPr>
            <w:tcW w:w="4020" w:type="dxa"/>
            <w:vAlign w:val="bottom"/>
            <w:gridSpan w:val="11"/>
          </w:tcPr>
          <w:p>
            <w:pPr>
              <w:jc w:val="center"/>
              <w:ind w:right="200"/>
              <w:spacing w:after="0"/>
              <w:rPr>
                <w:sz w:val="20"/>
                <w:szCs w:val="20"/>
                <w:color w:val="auto"/>
              </w:rPr>
            </w:pPr>
            <w:r>
              <w:rPr>
                <w:rFonts w:ascii="Arial" w:cs="Arial" w:eastAsia="Arial" w:hAnsi="Arial"/>
                <w:sz w:val="18"/>
                <w:szCs w:val="18"/>
                <w:b w:val="1"/>
                <w:bCs w:val="1"/>
                <w:color w:val="auto"/>
                <w:w w:val="90"/>
              </w:rPr>
              <w:t>For the thirteen weeks ended May 4, 2019</w:t>
            </w:r>
          </w:p>
        </w:tc>
        <w:tc>
          <w:tcPr>
            <w:tcW w:w="0" w:type="dxa"/>
            <w:vAlign w:val="bottom"/>
          </w:tcPr>
          <w:p>
            <w:pPr>
              <w:spacing w:after="0"/>
              <w:rPr>
                <w:sz w:val="1"/>
                <w:szCs w:val="1"/>
                <w:color w:val="auto"/>
              </w:rPr>
            </w:pPr>
          </w:p>
        </w:tc>
      </w:tr>
      <w:tr>
        <w:trPr>
          <w:trHeight w:val="426"/>
        </w:trPr>
        <w:tc>
          <w:tcPr>
            <w:tcW w:w="2800" w:type="dxa"/>
            <w:vAlign w:val="bottom"/>
          </w:tcPr>
          <w:p>
            <w:pPr>
              <w:spacing w:after="0"/>
              <w:rPr>
                <w:sz w:val="24"/>
                <w:szCs w:val="24"/>
                <w:color w:val="auto"/>
              </w:rPr>
            </w:pPr>
          </w:p>
        </w:tc>
        <w:tc>
          <w:tcPr>
            <w:tcW w:w="82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Common</w:t>
            </w:r>
          </w:p>
        </w:tc>
        <w:tc>
          <w:tcPr>
            <w:tcW w:w="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gridSpan w:val="3"/>
            <w:vMerge w:val="restart"/>
          </w:tcPr>
          <w:p>
            <w:pPr>
              <w:jc w:val="center"/>
              <w:ind w:right="180"/>
              <w:spacing w:after="0"/>
              <w:rPr>
                <w:sz w:val="20"/>
                <w:szCs w:val="20"/>
                <w:color w:val="auto"/>
              </w:rPr>
            </w:pPr>
            <w:r>
              <w:rPr>
                <w:rFonts w:ascii="Arial" w:cs="Arial" w:eastAsia="Arial" w:hAnsi="Arial"/>
                <w:sz w:val="18"/>
                <w:szCs w:val="18"/>
                <w:b w:val="1"/>
                <w:bCs w:val="1"/>
                <w:color w:val="auto"/>
              </w:rPr>
              <w:t>APIC</w:t>
            </w:r>
          </w:p>
        </w:tc>
        <w:tc>
          <w:tcPr>
            <w:tcW w:w="880" w:type="dxa"/>
            <w:vAlign w:val="bottom"/>
            <w:tcBorders>
              <w:top w:val="single" w:sz="8" w:color="auto"/>
            </w:tcBorders>
            <w:gridSpan w:val="2"/>
            <w:vMerge w:val="restart"/>
          </w:tcPr>
          <w:p>
            <w:pPr>
              <w:jc w:val="center"/>
              <w:ind w:right="180"/>
              <w:spacing w:after="0"/>
              <w:rPr>
                <w:sz w:val="20"/>
                <w:szCs w:val="20"/>
                <w:color w:val="auto"/>
              </w:rPr>
            </w:pPr>
            <w:r>
              <w:rPr>
                <w:rFonts w:ascii="Arial" w:cs="Arial" w:eastAsia="Arial" w:hAnsi="Arial"/>
                <w:sz w:val="18"/>
                <w:szCs w:val="18"/>
                <w:b w:val="1"/>
                <w:bCs w:val="1"/>
                <w:color w:val="auto"/>
              </w:rPr>
              <w:t>AOCI</w:t>
            </w:r>
          </w:p>
        </w:tc>
        <w:tc>
          <w:tcPr>
            <w:tcW w:w="88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Retained</w:t>
            </w: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Common</w:t>
            </w:r>
          </w:p>
        </w:tc>
        <w:tc>
          <w:tcPr>
            <w:tcW w:w="800" w:type="dxa"/>
            <w:vAlign w:val="bottom"/>
            <w:tcBorders>
              <w:top w:val="single" w:sz="8" w:color="auto"/>
            </w:tcBorders>
            <w:gridSpan w:val="2"/>
            <w:vMerge w:val="restart"/>
          </w:tcPr>
          <w:p>
            <w:pPr>
              <w:jc w:val="center"/>
              <w:ind w:right="200"/>
              <w:spacing w:after="0"/>
              <w:rPr>
                <w:sz w:val="20"/>
                <w:szCs w:val="20"/>
                <w:color w:val="auto"/>
              </w:rPr>
            </w:pPr>
            <w:r>
              <w:rPr>
                <w:rFonts w:ascii="Arial" w:cs="Arial" w:eastAsia="Arial" w:hAnsi="Arial"/>
                <w:sz w:val="18"/>
                <w:szCs w:val="18"/>
                <w:b w:val="1"/>
                <w:bCs w:val="1"/>
                <w:color w:val="auto"/>
              </w:rPr>
              <w:t>APIC</w:t>
            </w:r>
          </w:p>
        </w:tc>
        <w:tc>
          <w:tcPr>
            <w:tcW w:w="860" w:type="dxa"/>
            <w:vAlign w:val="bottom"/>
            <w:tcBorders>
              <w:top w:val="single" w:sz="8" w:color="auto"/>
            </w:tcBorders>
            <w:gridSpan w:val="2"/>
            <w:vMerge w:val="restart"/>
          </w:tcPr>
          <w:p>
            <w:pPr>
              <w:jc w:val="center"/>
              <w:ind w:right="200"/>
              <w:spacing w:after="0"/>
              <w:rPr>
                <w:sz w:val="20"/>
                <w:szCs w:val="20"/>
                <w:color w:val="auto"/>
              </w:rPr>
            </w:pPr>
            <w:r>
              <w:rPr>
                <w:rFonts w:ascii="Arial" w:cs="Arial" w:eastAsia="Arial" w:hAnsi="Arial"/>
                <w:sz w:val="18"/>
                <w:szCs w:val="18"/>
                <w:b w:val="1"/>
                <w:bCs w:val="1"/>
                <w:color w:val="auto"/>
              </w:rPr>
              <w:t>AOCI</w:t>
            </w:r>
          </w:p>
        </w:tc>
        <w:tc>
          <w:tcPr>
            <w:tcW w:w="88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Retained</w:t>
            </w: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3"/>
            <w:vMerge w:val="continue"/>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9"/>
              </w:rPr>
              <w:t>stock</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w:t>
            </w:r>
          </w:p>
        </w:tc>
        <w:tc>
          <w:tcPr>
            <w:tcW w:w="180" w:type="dxa"/>
            <w:vAlign w:val="bottom"/>
          </w:tcPr>
          <w:p>
            <w:pPr>
              <w:spacing w:after="0"/>
              <w:rPr>
                <w:sz w:val="20"/>
                <w:szCs w:val="20"/>
                <w:color w:val="auto"/>
              </w:rPr>
            </w:pPr>
          </w:p>
        </w:tc>
        <w:tc>
          <w:tcPr>
            <w:tcW w:w="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w:t>
            </w:r>
          </w:p>
        </w:tc>
        <w:tc>
          <w:tcPr>
            <w:tcW w:w="200" w:type="dxa"/>
            <w:vAlign w:val="bottom"/>
          </w:tcPr>
          <w:p>
            <w:pPr>
              <w:spacing w:after="0"/>
              <w:rPr>
                <w:sz w:val="20"/>
                <w:szCs w:val="20"/>
                <w:color w:val="auto"/>
              </w:rPr>
            </w:pPr>
          </w:p>
        </w:tc>
        <w:tc>
          <w:tcPr>
            <w:tcW w:w="7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7"/>
              </w:rPr>
              <w:t>earnings</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2"/>
              </w:rPr>
              <w:t>Total</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9"/>
              </w:rPr>
              <w:t>stock</w:t>
            </w:r>
          </w:p>
        </w:tc>
        <w:tc>
          <w:tcPr>
            <w:tcW w:w="180" w:type="dxa"/>
            <w:vAlign w:val="bottom"/>
          </w:tcPr>
          <w:p>
            <w:pPr>
              <w:spacing w:after="0"/>
              <w:rPr>
                <w:sz w:val="20"/>
                <w:szCs w:val="20"/>
                <w:color w:val="auto"/>
              </w:rPr>
            </w:pPr>
          </w:p>
        </w:tc>
        <w:tc>
          <w:tcPr>
            <w:tcW w:w="6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w:t>
            </w:r>
          </w:p>
        </w:tc>
        <w:tc>
          <w:tcPr>
            <w:tcW w:w="200" w:type="dxa"/>
            <w:vAlign w:val="bottom"/>
          </w:tcPr>
          <w:p>
            <w:pPr>
              <w:spacing w:after="0"/>
              <w:rPr>
                <w:sz w:val="20"/>
                <w:szCs w:val="20"/>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w:t>
            </w:r>
          </w:p>
        </w:tc>
        <w:tc>
          <w:tcPr>
            <w:tcW w:w="180" w:type="dxa"/>
            <w:vAlign w:val="bottom"/>
          </w:tcPr>
          <w:p>
            <w:pPr>
              <w:spacing w:after="0"/>
              <w:rPr>
                <w:sz w:val="20"/>
                <w:szCs w:val="20"/>
                <w:color w:val="auto"/>
              </w:rPr>
            </w:pPr>
          </w:p>
        </w:tc>
        <w:tc>
          <w:tcPr>
            <w:tcW w:w="6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5"/>
              </w:rPr>
              <w:t>earnings</w:t>
            </w:r>
          </w:p>
        </w:tc>
        <w:tc>
          <w:tcPr>
            <w:tcW w:w="200" w:type="dxa"/>
            <w:vAlign w:val="bottom"/>
          </w:tcPr>
          <w:p>
            <w:pPr>
              <w:spacing w:after="0"/>
              <w:rPr>
                <w:sz w:val="20"/>
                <w:szCs w:val="20"/>
                <w:color w:val="auto"/>
              </w:rPr>
            </w:pPr>
          </w:p>
        </w:tc>
        <w:tc>
          <w:tcPr>
            <w:tcW w:w="6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70,633</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 (12,079)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29,925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88,631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150</w:t>
            </w: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2"/>
              </w:rPr>
              <w:t>$ 69,088</w:t>
            </w: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 (12,018)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37,094</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2"/>
              </w:rPr>
              <w:t>$ 94,314</w:t>
            </w:r>
          </w:p>
        </w:tc>
        <w:tc>
          <w:tcPr>
            <w:tcW w:w="0" w:type="dxa"/>
            <w:vAlign w:val="bottom"/>
          </w:tcPr>
          <w:p>
            <w:pPr>
              <w:spacing w:after="0"/>
              <w:rPr>
                <w:sz w:val="1"/>
                <w:szCs w:val="1"/>
                <w:color w:val="auto"/>
              </w:rPr>
            </w:pPr>
          </w:p>
        </w:tc>
      </w:tr>
      <w:tr>
        <w:trPr>
          <w:trHeight w:val="202"/>
        </w:trPr>
        <w:tc>
          <w:tcPr>
            <w:tcW w:w="2800" w:type="dxa"/>
            <w:vAlign w:val="bottom"/>
          </w:tcPr>
          <w:p>
            <w:pPr>
              <w:ind w:left="180"/>
              <w:spacing w:after="0" w:line="201" w:lineRule="exact"/>
              <w:rPr>
                <w:sz w:val="20"/>
                <w:szCs w:val="20"/>
                <w:color w:val="auto"/>
              </w:rPr>
            </w:pPr>
            <w:r>
              <w:rPr>
                <w:rFonts w:ascii="Arial" w:cs="Arial" w:eastAsia="Arial" w:hAnsi="Arial"/>
                <w:sz w:val="18"/>
                <w:szCs w:val="18"/>
                <w:color w:val="auto"/>
              </w:rPr>
              <w:t>Adoption of new accounting</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vMerge w:val="restart"/>
          </w:tcPr>
          <w:p>
            <w:pPr>
              <w:spacing w:after="0"/>
              <w:rPr>
                <w:sz w:val="20"/>
                <w:szCs w:val="20"/>
                <w:color w:val="auto"/>
              </w:rPr>
            </w:pPr>
            <w:r>
              <w:rPr>
                <w:rFonts w:ascii="Arial" w:cs="Arial" w:eastAsia="Arial" w:hAnsi="Arial"/>
                <w:sz w:val="18"/>
                <w:szCs w:val="18"/>
                <w:color w:val="auto"/>
              </w:rPr>
              <w:t>$</w:t>
            </w: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(7,430)</w:t>
            </w:r>
          </w:p>
        </w:tc>
        <w:tc>
          <w:tcPr>
            <w:tcW w:w="7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(7,430)</w:t>
            </w:r>
          </w:p>
        </w:tc>
        <w:tc>
          <w:tcPr>
            <w:tcW w:w="0" w:type="dxa"/>
            <w:vAlign w:val="bottom"/>
          </w:tcPr>
          <w:p>
            <w:pPr>
              <w:spacing w:after="0"/>
              <w:rPr>
                <w:sz w:val="1"/>
                <w:szCs w:val="1"/>
                <w:color w:val="auto"/>
              </w:rPr>
            </w:pPr>
          </w:p>
        </w:tc>
      </w:tr>
      <w:tr>
        <w:trPr>
          <w:trHeight w:val="217"/>
        </w:trPr>
        <w:tc>
          <w:tcPr>
            <w:tcW w:w="2800" w:type="dxa"/>
            <w:vAlign w:val="bottom"/>
          </w:tcPr>
          <w:p>
            <w:pPr>
              <w:spacing w:after="0"/>
              <w:rPr>
                <w:sz w:val="20"/>
                <w:szCs w:val="20"/>
                <w:color w:val="auto"/>
              </w:rPr>
            </w:pPr>
            <w:r>
              <w:rPr>
                <w:rFonts w:ascii="Arial" w:cs="Arial" w:eastAsia="Arial" w:hAnsi="Arial"/>
                <w:sz w:val="18"/>
                <w:szCs w:val="18"/>
                <w:color w:val="auto"/>
              </w:rPr>
              <w:t>standard</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Subtotal</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70,633</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 (12,079)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29,925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88,631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150</w:t>
            </w: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2"/>
              </w:rPr>
              <w:t>$ 69,088</w:t>
            </w: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 (12,018)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29,664</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2"/>
              </w:rPr>
              <w:t>$ 86,884</w:t>
            </w:r>
          </w:p>
        </w:tc>
        <w:tc>
          <w:tcPr>
            <w:tcW w:w="0" w:type="dxa"/>
            <w:vAlign w:val="bottom"/>
          </w:tcPr>
          <w:p>
            <w:pPr>
              <w:spacing w:after="0"/>
              <w:rPr>
                <w:sz w:val="1"/>
                <w:szCs w:val="1"/>
                <w:color w:val="auto"/>
              </w:rPr>
            </w:pPr>
          </w:p>
        </w:tc>
      </w:tr>
      <w:tr>
        <w:trPr>
          <w:trHeight w:val="202"/>
        </w:trPr>
        <w:tc>
          <w:tcPr>
            <w:tcW w:w="2800" w:type="dxa"/>
            <w:vAlign w:val="bottom"/>
          </w:tcPr>
          <w:p>
            <w:pPr>
              <w:ind w:left="180"/>
              <w:spacing w:after="0" w:line="201" w:lineRule="exact"/>
              <w:rPr>
                <w:sz w:val="20"/>
                <w:szCs w:val="20"/>
                <w:color w:val="auto"/>
              </w:rPr>
            </w:pPr>
            <w:r>
              <w:rPr>
                <w:rFonts w:ascii="Arial" w:cs="Arial" w:eastAsia="Arial" w:hAnsi="Arial"/>
                <w:sz w:val="18"/>
                <w:szCs w:val="18"/>
                <w:color w:val="auto"/>
                <w:w w:val="93"/>
              </w:rPr>
              <w:t>Issuance of restricted/performance</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0" w:type="dxa"/>
            <w:vAlign w:val="bottom"/>
          </w:tcPr>
          <w:p>
            <w:pPr>
              <w:spacing w:after="0"/>
              <w:rPr>
                <w:sz w:val="20"/>
                <w:szCs w:val="20"/>
                <w:color w:val="auto"/>
              </w:rPr>
            </w:pPr>
            <w:r>
              <w:rPr>
                <w:rFonts w:ascii="Arial" w:cs="Arial" w:eastAsia="Arial" w:hAnsi="Arial"/>
                <w:sz w:val="18"/>
                <w:szCs w:val="18"/>
                <w:color w:val="auto"/>
              </w:rPr>
              <w:t>stock</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496</w:t>
            </w: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476</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476</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720</w:t>
            </w:r>
          </w:p>
        </w:tc>
        <w:tc>
          <w:tcPr>
            <w:tcW w:w="6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02"/>
        </w:trPr>
        <w:tc>
          <w:tcPr>
            <w:tcW w:w="2800" w:type="dxa"/>
            <w:vAlign w:val="bottom"/>
          </w:tcPr>
          <w:p>
            <w:pPr>
              <w:ind w:left="180"/>
              <w:spacing w:after="0" w:line="201" w:lineRule="exact"/>
              <w:rPr>
                <w:sz w:val="20"/>
                <w:szCs w:val="20"/>
                <w:color w:val="auto"/>
              </w:rPr>
            </w:pPr>
            <w:r>
              <w:rPr>
                <w:rFonts w:ascii="Arial" w:cs="Arial" w:eastAsia="Arial" w:hAnsi="Arial"/>
                <w:sz w:val="18"/>
                <w:szCs w:val="18"/>
                <w:color w:val="auto"/>
              </w:rPr>
              <w:t>Shares withheld in lieu of tax</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0" w:type="dxa"/>
            <w:vAlign w:val="bottom"/>
          </w:tcPr>
          <w:p>
            <w:pPr>
              <w:spacing w:after="0"/>
              <w:rPr>
                <w:sz w:val="20"/>
                <w:szCs w:val="20"/>
                <w:color w:val="auto"/>
              </w:rPr>
            </w:pPr>
            <w:r>
              <w:rPr>
                <w:rFonts w:ascii="Arial" w:cs="Arial" w:eastAsia="Arial" w:hAnsi="Arial"/>
                <w:sz w:val="18"/>
                <w:szCs w:val="18"/>
                <w:color w:val="auto"/>
              </w:rPr>
              <w:t>withholdings</w:t>
            </w:r>
          </w:p>
        </w:tc>
        <w:tc>
          <w:tcPr>
            <w:tcW w:w="12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(114)</w:t>
            </w: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(258)</w:t>
            </w: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800" w:type="dxa"/>
            <w:vAlign w:val="bottom"/>
          </w:tcPr>
          <w:p>
            <w:pPr>
              <w:ind w:left="180"/>
              <w:spacing w:after="0" w:line="201" w:lineRule="exact"/>
              <w:rPr>
                <w:sz w:val="20"/>
                <w:szCs w:val="20"/>
                <w:color w:val="auto"/>
              </w:rPr>
            </w:pPr>
            <w:r>
              <w:rPr>
                <w:rFonts w:ascii="Arial" w:cs="Arial" w:eastAsia="Arial" w:hAnsi="Arial"/>
                <w:sz w:val="18"/>
                <w:szCs w:val="18"/>
                <w:color w:val="auto"/>
              </w:rPr>
              <w:t>Other comprehensive income</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0" w:type="dxa"/>
            <w:vAlign w:val="bottom"/>
          </w:tcPr>
          <w:p>
            <w:pPr>
              <w:spacing w:after="0"/>
              <w:rPr>
                <w:sz w:val="20"/>
                <w:szCs w:val="20"/>
                <w:color w:val="auto"/>
              </w:rPr>
            </w:pPr>
            <w:r>
              <w:rPr>
                <w:rFonts w:ascii="Arial" w:cs="Arial" w:eastAsia="Arial" w:hAnsi="Arial"/>
                <w:sz w:val="18"/>
                <w:szCs w:val="18"/>
                <w:color w:val="auto"/>
              </w:rPr>
              <w:t>(loss)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(21,204)</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(21,204)</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1,197</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1,197</w:t>
            </w:r>
          </w:p>
        </w:tc>
        <w:tc>
          <w:tcPr>
            <w:tcW w:w="0" w:type="dxa"/>
            <w:vAlign w:val="bottom"/>
          </w:tcPr>
          <w:p>
            <w:pPr>
              <w:spacing w:after="0"/>
              <w:rPr>
                <w:sz w:val="1"/>
                <w:szCs w:val="1"/>
                <w:color w:val="auto"/>
              </w:rPr>
            </w:pPr>
          </w:p>
        </w:tc>
      </w:tr>
      <w:tr>
        <w:trPr>
          <w:trHeight w:val="20"/>
        </w:trPr>
        <w:tc>
          <w:tcPr>
            <w:tcW w:w="28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00" w:type="dxa"/>
            <w:vAlign w:val="bottom"/>
          </w:tcPr>
          <w:p>
            <w:pPr>
              <w:spacing w:after="0"/>
              <w:rPr>
                <w:sz w:val="20"/>
                <w:szCs w:val="20"/>
                <w:color w:val="auto"/>
              </w:rPr>
            </w:pPr>
            <w:r>
              <w:rPr>
                <w:rFonts w:ascii="Arial" w:cs="Arial" w:eastAsia="Arial" w:hAnsi="Arial"/>
                <w:sz w:val="18"/>
                <w:szCs w:val="18"/>
                <w:color w:val="auto"/>
              </w:rPr>
              <w:t>Balance, ending</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71,491</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 (11,909)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8,720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68,457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149</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2"/>
              </w:rPr>
              <w:t>$ 69,550</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 (12,123)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30,861</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2"/>
              </w:rPr>
              <w:t>$ 88,437</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80" w:hanging="252"/>
        <w:spacing w:after="0"/>
        <w:tabs>
          <w:tab w:leader="none" w:pos="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 Additional paid-in capital (“APIC”)</w:t>
      </w:r>
    </w:p>
    <w:p>
      <w:pPr>
        <w:spacing w:after="0" w:line="23" w:lineRule="exact"/>
        <w:rPr>
          <w:rFonts w:ascii="Arial" w:cs="Arial" w:eastAsia="Arial" w:hAnsi="Arial"/>
          <w:sz w:val="18"/>
          <w:szCs w:val="18"/>
          <w:color w:val="auto"/>
        </w:rPr>
      </w:pPr>
    </w:p>
    <w:p>
      <w:pPr>
        <w:ind w:left="280" w:hanging="252"/>
        <w:spacing w:after="0"/>
        <w:tabs>
          <w:tab w:leader="none" w:pos="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 Accumulated other comprehensive income (loss) (“AOCI”)</w:t>
      </w:r>
    </w:p>
    <w:p>
      <w:pPr>
        <w:spacing w:after="0" w:line="211" w:lineRule="exact"/>
        <w:rPr>
          <w:sz w:val="20"/>
          <w:szCs w:val="20"/>
          <w:color w:val="auto"/>
        </w:rPr>
      </w:pPr>
    </w:p>
    <w:p>
      <w:pPr>
        <w:ind w:left="20" w:firstLine="648"/>
        <w:spacing w:after="0" w:line="257" w:lineRule="auto"/>
        <w:rPr>
          <w:sz w:val="20"/>
          <w:szCs w:val="20"/>
          <w:color w:val="auto"/>
        </w:rPr>
      </w:pPr>
      <w:r>
        <w:rPr>
          <w:rFonts w:ascii="Arial" w:cs="Arial" w:eastAsia="Arial" w:hAnsi="Arial"/>
          <w:sz w:val="18"/>
          <w:szCs w:val="18"/>
          <w:color w:val="auto"/>
        </w:rPr>
        <w:t>In August 2017, the Company’s Board of Directors authorized a share repurchase program of up to $20.0 million. From the date of such authorization through May 2, 2020, the Company has repurchased approximately 1.3 million shares at an average price of $8.75 per share for an aggregate amount of approximately $11.2 million, leaving approximately $8.8 million authorized under the program as of that date. We do not plan to utilize cash to resume share repurchases in fiscal 2020. In addition, our ability to repurchase shares is limited by conditions set forth by our lender in our credit agreement, as described below.</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18" w:right="339" w:bottom="1440" w:gutter="0" w:footer="0" w:header="0"/>
        </w:sectPr>
      </w:pPr>
    </w:p>
    <w:bookmarkStart w:id="14" w:name="page15"/>
    <w:bookmarkEnd w:id="1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per Share</w:t>
      </w:r>
    </w:p>
    <w:p>
      <w:pPr>
        <w:spacing w:after="0" w:line="229"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The following table sets forth the computation of basic and diluted net loss per share (in thousands, except share and per share data), in periods of net loss, no effect is given to the Company’s participating securities as they do not contractually participate in the losses of the Company:</w:t>
      </w:r>
    </w:p>
    <w:p>
      <w:pPr>
        <w:spacing w:after="0" w:line="142" w:lineRule="exact"/>
        <w:rPr>
          <w:sz w:val="20"/>
          <w:szCs w:val="20"/>
          <w:color w:val="auto"/>
        </w:rPr>
      </w:pPr>
    </w:p>
    <w:tbl>
      <w:tblPr>
        <w:tblLayout w:type="fixed"/>
        <w:tblInd w:w="2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60" w:type="dxa"/>
            <w:vAlign w:val="bottom"/>
            <w:gridSpan w:val="6"/>
          </w:tcPr>
          <w:p>
            <w:pPr>
              <w:ind w:left="240"/>
              <w:spacing w:after="0"/>
              <w:rPr>
                <w:sz w:val="20"/>
                <w:szCs w:val="20"/>
                <w:color w:val="auto"/>
              </w:rPr>
            </w:pPr>
            <w:r>
              <w:rPr>
                <w:rFonts w:ascii="Arial" w:cs="Arial" w:eastAsia="Arial" w:hAnsi="Arial"/>
                <w:sz w:val="18"/>
                <w:szCs w:val="18"/>
                <w:b w:val="1"/>
                <w:bCs w:val="1"/>
                <w:color w:val="auto"/>
              </w:rPr>
              <w:t>Thirteen weeks ended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right"/>
              <w:ind w:right="460"/>
              <w:spacing w:after="0" w:line="191" w:lineRule="exact"/>
              <w:rPr>
                <w:sz w:val="20"/>
                <w:szCs w:val="20"/>
                <w:color w:val="auto"/>
              </w:rPr>
            </w:pPr>
            <w:r>
              <w:rPr>
                <w:rFonts w:ascii="Arial" w:cs="Arial" w:eastAsia="Arial" w:hAnsi="Arial"/>
                <w:sz w:val="18"/>
                <w:szCs w:val="18"/>
                <w:b w:val="1"/>
                <w:bCs w:val="1"/>
                <w:color w:val="auto"/>
              </w:rPr>
              <w:t>May 2,</w:t>
            </w:r>
          </w:p>
        </w:tc>
        <w:tc>
          <w:tcPr>
            <w:tcW w:w="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230"/>
              <w:spacing w:after="0" w:line="191" w:lineRule="exact"/>
              <w:rPr>
                <w:sz w:val="20"/>
                <w:szCs w:val="20"/>
                <w:color w:val="auto"/>
              </w:rPr>
            </w:pPr>
            <w:r>
              <w:rPr>
                <w:rFonts w:ascii="Arial" w:cs="Arial" w:eastAsia="Arial" w:hAnsi="Arial"/>
                <w:sz w:val="18"/>
                <w:szCs w:val="18"/>
                <w:b w:val="1"/>
                <w:bCs w:val="1"/>
                <w:color w:val="auto"/>
              </w:rPr>
              <w:t>May 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160"/>
              <w:spacing w:after="0"/>
              <w:rPr>
                <w:sz w:val="20"/>
                <w:szCs w:val="20"/>
                <w:color w:val="auto"/>
              </w:rPr>
            </w:pPr>
            <w:r>
              <w:rPr>
                <w:rFonts w:ascii="Arial" w:cs="Arial" w:eastAsia="Arial" w:hAnsi="Arial"/>
                <w:sz w:val="18"/>
                <w:szCs w:val="18"/>
                <w:color w:val="auto"/>
              </w:rPr>
              <w:t>Net (loss) income before allocation of earnings to participating securities</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(21,204)</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Less: Earnings allocated to participating securities</w:t>
            </w:r>
          </w:p>
        </w:tc>
        <w:tc>
          <w:tcPr>
            <w:tcW w:w="4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tcPr>
          <w:p>
            <w:pPr>
              <w:ind w:left="320"/>
              <w:spacing w:after="0"/>
              <w:rPr>
                <w:sz w:val="20"/>
                <w:szCs w:val="20"/>
                <w:color w:val="auto"/>
              </w:rPr>
            </w:pPr>
            <w:r>
              <w:rPr>
                <w:rFonts w:ascii="Arial" w:cs="Arial" w:eastAsia="Arial" w:hAnsi="Arial"/>
                <w:sz w:val="18"/>
                <w:szCs w:val="18"/>
                <w:color w:val="auto"/>
              </w:rPr>
              <w:t>Net (loss) income</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(21,204)</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7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DENOMINATOR:</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Weighted average number of common shares outstanding - basic</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14,926,097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14,612,575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480"/>
              <w:spacing w:after="0"/>
              <w:rPr>
                <w:sz w:val="20"/>
                <w:szCs w:val="20"/>
                <w:color w:val="auto"/>
              </w:rPr>
            </w:pPr>
            <w:r>
              <w:rPr>
                <w:rFonts w:ascii="Arial" w:cs="Arial" w:eastAsia="Arial" w:hAnsi="Arial"/>
                <w:sz w:val="18"/>
                <w:szCs w:val="18"/>
                <w:color w:val="auto"/>
              </w:rPr>
              <w:t>Dilutive effect of share-based awards:</w:t>
            </w:r>
          </w:p>
        </w:tc>
        <w:tc>
          <w:tcPr>
            <w:tcW w:w="4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125,665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5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Weighted average number of common shares outstanding - dilutive</w:t>
            </w:r>
          </w:p>
        </w:tc>
        <w:tc>
          <w:tcPr>
            <w:tcW w:w="4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14,926,097</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14,738,240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w w:val="98"/>
              </w:rPr>
              <w:t>Basic (loss) income per common share attributable to Build-A-Bear Workshop, Inc. stockholders</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(1.42)</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40" w:type="dxa"/>
            <w:vAlign w:val="bottom"/>
          </w:tcPr>
          <w:p>
            <w:pPr>
              <w:spacing w:after="0"/>
              <w:rPr>
                <w:sz w:val="20"/>
                <w:szCs w:val="20"/>
                <w:color w:val="auto"/>
              </w:rPr>
            </w:pPr>
            <w:r>
              <w:rPr>
                <w:rFonts w:ascii="Arial" w:cs="Arial" w:eastAsia="Arial" w:hAnsi="Arial"/>
                <w:sz w:val="18"/>
                <w:szCs w:val="18"/>
                <w:color w:val="auto"/>
                <w:w w:val="96"/>
              </w:rPr>
              <w:t>Diluted (loss) income per common share attributable to Build-A-Bear Workshop, Inc. stockholders</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(1.42)</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In calculating the diluted income per share for the thirteen weeks ended May 2, 2020 and May 4, 2019 options to purchase 892,339 and 938,622 shares of common stock, respectively, that were outstanding at the end of the period were not included in the computation of diluted income per share due to their anti-dilutive effect.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Comprehensive Income (Loss)</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difference between comprehensive income or loss and net income or loss results from foreign currency translation adjustments on the balance sheets of subsidiaries whose functional currency is not the U.S. Dollar. The accumulated other comprehensive income (loss) balance at May 2, 2020 and May 4, 2019 was comprised entirely of foreign currency translation. For the thirteen weeks ended May 2, 2020 and May 4, 2019, there were no reclassifications out of accumulated other comprehensive income (loss).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Segment Information</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Company’s operations are conducted through three operating segments consisting of direct-to-consumer (“DTC”), commercial and international franchising. The DTC segment includes the operating activities of corporately-managed locations and other retail delivery operations in the U.S., Canada, China, Denmark, Ireland and the United Kingdom (“U.K.”), including the Company’s e-commerce sites and temporary stores. The commercial segment includes the Company’s transactions with other businesses, mainly comprised of licensing the Company’s intellectual properties for third party use and wholesale activities. The international franchising segment includes the licensing activities of the Company’s franchise agreements with store locations in Asia, Australia, the Middle East, Africa, and South America. The operating segments have discrete sources of revenue, different capital structures and different cost structures. These operating segments represent the basis on which the Company’s chief operating decision maker regularly evaluates the business in assessing performance, determining the allocation of resources and the pursuit of future growth opportunities. Accordingly, the Company has determined that each of its operating segments represent a reportable segment. The three reportable segments follow the same accounting policies used for the Company’s consolidated financial statements.</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5" w:name="page16"/>
    <w:bookmarkEnd w:id="1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Following is a summary of the financial information for the Company’s reportable segments (in thousands):</w:t>
      </w:r>
    </w:p>
    <w:p>
      <w:pPr>
        <w:spacing w:after="0" w:line="200" w:lineRule="exact"/>
        <w:rPr>
          <w:sz w:val="20"/>
          <w:szCs w:val="20"/>
          <w:color w:val="auto"/>
        </w:rPr>
      </w:pPr>
    </w:p>
    <w:p>
      <w:pPr>
        <w:spacing w:after="0" w:line="237"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14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Direct-to-</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International</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560" w:type="dxa"/>
            <w:vAlign w:val="bottom"/>
          </w:tcPr>
          <w:p>
            <w:pPr>
              <w:spacing w:after="0"/>
              <w:rPr>
                <w:sz w:val="20"/>
                <w:szCs w:val="20"/>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Consumer</w:t>
            </w:r>
          </w:p>
        </w:tc>
        <w:tc>
          <w:tcPr>
            <w:tcW w:w="1400" w:type="dxa"/>
            <w:vAlign w:val="bottom"/>
            <w:gridSpan w:val="2"/>
          </w:tcPr>
          <w:p>
            <w:pPr>
              <w:ind w:left="140"/>
              <w:spacing w:after="0"/>
              <w:rPr>
                <w:sz w:val="20"/>
                <w:szCs w:val="20"/>
                <w:color w:val="auto"/>
              </w:rPr>
            </w:pPr>
            <w:r>
              <w:rPr>
                <w:rFonts w:ascii="Arial" w:cs="Arial" w:eastAsia="Arial" w:hAnsi="Arial"/>
                <w:sz w:val="18"/>
                <w:szCs w:val="18"/>
                <w:b w:val="1"/>
                <w:bCs w:val="1"/>
                <w:color w:val="auto"/>
              </w:rPr>
              <w:t>Commercial</w:t>
            </w:r>
          </w:p>
        </w:tc>
        <w:tc>
          <w:tcPr>
            <w:tcW w:w="14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Franchising</w:t>
            </w:r>
          </w:p>
        </w:tc>
        <w:tc>
          <w:tcPr>
            <w:tcW w:w="1300" w:type="dxa"/>
            <w:vAlign w:val="bottom"/>
            <w:gridSpan w:val="2"/>
          </w:tcPr>
          <w:p>
            <w:pPr>
              <w:ind w:left="400"/>
              <w:spacing w:after="0"/>
              <w:rPr>
                <w:sz w:val="20"/>
                <w:szCs w:val="20"/>
                <w:color w:val="auto"/>
              </w:rPr>
            </w:pPr>
            <w:r>
              <w:rPr>
                <w:rFonts w:ascii="Arial" w:cs="Arial" w:eastAsia="Arial" w:hAnsi="Arial"/>
                <w:sz w:val="18"/>
                <w:szCs w:val="18"/>
                <w:b w:val="1"/>
                <w:bCs w:val="1"/>
                <w:color w:val="auto"/>
              </w:rPr>
              <w:t>Total</w:t>
            </w: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Thirteen weeks ended May 2, 2020</w:t>
            </w: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60" w:type="dxa"/>
            <w:vAlign w:val="bottom"/>
          </w:tcPr>
          <w:p>
            <w:pPr>
              <w:ind w:left="160"/>
              <w:spacing w:after="0"/>
              <w:rPr>
                <w:sz w:val="20"/>
                <w:szCs w:val="20"/>
                <w:color w:val="auto"/>
              </w:rPr>
            </w:pPr>
            <w:r>
              <w:rPr>
                <w:rFonts w:ascii="Arial" w:cs="Arial" w:eastAsia="Arial" w:hAnsi="Arial"/>
                <w:sz w:val="18"/>
                <w:szCs w:val="18"/>
                <w:color w:val="auto"/>
              </w:rPr>
              <w:t>Net sales to external customers</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$ 45,647</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$ 333</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$ 644</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$ 46,624</w:t>
            </w:r>
          </w:p>
        </w:tc>
      </w:tr>
      <w:tr>
        <w:trPr>
          <w:trHeight w:val="216"/>
        </w:trPr>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before income taxes</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(18,376)</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(249)</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(18,664)</w:t>
            </w:r>
          </w:p>
        </w:tc>
      </w:tr>
      <w:tr>
        <w:trPr>
          <w:trHeight w:val="216"/>
        </w:trPr>
        <w:tc>
          <w:tcPr>
            <w:tcW w:w="4560" w:type="dxa"/>
            <w:vAlign w:val="bottom"/>
          </w:tcPr>
          <w:p>
            <w:pPr>
              <w:ind w:left="160"/>
              <w:spacing w:after="0"/>
              <w:rPr>
                <w:sz w:val="20"/>
                <w:szCs w:val="20"/>
                <w:color w:val="auto"/>
              </w:rPr>
            </w:pPr>
            <w:r>
              <w:rPr>
                <w:rFonts w:ascii="Arial" w:cs="Arial" w:eastAsia="Arial" w:hAnsi="Arial"/>
                <w:sz w:val="18"/>
                <w:szCs w:val="18"/>
                <w:color w:val="auto"/>
              </w:rPr>
              <w:t>Capital expenditures</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2,849</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2,849</w:t>
            </w:r>
          </w:p>
        </w:tc>
      </w:tr>
      <w:tr>
        <w:trPr>
          <w:trHeight w:val="216"/>
        </w:trPr>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3,450</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3,457</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Thirteen weeks ended May 4, 2019</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sales to external customers</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$ 81,048</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$ 2,754</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$ 560</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$ 84,362</w:t>
            </w:r>
          </w:p>
        </w:tc>
      </w:tr>
      <w:tr>
        <w:trPr>
          <w:trHeight w:val="216"/>
        </w:trPr>
        <w:tc>
          <w:tcPr>
            <w:tcW w:w="4560" w:type="dxa"/>
            <w:vAlign w:val="bottom"/>
          </w:tcPr>
          <w:p>
            <w:pPr>
              <w:ind w:left="160"/>
              <w:spacing w:after="0"/>
              <w:rPr>
                <w:sz w:val="20"/>
                <w:szCs w:val="20"/>
                <w:color w:val="auto"/>
              </w:rPr>
            </w:pPr>
            <w:r>
              <w:rPr>
                <w:rFonts w:ascii="Arial" w:cs="Arial" w:eastAsia="Arial" w:hAnsi="Arial"/>
                <w:sz w:val="18"/>
                <w:szCs w:val="18"/>
                <w:color w:val="auto"/>
              </w:rPr>
              <w:t>Income before income taxes</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1,094</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1,215</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101</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2,410</w:t>
            </w:r>
          </w:p>
        </w:tc>
      </w:tr>
      <w:tr>
        <w:trPr>
          <w:trHeight w:val="216"/>
        </w:trPr>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expenditures</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2,440</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2,440</w:t>
            </w:r>
          </w:p>
        </w:tc>
      </w:tr>
      <w:tr>
        <w:trPr>
          <w:trHeight w:val="216"/>
        </w:trPr>
        <w:tc>
          <w:tcPr>
            <w:tcW w:w="456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3,510</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3,512</w:t>
            </w:r>
          </w:p>
        </w:tc>
      </w:tr>
      <w:tr>
        <w:trPr>
          <w:trHeight w:val="216"/>
        </w:trPr>
        <w:tc>
          <w:tcPr>
            <w:tcW w:w="45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Total Assets as of:</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May 2, 2020</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262,693</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6,563</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7,571</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$ 276,827</w:t>
            </w:r>
          </w:p>
        </w:tc>
      </w:tr>
      <w:tr>
        <w:trPr>
          <w:trHeight w:val="230"/>
        </w:trPr>
        <w:tc>
          <w:tcPr>
            <w:tcW w:w="4560" w:type="dxa"/>
            <w:vAlign w:val="bottom"/>
          </w:tcPr>
          <w:p>
            <w:pPr>
              <w:ind w:left="160"/>
              <w:spacing w:after="0"/>
              <w:rPr>
                <w:sz w:val="20"/>
                <w:szCs w:val="20"/>
                <w:color w:val="auto"/>
              </w:rPr>
            </w:pPr>
            <w:r>
              <w:rPr>
                <w:rFonts w:ascii="Arial" w:cs="Arial" w:eastAsia="Arial" w:hAnsi="Arial"/>
                <w:sz w:val="18"/>
                <w:szCs w:val="18"/>
                <w:color w:val="auto"/>
              </w:rPr>
              <w:t>May 4, 2019</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295,558</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8,004</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5,969</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309,531</w:t>
            </w:r>
          </w:p>
        </w:tc>
      </w:tr>
    </w:tbl>
    <w:p>
      <w:pPr>
        <w:spacing w:after="0" w:line="187"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The Company’s reportable segments are primarily determined by the types of products and services that they offer. Each reportable segment may operate in many geographic areas. Revenues are recognized in the geographic areas based on the location of the customer or franchisee. The following schedule is a summary of the Company’s sales to external customers and long-lived assets by geographic area (in thousands):</w:t>
      </w:r>
    </w:p>
    <w:p>
      <w:pPr>
        <w:spacing w:after="0" w:line="36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North</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5"/>
              </w:rPr>
              <w:t>America (1)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b w:val="1"/>
                <w:bCs w:val="1"/>
                <w:color w:val="auto"/>
              </w:rPr>
              <w:t>Europe (2)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Other (3)</w:t>
            </w:r>
          </w:p>
        </w:tc>
        <w:tc>
          <w:tcPr>
            <w:tcW w:w="240" w:type="dxa"/>
            <w:vAlign w:val="bottom"/>
          </w:tcPr>
          <w:p>
            <w:pPr>
              <w:spacing w:after="0"/>
              <w:rPr>
                <w:sz w:val="20"/>
                <w:szCs w:val="20"/>
                <w:color w:val="auto"/>
              </w:rPr>
            </w:pPr>
          </w:p>
        </w:tc>
        <w:tc>
          <w:tcPr>
            <w:tcW w:w="106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Thirteen weeks ended May 2, 2020</w:t>
            </w: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60" w:type="dxa"/>
            <w:vAlign w:val="bottom"/>
          </w:tcPr>
          <w:p>
            <w:pPr>
              <w:ind w:left="160"/>
              <w:spacing w:after="0"/>
              <w:rPr>
                <w:sz w:val="20"/>
                <w:szCs w:val="20"/>
                <w:color w:val="auto"/>
              </w:rPr>
            </w:pPr>
            <w:r>
              <w:rPr>
                <w:rFonts w:ascii="Arial" w:cs="Arial" w:eastAsia="Arial" w:hAnsi="Arial"/>
                <w:sz w:val="18"/>
                <w:szCs w:val="18"/>
                <w:color w:val="auto"/>
              </w:rPr>
              <w:t>Net sales to external customers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39,651</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6,665</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308</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46,624</w:t>
            </w:r>
          </w:p>
        </w:tc>
      </w:tr>
      <w:tr>
        <w:trPr>
          <w:trHeight w:val="216"/>
        </w:trPr>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56,915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61,626</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Thirteen weeks ended May 4, 2019</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sales to external customers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72,941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10,887</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534</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84,362</w:t>
            </w:r>
          </w:p>
        </w:tc>
      </w:tr>
      <w:tr>
        <w:trPr>
          <w:trHeight w:val="230"/>
        </w:trPr>
        <w:tc>
          <w:tcPr>
            <w:tcW w:w="4560" w:type="dxa"/>
            <w:vAlign w:val="bottom"/>
          </w:tcPr>
          <w:p>
            <w:pPr>
              <w:ind w:left="160"/>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59,502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5,839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65,357</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table only:</w:t>
      </w:r>
    </w:p>
    <w:p>
      <w:pPr>
        <w:spacing w:after="0" w:line="23" w:lineRule="exact"/>
        <w:rPr>
          <w:sz w:val="20"/>
          <w:szCs w:val="20"/>
          <w:color w:val="auto"/>
        </w:rPr>
      </w:pPr>
    </w:p>
    <w:p>
      <w:pPr>
        <w:ind w:left="300" w:hanging="292"/>
        <w:spacing w:after="0"/>
        <w:tabs>
          <w:tab w:leader="none" w:pos="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North America includes corporately managed locations in the United States, Canada, Puerto Rico.</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Europe includes corporately managed locations in the U.K., Ireland, Denmark and franchise businesses in Europe</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includes franchise businesses outside of North America and Europe and a corporately-managed location in China</w:t>
      </w:r>
    </w:p>
    <w:p>
      <w:pPr>
        <w:spacing w:after="0" w:line="23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18" w:right="479" w:bottom="1440" w:gutter="0" w:footer="0" w:header="0"/>
        </w:sectPr>
      </w:pPr>
    </w:p>
    <w:bookmarkStart w:id="16" w:name="page17"/>
    <w:bookmarkEnd w:id="16"/>
    <w:p>
      <w:pPr>
        <w:ind w:left="20"/>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12. Contingencies</w:t>
      </w:r>
    </w:p>
    <w:p>
      <w:pPr>
        <w:spacing w:after="0" w:line="229" w:lineRule="exact"/>
        <w:rPr>
          <w:sz w:val="20"/>
          <w:szCs w:val="20"/>
          <w:color w:val="auto"/>
        </w:rPr>
      </w:pPr>
    </w:p>
    <w:p>
      <w:pPr>
        <w:ind w:left="20" w:firstLine="648"/>
        <w:spacing w:after="0" w:line="257" w:lineRule="auto"/>
        <w:rPr>
          <w:sz w:val="20"/>
          <w:szCs w:val="20"/>
          <w:color w:val="auto"/>
        </w:rPr>
      </w:pPr>
      <w:r>
        <w:rPr>
          <w:rFonts w:ascii="Arial" w:cs="Arial" w:eastAsia="Arial" w:hAnsi="Arial"/>
          <w:sz w:val="18"/>
          <w:szCs w:val="18"/>
          <w:color w:val="auto"/>
        </w:rPr>
        <w:t>In the normal course of business, the Company is subject to legal proceedings, government inquiries and claims, and other commercial disputes. If one or more of these matters has an unfavorable resolution, it is possible that the results of operations, liquidity or financial position of the Company could be materially affected in any particular period. The Company accrues a liability for these types of contingencies when it believes that it is both probable that a liability has been incurred and that it can reasonably estimate the amount of the loss. Gain contingencies are recorded when the underlying uncertainty has been settled.</w:t>
      </w:r>
    </w:p>
    <w:p>
      <w:pPr>
        <w:spacing w:after="0" w:line="188" w:lineRule="exact"/>
        <w:rPr>
          <w:sz w:val="20"/>
          <w:szCs w:val="20"/>
          <w:color w:val="auto"/>
        </w:rPr>
      </w:pPr>
    </w:p>
    <w:p>
      <w:pPr>
        <w:ind w:left="20" w:firstLine="648"/>
        <w:spacing w:after="0" w:line="291" w:lineRule="auto"/>
        <w:rPr>
          <w:sz w:val="20"/>
          <w:szCs w:val="20"/>
          <w:color w:val="auto"/>
        </w:rPr>
      </w:pPr>
      <w:r>
        <w:rPr>
          <w:rFonts w:ascii="Arial" w:cs="Arial" w:eastAsia="Arial" w:hAnsi="Arial"/>
          <w:sz w:val="16"/>
          <w:szCs w:val="16"/>
          <w:color w:val="auto"/>
        </w:rPr>
        <w:t>Assessments made by the U.K. customs authority in 2012 were appealed by the Company, which has paid the disputed duty, strictly under protest, pending the outcome of the continuing dispute, and this is included in receivables, net in the DTC segment. The U. K. customs authority contested the Company's appeal. On November 27, 2019, the trial court issued a ruling that duty was due on some, but not all, of the products at issue. Both the Company and the U.K. customs authority have appealed that ruling, which was accepted by tribunal judge on June 1, 2020. The Company maintains a provision against the related receivable, based on a current evaluation of collectability, using the latest facts available in the dispute. As of May 2, 2020, the Company had a gross receivable balance of $4.2 million and a reserve of $3.4 million, leaving a net receivable of $0.8 million. The Company believes that the outcome of this dispute will not have a material adverse impact on the results of operations, liquidity or financial position of the Company.</w:t>
      </w:r>
    </w:p>
    <w:p>
      <w:pPr>
        <w:spacing w:after="0" w:line="200" w:lineRule="exact"/>
        <w:rPr>
          <w:sz w:val="20"/>
          <w:szCs w:val="20"/>
          <w:color w:val="auto"/>
        </w:rPr>
      </w:pPr>
    </w:p>
    <w:p>
      <w:pPr>
        <w:spacing w:after="0" w:line="20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13. Subsequent Events</w:t>
      </w:r>
    </w:p>
    <w:p>
      <w:pPr>
        <w:spacing w:after="0" w:line="229" w:lineRule="exact"/>
        <w:rPr>
          <w:sz w:val="20"/>
          <w:szCs w:val="20"/>
          <w:color w:val="auto"/>
        </w:rPr>
      </w:pPr>
    </w:p>
    <w:p>
      <w:pPr>
        <w:ind w:right="100" w:firstLine="648"/>
        <w:spacing w:after="0" w:line="286" w:lineRule="auto"/>
        <w:rPr>
          <w:sz w:val="20"/>
          <w:szCs w:val="20"/>
          <w:color w:val="auto"/>
        </w:rPr>
      </w:pPr>
      <w:r>
        <w:rPr>
          <w:rFonts w:ascii="Arial" w:cs="Arial" w:eastAsia="Arial" w:hAnsi="Arial"/>
          <w:sz w:val="16"/>
          <w:szCs w:val="16"/>
          <w:color w:val="auto"/>
        </w:rPr>
        <w:t>On May 28, 2020, we entered into the twenty-first amendment to our credit agreement, which, among other revisions, reduced the total facility to $10.0 million with U.S. Bank National Association, as lender. Borrowings under the credit agreement are secured by our assets and a pledge of 66% of our ownership interest in certain of our foreign subsidiaries. The credit agreement expires on September 30, 2020 and contains various restrictions on indebtedness, liens, guarantees, redemptions, mergers, acquisitions or sale of assets, loans, transactions with affiliates and investments. The agreement limits the conditions under which the Company may declare dividends and repurchase shares. For example, we may not use the proceeds of the line of credit to repurchase shares. The commitment fee is 0.25% per annum and borrowings bear interest at LIBOR plus 3.25%. The amendment eliminated the minimum EBITDA, funded debt ratio, and fixed charge coverage ratio covenants as of the end of each reporting period, but imposed other restrictions, including a requirement to maintain a minimum consolidated North American cash balance of $3 million at all times and, at the time of borrowing, have no more than $5 million of consolidated North American cash and meet a fixed charge coverage ratio as of the most recent quarter-end on a trailing 12-month basis of less than 1.25 to 1.00. In addition, the Company had a $1.0 million letter of credit against the line of credit at the end of the first quarter of fiscal 2020. As of the end of the first quarter of fiscal 2020 under the credit agreement as amended on May 28, 2020, we were in compliance with the restrictions stated in the agreement and there were no borrowings under the line of credit. Although there was $9.0 million available for borrowing under the line of credit as of the end of the first quarter, because of the amendments described above, we do not expect to access the credit agreement prior to its expiration on September 30, 2020 because we expect to have cash of more than $5 million and given our trailing twelve month financial results, we do not expect to meet the required fixed charge coverage ratio.</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00" w:top="118" w:right="379" w:bottom="1440" w:gutter="0" w:footer="0" w:header="0"/>
        </w:sectPr>
      </w:pPr>
    </w:p>
    <w:bookmarkStart w:id="17" w:name="page18"/>
    <w:bookmarkEnd w:id="1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Notice Regarding Forward-Looking Statements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contains forward-looking statements that involve risks and uncertainties, and we undertake no obligation to update these statements except as required by the federal securities laws. Our actual results may differ materially from the results discussed in the forward-looking statements. These risks and uncertainties include, without limitation, those detailed under the caption “Risk Factors” in the Company’s Annual Report on Form 10-K for the fiscal year ended February 1, 2020, as filed with the SEC, and include the following:</w:t>
      </w:r>
    </w:p>
    <w:p>
      <w:pPr>
        <w:spacing w:after="0" w:line="188" w:lineRule="exact"/>
        <w:rPr>
          <w:sz w:val="20"/>
          <w:szCs w:val="20"/>
          <w:color w:val="auto"/>
        </w:rPr>
      </w:pPr>
    </w:p>
    <w:p>
      <w:pPr>
        <w:ind w:left="500" w:right="180" w:hanging="195"/>
        <w:spacing w:after="0" w:line="287" w:lineRule="auto"/>
        <w:tabs>
          <w:tab w:leader="none" w:pos="5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business, operations and financial results have been and will continue to be negatively affected by the COVID-19 pandemic, which presents uncertainty relating to its anticipated duration and scope and whether there will a second wave or periods of increases in the number of COVID-19 cases in areas in which we operate, as well the restrictions imposed by federal, state, and local governments in response to the pandemic;</w:t>
      </w:r>
    </w:p>
    <w:p>
      <w:pPr>
        <w:spacing w:after="0" w:line="2" w:lineRule="exact"/>
        <w:rPr>
          <w:rFonts w:ascii="Arial" w:cs="Arial" w:eastAsia="Arial" w:hAnsi="Arial"/>
          <w:sz w:val="16"/>
          <w:szCs w:val="16"/>
          <w:color w:val="auto"/>
        </w:rPr>
      </w:pPr>
    </w:p>
    <w:p>
      <w:pPr>
        <w:ind w:left="500" w:right="400" w:hanging="195"/>
        <w:spacing w:after="0" w:line="250"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sustained decline in general global economic conditions, caused by the COVID-19 pandemic or otherwise, could lead to disproportionately reduced consumer demand for our products, which represent relatively discretionary spending, and have an adverse effect on our liquidity and profitability;</w:t>
      </w:r>
    </w:p>
    <w:p>
      <w:pPr>
        <w:spacing w:after="0" w:line="1" w:lineRule="exact"/>
        <w:rPr>
          <w:rFonts w:ascii="Arial" w:cs="Arial" w:eastAsia="Arial" w:hAnsi="Arial"/>
          <w:sz w:val="18"/>
          <w:szCs w:val="18"/>
          <w:color w:val="auto"/>
        </w:rPr>
      </w:pPr>
    </w:p>
    <w:p>
      <w:pPr>
        <w:ind w:left="500" w:right="20" w:hanging="195"/>
        <w:spacing w:after="0" w:line="250"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depend upon the shopping malls and tourist locations in which we are located to attract guests to our stores and a decline in consumer traffic, or if such consumer traffic does not return to levels that we saw prior to the COVID-19 pandemic, could adversely affect our financial performance and profitability;</w:t>
      </w:r>
    </w:p>
    <w:p>
      <w:pPr>
        <w:spacing w:after="0" w:line="1" w:lineRule="exact"/>
        <w:rPr>
          <w:rFonts w:ascii="Arial" w:cs="Arial" w:eastAsia="Arial" w:hAnsi="Arial"/>
          <w:sz w:val="18"/>
          <w:szCs w:val="18"/>
          <w:color w:val="auto"/>
        </w:rPr>
      </w:pPr>
    </w:p>
    <w:p>
      <w:pPr>
        <w:ind w:left="500" w:right="60" w:hanging="195"/>
        <w:spacing w:after="0" w:line="250"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connection with the reopening of our stores, we have modified our interactive shopping experience in order to comply with social distancing and sanitation practices. These modifications could have a negative impact on the appeal of our interactive shopping experience and reduce guest traffic to our stores. In addition, we are continuing to assess the impacts that such measures have on individual store performance due to the decreased volume of guests that may be able to enjoy our interactive shopping experience, and such reduced guest volume could adversely impact our ability to operate our stores profitably;</w:t>
      </w:r>
    </w:p>
    <w:p>
      <w:pPr>
        <w:spacing w:after="0" w:line="1" w:lineRule="exact"/>
        <w:rPr>
          <w:rFonts w:ascii="Arial" w:cs="Arial" w:eastAsia="Arial" w:hAnsi="Arial"/>
          <w:sz w:val="18"/>
          <w:szCs w:val="18"/>
          <w:color w:val="auto"/>
        </w:rPr>
      </w:pPr>
    </w:p>
    <w:p>
      <w:pPr>
        <w:ind w:left="500" w:hanging="195"/>
        <w:spacing w:after="0"/>
        <w:tabs>
          <w:tab w:leader="none" w:pos="5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may experience store closures shopping malls and tourist locations and other impacts to our business resulting from civil disturbances;</w:t>
      </w:r>
    </w:p>
    <w:p>
      <w:pPr>
        <w:spacing w:after="0" w:line="20" w:lineRule="exact"/>
        <w:rPr>
          <w:rFonts w:ascii="Arial" w:cs="Arial" w:eastAsia="Arial" w:hAnsi="Arial"/>
          <w:sz w:val="17"/>
          <w:szCs w:val="17"/>
          <w:color w:val="auto"/>
        </w:rPr>
      </w:pPr>
    </w:p>
    <w:p>
      <w:pPr>
        <w:jc w:val="both"/>
        <w:ind w:left="500" w:right="120" w:hanging="195"/>
        <w:spacing w:after="0" w:line="250"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believe the hands-on and interactive nature of our store and high touch service model result in guests forming an emotional connection with our brand, which in turn drives the success of our ecommerce platform; if we are not able to offer the same experience in the short and medium-term, it may adversely affect the value of our brand;</w:t>
      </w:r>
    </w:p>
    <w:p>
      <w:pPr>
        <w:spacing w:after="0" w:line="1" w:lineRule="exact"/>
        <w:rPr>
          <w:rFonts w:ascii="Arial" w:cs="Arial" w:eastAsia="Arial" w:hAnsi="Arial"/>
          <w:sz w:val="18"/>
          <w:szCs w:val="18"/>
          <w:color w:val="auto"/>
        </w:rPr>
      </w:pPr>
    </w:p>
    <w:p>
      <w:pPr>
        <w:ind w:left="500" w:right="460" w:hanging="195"/>
        <w:spacing w:after="0" w:line="250"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birthdays and other special occasions have historically been a key driver for store traffic, and our guests’ willingness to hold such events at our stores may adversely affect store performance and our overall profitability;</w:t>
      </w:r>
    </w:p>
    <w:p>
      <w:pPr>
        <w:ind w:left="500" w:right="160" w:hanging="195"/>
        <w:spacing w:after="0" w:line="250"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we are unable to generate interest in and demand for our interactive retail experience and products, including being able to adjust that experience consistent with our guests' expectations as the general retail economy emerges from the restrictiosn imposed by the COVID-19 pandemic, and to otherwise identify and respond to consumer preferences in a timely manner, our sales, financial condition and profitability could be adversely affected;</w:t>
      </w:r>
    </w:p>
    <w:p>
      <w:pPr>
        <w:spacing w:after="0" w:line="1" w:lineRule="exact"/>
        <w:rPr>
          <w:rFonts w:ascii="Arial" w:cs="Arial" w:eastAsia="Arial" w:hAnsi="Arial"/>
          <w:sz w:val="18"/>
          <w:szCs w:val="18"/>
          <w:color w:val="auto"/>
        </w:rPr>
      </w:pPr>
    </w:p>
    <w:p>
      <w:pPr>
        <w:ind w:left="500" w:right="60" w:hanging="195"/>
        <w:spacing w:after="0" w:line="250"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be unable to leverage the flexibility within our existing real estate portfolio to capitalize on future real estate opportunities over the near and intermediate term as our leases come up for renewal, and there may be other costs and risks relating to a brick and mortar retail store model such as a lack of available retail store sites on terms acceptable to us as a result;</w:t>
      </w:r>
    </w:p>
    <w:p>
      <w:pPr>
        <w:spacing w:after="0" w:line="1" w:lineRule="exact"/>
        <w:rPr>
          <w:rFonts w:ascii="Arial" w:cs="Arial" w:eastAsia="Arial" w:hAnsi="Arial"/>
          <w:sz w:val="18"/>
          <w:szCs w:val="18"/>
          <w:color w:val="auto"/>
        </w:rPr>
      </w:pPr>
    </w:p>
    <w:p>
      <w:pPr>
        <w:ind w:left="500" w:right="220" w:hanging="195"/>
        <w:spacing w:after="0" w:line="250"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consumer interests change rapidly and our success depends on the ongoing effectiveness of our marketing and online initiatives to build consumer affinity for our brand and drive consumer demand for key products and services;</w:t>
      </w:r>
    </w:p>
    <w:p>
      <w:pPr>
        <w:ind w:left="500" w:hanging="195"/>
        <w:spacing w:after="0" w:line="250"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are subject to a number of risks related to disruptions, failures or security breaches of our information technology infrastructure. If we improperly obtain or are unable to protect our data or violate privacy or security laws such as the GDPR, the CCPA or the California Privacy Rights Act (if adopted), or expectations, we could be subject to liability as well as damage to our reputation;</w:t>
      </w:r>
    </w:p>
    <w:p>
      <w:pPr>
        <w:spacing w:after="0" w:line="1" w:lineRule="exact"/>
        <w:rPr>
          <w:rFonts w:ascii="Arial" w:cs="Arial" w:eastAsia="Arial" w:hAnsi="Arial"/>
          <w:sz w:val="18"/>
          <w:szCs w:val="18"/>
          <w:color w:val="auto"/>
        </w:rPr>
      </w:pPr>
    </w:p>
    <w:p>
      <w:pPr>
        <w:ind w:left="500" w:right="120" w:hanging="195"/>
        <w:spacing w:after="0" w:line="250"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not be able to operate successfully if we lose key personnel, are unable to hire qualified additional personnel, or experience turnover of our management team;</w:t>
      </w:r>
    </w:p>
    <w:p>
      <w:pPr>
        <w:ind w:left="500" w:hanging="195"/>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are subject to risks associated with technology and digital operations;</w:t>
      </w:r>
    </w:p>
    <w:p>
      <w:pPr>
        <w:spacing w:after="0" w:line="9" w:lineRule="exact"/>
        <w:rPr>
          <w:rFonts w:ascii="Arial" w:cs="Arial" w:eastAsia="Arial" w:hAnsi="Arial"/>
          <w:sz w:val="18"/>
          <w:szCs w:val="18"/>
          <w:color w:val="auto"/>
        </w:rPr>
      </w:pPr>
    </w:p>
    <w:p>
      <w:pPr>
        <w:ind w:left="500" w:right="180" w:hanging="195"/>
        <w:spacing w:after="0" w:line="255"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not be able to evolve our store locations over time to align with market trends, successfully diversify our store models and formats in accordance with our strategic goals or otherwise effectively manage our overall portfolio of stores which could adversely affect our ability to grow and could significantly harm our profitability;</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520" w:right="40" w:hanging="202"/>
        <w:spacing w:after="0" w:line="258"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rely on a few global supply chain vendors to supply substantially all of our merchandise, and significant price increases or any disruption in their ability to deliver merchandise could harm our ability to source products and supply inventory to our stores;</w:t>
      </w:r>
    </w:p>
    <w:p>
      <w:pPr>
        <w:spacing w:after="0" w:line="1" w:lineRule="exact"/>
        <w:rPr>
          <w:rFonts w:ascii="Arial" w:cs="Arial" w:eastAsia="Arial" w:hAnsi="Arial"/>
          <w:sz w:val="18"/>
          <w:szCs w:val="18"/>
          <w:color w:val="auto"/>
        </w:rPr>
      </w:pPr>
    </w:p>
    <w:p>
      <w:pPr>
        <w:ind w:left="520" w:right="100" w:hanging="202"/>
        <w:spacing w:after="0" w:line="281" w:lineRule="auto"/>
        <w:tabs>
          <w:tab w:leader="none" w:pos="5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company-owned distribution center which services the majority of our stores in North America and our third-party distribution center providers used in the western United States and Europe may experience disruptions in their ability to support our stores or may operate inefficiently;</w:t>
      </w:r>
    </w:p>
    <w:p>
      <w:pPr>
        <w:spacing w:after="0" w:line="1" w:lineRule="exact"/>
        <w:rPr>
          <w:rFonts w:ascii="Arial" w:cs="Arial" w:eastAsia="Arial" w:hAnsi="Arial"/>
          <w:sz w:val="16"/>
          <w:szCs w:val="16"/>
          <w:color w:val="auto"/>
        </w:rPr>
      </w:pPr>
    </w:p>
    <w:p>
      <w:pPr>
        <w:jc w:val="both"/>
        <w:ind w:left="520" w:right="220" w:hanging="202"/>
        <w:spacing w:after="0" w:line="250"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merchandise is manufactured by foreign manufacturers and we transact business in various foreign countries, and the availability and costs of our products, as well as our product pricing, may be negatively affected by risks associated with international manufacturing and trade, tariffs and foreign currency fluctuations;</w:t>
      </w:r>
    </w:p>
    <w:p>
      <w:pPr>
        <w:spacing w:after="0" w:line="1" w:lineRule="exact"/>
        <w:rPr>
          <w:rFonts w:ascii="Arial" w:cs="Arial" w:eastAsia="Arial" w:hAnsi="Arial"/>
          <w:sz w:val="18"/>
          <w:szCs w:val="18"/>
          <w:color w:val="auto"/>
        </w:rPr>
      </w:pPr>
    </w:p>
    <w:p>
      <w:pPr>
        <w:ind w:left="520" w:right="440" w:hanging="202"/>
        <w:spacing w:after="0" w:line="265" w:lineRule="auto"/>
        <w:tabs>
          <w:tab w:leader="none" w:pos="5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if we are unable to effectively manage our international franchises, attract new franchisees or if the laws relating to our international franchises change, our growth and profitability could be adversely affected and we could be exposed to additional liability;</w:t>
      </w:r>
    </w:p>
    <w:p>
      <w:pPr>
        <w:ind w:left="520" w:hanging="202"/>
        <w:spacing w:after="0"/>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not be able to operate our international corporately-managed locations profitably;</w:t>
      </w:r>
    </w:p>
    <w:p>
      <w:pPr>
        <w:spacing w:after="0" w:line="9" w:lineRule="exact"/>
        <w:rPr>
          <w:rFonts w:ascii="Arial" w:cs="Arial" w:eastAsia="Arial" w:hAnsi="Arial"/>
          <w:sz w:val="18"/>
          <w:szCs w:val="18"/>
          <w:color w:val="auto"/>
        </w:rPr>
      </w:pPr>
    </w:p>
    <w:p>
      <w:pPr>
        <w:ind w:left="520" w:right="20" w:hanging="202"/>
        <w:spacing w:after="0" w:line="250"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fail to renew, register or otherwise protect our trademarks or other intellectual property and may be sued by third parties for infringement or, misappropriation of their proprietary rights, which could be costly, distract our management and personnel and which could result in the diminution in value of our trademarks and other important intellectual property;</w:t>
      </w:r>
    </w:p>
    <w:p>
      <w:pPr>
        <w:spacing w:after="0" w:line="1" w:lineRule="exact"/>
        <w:rPr>
          <w:rFonts w:ascii="Arial" w:cs="Arial" w:eastAsia="Arial" w:hAnsi="Arial"/>
          <w:sz w:val="18"/>
          <w:szCs w:val="18"/>
          <w:color w:val="auto"/>
        </w:rPr>
      </w:pPr>
    </w:p>
    <w:p>
      <w:pPr>
        <w:ind w:left="520" w:right="80" w:hanging="202"/>
        <w:spacing w:after="0" w:line="281" w:lineRule="auto"/>
        <w:tabs>
          <w:tab w:leader="none" w:pos="5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may suffer negative publicity or be sued if the manufacturers of our merchandise or of Build-A-Bear branded merchandise sold by our licensees ship any products that do not meet current safety standards or production requirements or if such products are recalled or cause injuries;</w:t>
      </w:r>
    </w:p>
    <w:p>
      <w:pPr>
        <w:spacing w:after="0" w:line="1" w:lineRule="exact"/>
        <w:rPr>
          <w:rFonts w:ascii="Arial" w:cs="Arial" w:eastAsia="Arial" w:hAnsi="Arial"/>
          <w:sz w:val="16"/>
          <w:szCs w:val="16"/>
          <w:color w:val="auto"/>
        </w:rPr>
      </w:pPr>
    </w:p>
    <w:p>
      <w:pPr>
        <w:ind w:left="520" w:hanging="202"/>
        <w:spacing w:after="0" w:line="250"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suffer negative publicity or be sued if the manufacturers of our merchandise violate labor laws or engage in practices that consumers believe are unethical;</w:t>
      </w:r>
    </w:p>
    <w:p>
      <w:pPr>
        <w:ind w:left="520" w:hanging="202"/>
        <w:spacing w:after="0"/>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profitability could be adversely affected by fluctuations in petroleum products prices;</w:t>
      </w:r>
    </w:p>
    <w:p>
      <w:pPr>
        <w:spacing w:after="0" w:line="9" w:lineRule="exact"/>
        <w:rPr>
          <w:rFonts w:ascii="Arial" w:cs="Arial" w:eastAsia="Arial" w:hAnsi="Arial"/>
          <w:sz w:val="18"/>
          <w:szCs w:val="18"/>
          <w:color w:val="auto"/>
        </w:rPr>
      </w:pPr>
    </w:p>
    <w:p>
      <w:pPr>
        <w:ind w:left="500" w:hanging="18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business may be adversely impacted at any time by a significant variety of competitive threats;</w:t>
      </w:r>
    </w:p>
    <w:p>
      <w:pPr>
        <w:spacing w:after="0" w:line="9" w:lineRule="exact"/>
        <w:rPr>
          <w:rFonts w:ascii="Arial" w:cs="Arial" w:eastAsia="Arial" w:hAnsi="Arial"/>
          <w:sz w:val="18"/>
          <w:szCs w:val="18"/>
          <w:color w:val="auto"/>
        </w:rPr>
      </w:pPr>
    </w:p>
    <w:p>
      <w:pPr>
        <w:ind w:left="500" w:right="40" w:hanging="182"/>
        <w:spacing w:after="0" w:line="250"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suffer negative publicity or a decrease in sales or profitability if the products from other companies that we sell in our stores do not meet our quality standards or fail to achieve our sales expectations;</w:t>
      </w:r>
    </w:p>
    <w:p>
      <w:pPr>
        <w:ind w:left="500" w:hanging="182"/>
        <w:spacing w:after="0"/>
        <w:tabs>
          <w:tab w:leader="none" w:pos="5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may be unsuccessful in engaging in various strategic transactions, which may negatively affect our financial condition and profitability;</w:t>
      </w:r>
    </w:p>
    <w:p>
      <w:pPr>
        <w:spacing w:after="0" w:line="20" w:lineRule="exact"/>
        <w:rPr>
          <w:rFonts w:ascii="Arial" w:cs="Arial" w:eastAsia="Arial" w:hAnsi="Arial"/>
          <w:sz w:val="17"/>
          <w:szCs w:val="17"/>
          <w:color w:val="auto"/>
        </w:rPr>
      </w:pPr>
    </w:p>
    <w:p>
      <w:pPr>
        <w:ind w:left="500" w:hanging="182"/>
        <w:spacing w:after="0"/>
        <w:tabs>
          <w:tab w:leader="none" w:pos="5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duration of our plan to not utilize cash to resume share repurchases while we continue to take measure to preserve our cash position;</w:t>
      </w:r>
    </w:p>
    <w:p>
      <w:pPr>
        <w:spacing w:after="0" w:line="20" w:lineRule="exact"/>
        <w:rPr>
          <w:rFonts w:ascii="Arial" w:cs="Arial" w:eastAsia="Arial" w:hAnsi="Arial"/>
          <w:sz w:val="17"/>
          <w:szCs w:val="17"/>
          <w:color w:val="auto"/>
        </w:rPr>
      </w:pPr>
    </w:p>
    <w:p>
      <w:pPr>
        <w:ind w:left="500" w:hanging="18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our quarterly results of operations could cause the price of our common stock to substantially decline;</w:t>
      </w:r>
    </w:p>
    <w:p>
      <w:pPr>
        <w:spacing w:after="0" w:line="9" w:lineRule="exact"/>
        <w:rPr>
          <w:rFonts w:ascii="Arial" w:cs="Arial" w:eastAsia="Arial" w:hAnsi="Arial"/>
          <w:sz w:val="18"/>
          <w:szCs w:val="18"/>
          <w:color w:val="auto"/>
        </w:rPr>
      </w:pPr>
    </w:p>
    <w:p>
      <w:pPr>
        <w:ind w:left="500" w:hanging="18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market price of our common stock is subject to volatility, which could in turn attract the interest of activist shareholders; and</w:t>
      </w:r>
    </w:p>
    <w:p>
      <w:pPr>
        <w:spacing w:after="0" w:line="9" w:lineRule="exact"/>
        <w:rPr>
          <w:rFonts w:ascii="Arial" w:cs="Arial" w:eastAsia="Arial" w:hAnsi="Arial"/>
          <w:sz w:val="18"/>
          <w:szCs w:val="18"/>
          <w:color w:val="auto"/>
        </w:rPr>
      </w:pPr>
    </w:p>
    <w:p>
      <w:pPr>
        <w:ind w:left="500" w:right="400" w:hanging="182"/>
        <w:spacing w:after="0" w:line="290" w:lineRule="auto"/>
        <w:tabs>
          <w:tab w:leader="none" w:pos="5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certificate of incorporation and bylaws and Delaware law contain provisions that may prevent or frustrate attempts to replace or remove our current management by our stockholders, even if such replacement or removal may be in our stockholders’ best interests.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are the only global company that offers an interactive “make your own stuffed animal” retail entertainment experience under the Build-A-Bear Workshop brand, in which guests participate in the stuffing, dressing, accessorizing and naming of their own teddy bears and other stuffed animals. As of May 2, 2020, we corporately managed 369 stores globally and had 80 internationally franchised stores under the Build-A-Bear Workshop brand. In addition to our stores, we sell products on our company-owned e-commerce sites and franchisee sites and through third parties under wholesale agreements.</w:t>
      </w:r>
    </w:p>
    <w:p>
      <w:pPr>
        <w:spacing w:after="0" w:line="188"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We operate in three segments that share the same infrastructure, including management, systems, merchandising and marketing, and generate revenues as follows:</w:t>
      </w:r>
    </w:p>
    <w:p>
      <w:pPr>
        <w:spacing w:after="0" w:line="170" w:lineRule="exact"/>
        <w:rPr>
          <w:sz w:val="20"/>
          <w:szCs w:val="20"/>
          <w:color w:val="auto"/>
        </w:rPr>
      </w:pPr>
    </w:p>
    <w:p>
      <w:pPr>
        <w:ind w:left="460" w:right="220" w:hanging="142"/>
        <w:spacing w:after="0" w:line="25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Direct-to-Consumer (“DTC”) – Corporately-managed retail stores located in the U.S., Canada, Puerto Rico, the U.K., Ireland, Denmark and China and two e-commerce sites;</w:t>
      </w:r>
    </w:p>
    <w:p>
      <w:pPr>
        <w:spacing w:after="0" w:line="1" w:lineRule="exact"/>
        <w:rPr>
          <w:rFonts w:ascii="Arial" w:cs="Arial" w:eastAsia="Arial" w:hAnsi="Arial"/>
          <w:sz w:val="18"/>
          <w:szCs w:val="18"/>
          <w:color w:val="auto"/>
        </w:rPr>
      </w:pPr>
    </w:p>
    <w:p>
      <w:pPr>
        <w:ind w:left="460" w:right="120" w:hanging="142"/>
        <w:spacing w:after="0" w:line="250"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Commercial – Transactions with other businesses, mainly comprised of wholesale product sales to third-party retailers and licensing our intellectual property, including entertainment properties, for third-party use; and</w:t>
      </w:r>
    </w:p>
    <w:p>
      <w:pPr>
        <w:ind w:left="460" w:hanging="142"/>
        <w:spacing w:after="0"/>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International franchising – Royalties as well as product and fixture sales from other international operations under franchise agreements.</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ind w:left="20"/>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20" w:right="340" w:firstLine="648"/>
        <w:spacing w:after="0" w:line="277" w:lineRule="auto"/>
        <w:rPr>
          <w:sz w:val="20"/>
          <w:szCs w:val="20"/>
          <w:color w:val="auto"/>
        </w:rPr>
      </w:pPr>
      <w:r>
        <w:rPr>
          <w:rFonts w:ascii="Arial" w:cs="Arial" w:eastAsia="Arial" w:hAnsi="Arial"/>
          <w:sz w:val="18"/>
          <w:szCs w:val="18"/>
          <w:color w:val="auto"/>
        </w:rPr>
        <w:t>Selected financial data attributable to each segment for the thirteen weeks ended May 2, 2020 and May 4, 2019 are set forth in the notes to our condensed consolidated financial statements included elsewhere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Update</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response to COVID-19, the Company has taken the following actions:</w:t>
      </w:r>
    </w:p>
    <w:p>
      <w:pPr>
        <w:spacing w:after="0" w:line="225" w:lineRule="exact"/>
        <w:rPr>
          <w:sz w:val="20"/>
          <w:szCs w:val="20"/>
          <w:color w:val="auto"/>
        </w:rPr>
      </w:pPr>
    </w:p>
    <w:p>
      <w:pPr>
        <w:ind w:left="520" w:hanging="182"/>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Reducing and deferring expenses</w:t>
      </w:r>
    </w:p>
    <w:p>
      <w:pPr>
        <w:spacing w:after="0" w:line="23" w:lineRule="exact"/>
        <w:rPr>
          <w:rFonts w:ascii="Arial" w:cs="Arial" w:eastAsia="Arial" w:hAnsi="Arial"/>
          <w:sz w:val="18"/>
          <w:szCs w:val="18"/>
          <w:color w:val="auto"/>
        </w:rPr>
      </w:pPr>
    </w:p>
    <w:p>
      <w:pPr>
        <w:ind w:left="840" w:hanging="151"/>
        <w:spacing w:after="0"/>
        <w:tabs>
          <w:tab w:leader="none" w:pos="8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Furlough of over 90% of its employees effective March 29, 2020;</w:t>
      </w:r>
    </w:p>
    <w:p>
      <w:pPr>
        <w:spacing w:after="0" w:line="9" w:lineRule="exact"/>
        <w:rPr>
          <w:rFonts w:ascii="Arial" w:cs="Arial" w:eastAsia="Arial" w:hAnsi="Arial"/>
          <w:sz w:val="18"/>
          <w:szCs w:val="18"/>
          <w:color w:val="auto"/>
        </w:rPr>
      </w:pPr>
    </w:p>
    <w:p>
      <w:pPr>
        <w:ind w:left="840" w:hanging="151"/>
        <w:spacing w:after="0"/>
        <w:tabs>
          <w:tab w:leader="none" w:pos="84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 20% reduction in compensation for all employees not on temporary leave including each of its executive officers effective March 29, 2020;</w:t>
      </w:r>
    </w:p>
    <w:p>
      <w:pPr>
        <w:spacing w:after="0" w:line="32" w:lineRule="exact"/>
        <w:rPr>
          <w:rFonts w:ascii="Arial" w:cs="Arial" w:eastAsia="Arial" w:hAnsi="Arial"/>
          <w:sz w:val="16"/>
          <w:szCs w:val="16"/>
          <w:color w:val="auto"/>
        </w:rPr>
      </w:pPr>
    </w:p>
    <w:p>
      <w:pPr>
        <w:ind w:left="840" w:hanging="151"/>
        <w:spacing w:after="0"/>
        <w:tabs>
          <w:tab w:leader="none" w:pos="8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Elimination of the cash retainer for all non-employee directors serving on its Board of Directors for the fiscal 2020 first quarter;</w:t>
      </w:r>
    </w:p>
    <w:p>
      <w:pPr>
        <w:spacing w:after="0" w:line="9" w:lineRule="exact"/>
        <w:rPr>
          <w:rFonts w:ascii="Arial" w:cs="Arial" w:eastAsia="Arial" w:hAnsi="Arial"/>
          <w:sz w:val="18"/>
          <w:szCs w:val="18"/>
          <w:color w:val="auto"/>
        </w:rPr>
      </w:pPr>
    </w:p>
    <w:p>
      <w:pPr>
        <w:ind w:left="520" w:right="180" w:firstLine="169"/>
        <w:spacing w:after="0" w:line="250" w:lineRule="auto"/>
        <w:tabs>
          <w:tab w:leader="none" w:pos="835"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delayed payment of 100% of the bonus earned by the company’s executive officers for fiscal 2019 performance and 80% of such bonuses earned by its other associates;</w:t>
      </w:r>
    </w:p>
    <w:p>
      <w:pPr>
        <w:ind w:left="840" w:hanging="151"/>
        <w:spacing w:after="0"/>
        <w:tabs>
          <w:tab w:leader="none" w:pos="8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delayed payment of the Company’s contribution to its 401(k) plan; and</w:t>
      </w:r>
    </w:p>
    <w:p>
      <w:pPr>
        <w:spacing w:after="0" w:line="9" w:lineRule="exact"/>
        <w:rPr>
          <w:rFonts w:ascii="Arial" w:cs="Arial" w:eastAsia="Arial" w:hAnsi="Arial"/>
          <w:sz w:val="18"/>
          <w:szCs w:val="18"/>
          <w:color w:val="auto"/>
        </w:rPr>
      </w:pPr>
    </w:p>
    <w:p>
      <w:pPr>
        <w:ind w:left="520" w:firstLine="169"/>
        <w:spacing w:after="0" w:line="265" w:lineRule="auto"/>
        <w:tabs>
          <w:tab w:leader="none" w:pos="835" w:val="left"/>
        </w:tabs>
        <w:numPr>
          <w:ilvl w:val="1"/>
          <w:numId w:val="14"/>
        </w:numPr>
        <w:rPr>
          <w:rFonts w:ascii="Arial" w:cs="Arial" w:eastAsia="Arial" w:hAnsi="Arial"/>
          <w:sz w:val="17"/>
          <w:szCs w:val="17"/>
          <w:color w:val="auto"/>
        </w:rPr>
      </w:pPr>
      <w:r>
        <w:rPr>
          <w:rFonts w:ascii="Arial" w:cs="Arial" w:eastAsia="Arial" w:hAnsi="Arial"/>
          <w:sz w:val="17"/>
          <w:szCs w:val="17"/>
          <w:color w:val="auto"/>
        </w:rPr>
        <w:t>Reduction in expenses and deferral of payments through extension of payment terms in many areas including its marketing programs. At quarter end, the Company had not paid April store rent and was in discussions with landlords regarding more favorable terms;</w:t>
      </w:r>
    </w:p>
    <w:p>
      <w:pPr>
        <w:ind w:left="520" w:hanging="182"/>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Reducing its planned capital expenditures to maintenance levels</w:t>
      </w:r>
    </w:p>
    <w:p>
      <w:pPr>
        <w:spacing w:after="0" w:line="9" w:lineRule="exact"/>
        <w:rPr>
          <w:rFonts w:ascii="Arial" w:cs="Arial" w:eastAsia="Arial" w:hAnsi="Arial"/>
          <w:sz w:val="18"/>
          <w:szCs w:val="18"/>
          <w:color w:val="auto"/>
        </w:rPr>
      </w:pPr>
    </w:p>
    <w:p>
      <w:pPr>
        <w:ind w:left="520" w:right="340" w:hanging="182"/>
        <w:spacing w:after="0" w:line="260"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Leveraging operating lease optionality with over 70% of its leases having a natural lease event over the next three years with approximately 120 locations having events before the end of fiscal 2020</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Operational and Distribution Network Update due to COVID-19:</w:t>
      </w:r>
    </w:p>
    <w:p>
      <w:pPr>
        <w:spacing w:after="0" w:line="225" w:lineRule="exact"/>
        <w:rPr>
          <w:sz w:val="20"/>
          <w:szCs w:val="20"/>
          <w:color w:val="auto"/>
        </w:rPr>
      </w:pPr>
    </w:p>
    <w:p>
      <w:pPr>
        <w:ind w:left="520" w:hanging="182"/>
        <w:spacing w:after="0" w:line="258"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Starting on March 18, 2020, the Company temporarily closed its corporately-managed retail locations in North America and Europe. Since that time, the Company has modified several key operational processes including:</w:t>
      </w:r>
    </w:p>
    <w:p>
      <w:pPr>
        <w:spacing w:after="0" w:line="1" w:lineRule="exact"/>
        <w:rPr>
          <w:rFonts w:ascii="Arial" w:cs="Arial" w:eastAsia="Arial" w:hAnsi="Arial"/>
          <w:sz w:val="18"/>
          <w:szCs w:val="18"/>
          <w:color w:val="auto"/>
        </w:rPr>
      </w:pPr>
    </w:p>
    <w:p>
      <w:pPr>
        <w:ind w:left="520" w:right="720" w:firstLine="169"/>
        <w:spacing w:after="0" w:line="250" w:lineRule="auto"/>
        <w:tabs>
          <w:tab w:leader="none" w:pos="835" w:val="left"/>
        </w:tabs>
        <w:numPr>
          <w:ilvl w:val="1"/>
          <w:numId w:val="15"/>
        </w:numPr>
        <w:rPr>
          <w:rFonts w:ascii="Arial" w:cs="Arial" w:eastAsia="Arial" w:hAnsi="Arial"/>
          <w:sz w:val="18"/>
          <w:szCs w:val="18"/>
          <w:color w:val="auto"/>
        </w:rPr>
      </w:pPr>
      <w:r>
        <w:rPr>
          <w:rFonts w:ascii="Arial" w:cs="Arial" w:eastAsia="Arial" w:hAnsi="Arial"/>
          <w:sz w:val="18"/>
          <w:szCs w:val="18"/>
          <w:color w:val="auto"/>
        </w:rPr>
        <w:t>Modifying its popular in-store experience to accommodate various governmental social distancing recommendations, crowd limitation requirements and recommendations and employee and guest safety considerations; and</w:t>
      </w:r>
    </w:p>
    <w:p>
      <w:pPr>
        <w:ind w:left="520" w:right="40" w:firstLine="169"/>
        <w:spacing w:after="0" w:line="250" w:lineRule="auto"/>
        <w:tabs>
          <w:tab w:leader="none" w:pos="835" w:val="left"/>
        </w:tabs>
        <w:numPr>
          <w:ilvl w:val="1"/>
          <w:numId w:val="15"/>
        </w:numPr>
        <w:rPr>
          <w:rFonts w:ascii="Arial" w:cs="Arial" w:eastAsia="Arial" w:hAnsi="Arial"/>
          <w:sz w:val="18"/>
          <w:szCs w:val="18"/>
          <w:color w:val="auto"/>
        </w:rPr>
      </w:pPr>
      <w:r>
        <w:rPr>
          <w:rFonts w:ascii="Arial" w:cs="Arial" w:eastAsia="Arial" w:hAnsi="Arial"/>
          <w:sz w:val="18"/>
          <w:szCs w:val="18"/>
          <w:color w:val="auto"/>
        </w:rPr>
        <w:t>Adding a “Workshop Wednesday” program that offers digital entertainment and activities for families staying at home, generating nearly 100 million media impressions when it was announced in April. The Company expects Workshop Wednesdays to expand in the future to include in-store events;</w:t>
      </w:r>
    </w:p>
    <w:p>
      <w:pPr>
        <w:spacing w:after="0" w:line="1" w:lineRule="exact"/>
        <w:rPr>
          <w:rFonts w:ascii="Arial" w:cs="Arial" w:eastAsia="Arial" w:hAnsi="Arial"/>
          <w:sz w:val="18"/>
          <w:szCs w:val="18"/>
          <w:color w:val="auto"/>
        </w:rPr>
      </w:pPr>
    </w:p>
    <w:p>
      <w:pPr>
        <w:ind w:left="560" w:right="60" w:hanging="222"/>
        <w:spacing w:after="0" w:line="281" w:lineRule="auto"/>
        <w:tabs>
          <w:tab w:leader="none" w:pos="5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Company’s e-commerce site was fully operational throughout the quarter. Order processing times were extended as procedures were updated to enhance social distancing and sanitation practices at its distribution center. The Company has seen its digital demand continue to gain momentum with growth rates increasing to triple-digit levels following the store closures and has improved fulfillment times with expanded features including:</w:t>
      </w:r>
    </w:p>
    <w:p>
      <w:pPr>
        <w:spacing w:after="0" w:line="1" w:lineRule="exact"/>
        <w:rPr>
          <w:rFonts w:ascii="Arial" w:cs="Arial" w:eastAsia="Arial" w:hAnsi="Arial"/>
          <w:sz w:val="16"/>
          <w:szCs w:val="16"/>
          <w:color w:val="auto"/>
        </w:rPr>
      </w:pPr>
    </w:p>
    <w:p>
      <w:pPr>
        <w:ind w:left="860" w:hanging="144"/>
        <w:spacing w:after="0"/>
        <w:tabs>
          <w:tab w:leader="none" w:pos="860" w:val="left"/>
        </w:tabs>
        <w:numPr>
          <w:ilvl w:val="2"/>
          <w:numId w:val="15"/>
        </w:numPr>
        <w:rPr>
          <w:rFonts w:ascii="Arial" w:cs="Arial" w:eastAsia="Arial" w:hAnsi="Arial"/>
          <w:sz w:val="16"/>
          <w:szCs w:val="16"/>
          <w:color w:val="auto"/>
        </w:rPr>
      </w:pPr>
      <w:r>
        <w:rPr>
          <w:rFonts w:ascii="Arial" w:cs="Arial" w:eastAsia="Arial" w:hAnsi="Arial"/>
          <w:sz w:val="16"/>
          <w:szCs w:val="16"/>
          <w:color w:val="auto"/>
        </w:rPr>
        <w:t>Adding capabilities for select stores to supplement its e-commerce fulfillment with a “buy online, ship from store” omni-channel program; and</w:t>
      </w:r>
    </w:p>
    <w:p>
      <w:pPr>
        <w:spacing w:after="0" w:line="32" w:lineRule="exact"/>
        <w:rPr>
          <w:rFonts w:ascii="Arial" w:cs="Arial" w:eastAsia="Arial" w:hAnsi="Arial"/>
          <w:sz w:val="16"/>
          <w:szCs w:val="16"/>
          <w:color w:val="auto"/>
        </w:rPr>
      </w:pPr>
    </w:p>
    <w:p>
      <w:pPr>
        <w:ind w:left="860" w:hanging="144"/>
        <w:spacing w:after="0"/>
        <w:tabs>
          <w:tab w:leader="none" w:pos="860" w:val="left"/>
        </w:tabs>
        <w:numPr>
          <w:ilvl w:val="2"/>
          <w:numId w:val="15"/>
        </w:numPr>
        <w:rPr>
          <w:rFonts w:ascii="Arial" w:cs="Arial" w:eastAsia="Arial" w:hAnsi="Arial"/>
          <w:sz w:val="18"/>
          <w:szCs w:val="18"/>
          <w:color w:val="auto"/>
        </w:rPr>
      </w:pPr>
      <w:r>
        <w:rPr>
          <w:rFonts w:ascii="Arial" w:cs="Arial" w:eastAsia="Arial" w:hAnsi="Arial"/>
          <w:sz w:val="18"/>
          <w:szCs w:val="18"/>
          <w:color w:val="auto"/>
        </w:rPr>
        <w:t>Adding new queue technology and enabling a chat bot to better serve customers in-line for high-demand product launches;</w:t>
      </w:r>
    </w:p>
    <w:p>
      <w:pPr>
        <w:spacing w:after="0" w:line="9" w:lineRule="exact"/>
        <w:rPr>
          <w:rFonts w:ascii="Arial" w:cs="Arial" w:eastAsia="Arial" w:hAnsi="Arial"/>
          <w:sz w:val="18"/>
          <w:szCs w:val="18"/>
          <w:color w:val="auto"/>
        </w:rPr>
      </w:pPr>
    </w:p>
    <w:p>
      <w:pPr>
        <w:ind w:left="560" w:hanging="222"/>
        <w:spacing w:after="0"/>
        <w:tabs>
          <w:tab w:leader="none" w:pos="5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Company’s supply chain had minimal disruption in the quarter with the Company able to receive deliveries in a timely manner;</w:t>
      </w:r>
    </w:p>
    <w:p>
      <w:pPr>
        <w:spacing w:after="0" w:line="9" w:lineRule="exact"/>
        <w:rPr>
          <w:rFonts w:ascii="Arial" w:cs="Arial" w:eastAsia="Arial" w:hAnsi="Arial"/>
          <w:sz w:val="18"/>
          <w:szCs w:val="18"/>
          <w:color w:val="auto"/>
        </w:rPr>
      </w:pPr>
    </w:p>
    <w:p>
      <w:pPr>
        <w:ind w:left="560" w:right="280" w:hanging="222"/>
        <w:spacing w:after="0" w:line="265" w:lineRule="auto"/>
        <w:tabs>
          <w:tab w:leader="none" w:pos="5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Company’s franchisees ended the quarter with 80 locations across Africa, Asia, Australia, Mexico, the Middle East and South America. The majority of the locations were closed due to COVID-19 at quarter-end and have begun opening as permitted by law; and</w:t>
      </w:r>
    </w:p>
    <w:p>
      <w:pPr>
        <w:ind w:left="560" w:right="180" w:hanging="222"/>
        <w:spacing w:after="0" w:line="260" w:lineRule="auto"/>
        <w:tabs>
          <w:tab w:leader="none" w:pos="5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Company’s third-party retail partners such as Great Wolf Resorts and Carnival Cruise Lines were closed due to COVID-19 at quarter-end and remain temporarily closed.</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18" w:right="339" w:bottom="1440" w:gutter="0" w:footer="0" w:header="0"/>
        </w:sectPr>
      </w:pPr>
    </w:p>
    <w:bookmarkStart w:id="20" w:name="page21"/>
    <w:bookmarkEnd w:id="20"/>
    <w:p>
      <w:pPr>
        <w:ind w:left="20"/>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As disclosed in the “Liquidity and Capital Resources” section herein, as of May 2, 2020, we had total cash and cash equivalents of $21.9 million and no borrowings under our credit agreement. We believe that the above measures we have taken to increase and maintain our liquidity have provided us with sufficient cash flows to operate our business for at least the next 12 months.</w:t>
      </w:r>
    </w:p>
    <w:p>
      <w:pPr>
        <w:spacing w:after="0" w:line="184"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In addition, because of our prior real estate strategy to shift our leases in North America to shorter term leases to provide flexibility in aligning stores with market trends, over 70% of our store leases having a natural lease event, such as lease renewals or terminations, over the next three years, with approximately 120 locations having such an event before the end of fiscal 2020. We plan to leverage the natural lease events to secure more favorable terms from our landlords.</w:t>
      </w:r>
    </w:p>
    <w:p>
      <w:pPr>
        <w:spacing w:after="0" w:line="187" w:lineRule="exact"/>
        <w:rPr>
          <w:sz w:val="20"/>
          <w:szCs w:val="20"/>
          <w:color w:val="auto"/>
        </w:rPr>
      </w:pPr>
    </w:p>
    <w:p>
      <w:pPr>
        <w:ind w:right="140" w:firstLine="648"/>
        <w:spacing w:after="0" w:line="269" w:lineRule="auto"/>
        <w:rPr>
          <w:sz w:val="20"/>
          <w:szCs w:val="20"/>
          <w:color w:val="auto"/>
        </w:rPr>
      </w:pPr>
      <w:r>
        <w:rPr>
          <w:rFonts w:ascii="Arial" w:cs="Arial" w:eastAsia="Arial" w:hAnsi="Arial"/>
          <w:sz w:val="17"/>
          <w:szCs w:val="17"/>
          <w:color w:val="auto"/>
        </w:rPr>
        <w:t>Beginning in late May 2020, we began reopening selected store locations in the United States where permitted by federal, state and local directives. Separately, in the United Kingdom, the government has announced June 15, 2020 as the date for retailers to begin to reopen and we are planning accordingly. As of June 5, 2020, approximately 35 of our stores were open to the public, or approximately 11% of our total corporately managed store locations in the North America, and we expect to continue to reopen our temporarily closed stores through the remainder of the second quarter and into the third quarter, and expect that a majority of our store locations will be open by the end of the second quarter. Concurrent with the reopening of our stores, we have begun to bring employees back from furlough, and have implemented safety and cleaning protocols in the stores, as well as requiring the wearing of bear-themed masks by our store associates and implementing social distancing measures in our stores and guiding our guests in those measures in a fun, friendly and kid-centric way. Thus far the modifications have been well-received based on the positive feedback from both our associates and guests. We have seen varying levels of business recovery compared to the prior year at the stores that have reopened with tourist locations generally faring better than traditional mall sites.</w:t>
      </w:r>
    </w:p>
    <w:p>
      <w:pPr>
        <w:spacing w:after="0" w:line="185" w:lineRule="exact"/>
        <w:rPr>
          <w:sz w:val="20"/>
          <w:szCs w:val="20"/>
          <w:color w:val="auto"/>
        </w:rPr>
      </w:pPr>
    </w:p>
    <w:p>
      <w:pPr>
        <w:ind w:right="460" w:firstLine="648"/>
        <w:spacing w:after="0" w:line="271" w:lineRule="auto"/>
        <w:rPr>
          <w:sz w:val="20"/>
          <w:szCs w:val="20"/>
          <w:color w:val="auto"/>
        </w:rPr>
      </w:pPr>
      <w:r>
        <w:rPr>
          <w:rFonts w:ascii="Arial" w:cs="Arial" w:eastAsia="Arial" w:hAnsi="Arial"/>
          <w:sz w:val="17"/>
          <w:szCs w:val="17"/>
          <w:color w:val="auto"/>
        </w:rPr>
        <w:t>The ultimate health and economic impact of the COVID-19 pandemic is highly uncertain, including the duration and severity of the COVID-19 outbreak, actions taken to contain its spread as well as its impact to consumer discretionary spending and the pace of economic recovery when the pandemic subsides. Therefore, we currently are not able to estimate the full impact of COVID-19 on our financial condition and future results of operations. In the near term, we expect that this situation will have an adverse effect on our reported results for second fiscal quarter of 2020 and possibly beyond, as we continue to reopen our stores. We will continue to actively monitor the effects that COVID-19 has on our business. A prolonged period of store closures, changes in customer behaviors and reductions of consumer discretionary spending would require us to continue to evaluate our business assumptions and estimates. Such conditions would likely result in lower future net sales and cash flow, which could lead to impairment of our store and other assets, as well as increase the risks associated with excess inventory.</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Retail Stores:</w:t>
      </w:r>
    </w:p>
    <w:p>
      <w:pPr>
        <w:spacing w:after="0" w:line="225" w:lineRule="exact"/>
        <w:rPr>
          <w:sz w:val="20"/>
          <w:szCs w:val="20"/>
          <w:color w:val="auto"/>
        </w:rPr>
      </w:pPr>
    </w:p>
    <w:p>
      <w:pPr>
        <w:ind w:left="20" w:right="120" w:firstLine="648"/>
        <w:spacing w:after="0" w:line="277" w:lineRule="auto"/>
        <w:rPr>
          <w:sz w:val="20"/>
          <w:szCs w:val="20"/>
          <w:color w:val="auto"/>
        </w:rPr>
      </w:pPr>
      <w:r>
        <w:rPr>
          <w:rFonts w:ascii="Arial" w:cs="Arial" w:eastAsia="Arial" w:hAnsi="Arial"/>
          <w:sz w:val="18"/>
          <w:szCs w:val="18"/>
          <w:color w:val="auto"/>
        </w:rPr>
        <w:t>The table below sets forth the number of Build-A-Bear Workshop corporately-managed stores in North America, Europe and Asia for the periods presented:</w:t>
      </w:r>
    </w:p>
    <w:p>
      <w:pPr>
        <w:spacing w:after="0" w:line="16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36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8"/>
                <w:szCs w:val="18"/>
                <w:b w:val="1"/>
                <w:bCs w:val="1"/>
                <w:color w:val="auto"/>
                <w:w w:val="92"/>
              </w:rPr>
              <w:t>Thirteen weeks ended</w:t>
            </w: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236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ind w:left="600"/>
              <w:spacing w:after="0"/>
              <w:rPr>
                <w:sz w:val="20"/>
                <w:szCs w:val="20"/>
                <w:color w:val="auto"/>
              </w:rPr>
            </w:pPr>
            <w:r>
              <w:rPr>
                <w:rFonts w:ascii="Arial" w:cs="Arial" w:eastAsia="Arial" w:hAnsi="Arial"/>
                <w:sz w:val="18"/>
                <w:szCs w:val="18"/>
                <w:b w:val="1"/>
                <w:bCs w:val="1"/>
                <w:color w:val="auto"/>
              </w:rPr>
              <w:t>May 2, 2020</w:t>
            </w:r>
          </w:p>
        </w:tc>
        <w:tc>
          <w:tcPr>
            <w:tcW w:w="1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4"/>
          </w:tcPr>
          <w:p>
            <w:pPr>
              <w:jc w:val="right"/>
              <w:ind w:right="740"/>
              <w:spacing w:after="0"/>
              <w:rPr>
                <w:sz w:val="20"/>
                <w:szCs w:val="20"/>
                <w:color w:val="auto"/>
              </w:rPr>
            </w:pPr>
            <w:r>
              <w:rPr>
                <w:rFonts w:ascii="Arial" w:cs="Arial" w:eastAsia="Arial" w:hAnsi="Arial"/>
                <w:sz w:val="18"/>
                <w:szCs w:val="18"/>
                <w:b w:val="1"/>
                <w:bCs w:val="1"/>
                <w:color w:val="auto"/>
              </w:rPr>
              <w:t>May 4, 2019</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1"/>
        </w:trPr>
        <w:tc>
          <w:tcPr>
            <w:tcW w:w="2360" w:type="dxa"/>
            <w:vAlign w:val="bottom"/>
          </w:tcPr>
          <w:p>
            <w:pPr>
              <w:spacing w:after="0"/>
              <w:rPr>
                <w:sz w:val="16"/>
                <w:szCs w:val="16"/>
                <w:color w:val="auto"/>
              </w:rPr>
            </w:pPr>
          </w:p>
        </w:tc>
        <w:tc>
          <w:tcPr>
            <w:tcW w:w="1100" w:type="dxa"/>
            <w:vAlign w:val="bottom"/>
            <w:gridSpan w:val="2"/>
          </w:tcPr>
          <w:p>
            <w:pPr>
              <w:jc w:val="right"/>
              <w:ind w:right="420"/>
              <w:spacing w:after="0" w:line="191" w:lineRule="exact"/>
              <w:rPr>
                <w:sz w:val="20"/>
                <w:szCs w:val="20"/>
                <w:color w:val="auto"/>
              </w:rPr>
            </w:pPr>
            <w:r>
              <w:rPr>
                <w:rFonts w:ascii="Arial" w:cs="Arial" w:eastAsia="Arial" w:hAnsi="Arial"/>
                <w:sz w:val="18"/>
                <w:szCs w:val="18"/>
                <w:b w:val="1"/>
                <w:bCs w:val="1"/>
                <w:color w:val="auto"/>
              </w:rPr>
              <w:t>North</w:t>
            </w: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tcPr>
          <w:p>
            <w:pPr>
              <w:jc w:val="right"/>
              <w:ind w:right="420"/>
              <w:spacing w:after="0" w:line="191" w:lineRule="exact"/>
              <w:rPr>
                <w:sz w:val="20"/>
                <w:szCs w:val="20"/>
                <w:color w:val="auto"/>
              </w:rPr>
            </w:pPr>
            <w:r>
              <w:rPr>
                <w:rFonts w:ascii="Arial" w:cs="Arial" w:eastAsia="Arial" w:hAnsi="Arial"/>
                <w:sz w:val="18"/>
                <w:szCs w:val="18"/>
                <w:b w:val="1"/>
                <w:bCs w:val="1"/>
                <w:color w:val="auto"/>
              </w:rPr>
              <w:t>North</w:t>
            </w: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2360" w:type="dxa"/>
            <w:vAlign w:val="bottom"/>
          </w:tcPr>
          <w:p>
            <w:pPr>
              <w:spacing w:after="0"/>
              <w:rPr>
                <w:sz w:val="20"/>
                <w:szCs w:val="20"/>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America</w:t>
            </w:r>
          </w:p>
        </w:tc>
        <w:tc>
          <w:tcPr>
            <w:tcW w:w="220" w:type="dxa"/>
            <w:vAlign w:val="bottom"/>
          </w:tcPr>
          <w:p>
            <w:pPr>
              <w:spacing w:after="0"/>
              <w:rPr>
                <w:sz w:val="20"/>
                <w:szCs w:val="20"/>
                <w:color w:val="auto"/>
              </w:rPr>
            </w:pPr>
          </w:p>
        </w:tc>
        <w:tc>
          <w:tcPr>
            <w:tcW w:w="82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w w:val="90"/>
              </w:rPr>
              <w:t>Europe</w:t>
            </w:r>
          </w:p>
        </w:tc>
        <w:tc>
          <w:tcPr>
            <w:tcW w:w="2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Asia</w:t>
            </w:r>
          </w:p>
        </w:tc>
        <w:tc>
          <w:tcPr>
            <w:tcW w:w="1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America</w:t>
            </w:r>
          </w:p>
        </w:tc>
        <w:tc>
          <w:tcPr>
            <w:tcW w:w="200" w:type="dxa"/>
            <w:vAlign w:val="bottom"/>
          </w:tcPr>
          <w:p>
            <w:pPr>
              <w:spacing w:after="0"/>
              <w:rPr>
                <w:sz w:val="20"/>
                <w:szCs w:val="20"/>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Europe</w:t>
            </w:r>
          </w:p>
        </w:tc>
        <w:tc>
          <w:tcPr>
            <w:tcW w:w="220" w:type="dxa"/>
            <w:vAlign w:val="bottom"/>
          </w:tcPr>
          <w:p>
            <w:pPr>
              <w:spacing w:after="0"/>
              <w:rPr>
                <w:sz w:val="20"/>
                <w:szCs w:val="20"/>
                <w:color w:val="auto"/>
              </w:rPr>
            </w:pPr>
          </w:p>
        </w:tc>
        <w:tc>
          <w:tcPr>
            <w:tcW w:w="8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Asia</w:t>
            </w:r>
          </w:p>
        </w:tc>
        <w:tc>
          <w:tcPr>
            <w:tcW w:w="220" w:type="dxa"/>
            <w:vAlign w:val="bottom"/>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10"/>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55</w:t>
            </w:r>
          </w:p>
        </w:tc>
        <w:tc>
          <w:tcPr>
            <w:tcW w:w="7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372</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311</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w:t>
            </w: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Opened</w:t>
            </w: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Closed</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8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7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r>
      <w:tr>
        <w:trPr>
          <w:trHeight w:val="20"/>
        </w:trPr>
        <w:tc>
          <w:tcPr>
            <w:tcW w:w="236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2360" w:type="dxa"/>
            <w:vAlign w:val="bottom"/>
          </w:tcPr>
          <w:p>
            <w:pPr>
              <w:spacing w:after="0"/>
              <w:rPr>
                <w:sz w:val="20"/>
                <w:szCs w:val="20"/>
                <w:color w:val="auto"/>
              </w:rPr>
            </w:pPr>
            <w:r>
              <w:rPr>
                <w:rFonts w:ascii="Arial" w:cs="Arial" w:eastAsia="Arial" w:hAnsi="Arial"/>
                <w:sz w:val="18"/>
                <w:szCs w:val="18"/>
                <w:color w:val="auto"/>
              </w:rPr>
              <w:t>End of period</w:t>
            </w:r>
          </w:p>
        </w:tc>
        <w:tc>
          <w:tcPr>
            <w:tcW w:w="880" w:type="dxa"/>
            <w:vAlign w:val="bottom"/>
          </w:tcPr>
          <w:p>
            <w:pPr>
              <w:jc w:val="right"/>
              <w:spacing w:after="0"/>
              <w:rPr>
                <w:sz w:val="20"/>
                <w:szCs w:val="20"/>
                <w:color w:val="auto"/>
              </w:rPr>
            </w:pPr>
            <w:r>
              <w:rPr>
                <w:rFonts w:ascii="Arial" w:cs="Arial" w:eastAsia="Arial" w:hAnsi="Arial"/>
                <w:sz w:val="18"/>
                <w:szCs w:val="18"/>
                <w:color w:val="auto"/>
              </w:rPr>
              <w:t>313</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55</w:t>
            </w:r>
          </w:p>
        </w:tc>
        <w:tc>
          <w:tcPr>
            <w:tcW w:w="72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369</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307</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58</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366</w:t>
            </w:r>
          </w:p>
        </w:tc>
      </w:tr>
      <w:tr>
        <w:trPr>
          <w:trHeight w:val="20"/>
        </w:trPr>
        <w:tc>
          <w:tcPr>
            <w:tcW w:w="23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20" w:right="220" w:firstLine="648"/>
        <w:spacing w:after="0" w:line="286" w:lineRule="auto"/>
        <w:rPr>
          <w:sz w:val="20"/>
          <w:szCs w:val="20"/>
          <w:color w:val="auto"/>
        </w:rPr>
      </w:pPr>
      <w:r>
        <w:rPr>
          <w:rFonts w:ascii="Arial" w:cs="Arial" w:eastAsia="Arial" w:hAnsi="Arial"/>
          <w:sz w:val="17"/>
          <w:szCs w:val="17"/>
          <w:color w:val="auto"/>
        </w:rPr>
        <w:t>As of May 2, 2020, 42% of our store base was in an updated Discovery design. We also expect to close certain stores in accordance with natural lease events as an ongoing part of our real estate management and day-to-day operational plans. Future may include expansion into more non-traditional locations, including concourse format shops and by expansion in other locations outside traditional malls.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18" w:right="339" w:bottom="1440" w:gutter="0" w:footer="0" w:header="0"/>
        </w:sectPr>
      </w:pPr>
    </w:p>
    <w:bookmarkStart w:id="21" w:name="page22"/>
    <w:bookmarkEnd w:id="21"/>
    <w:p>
      <w:pPr>
        <w:ind w:left="20"/>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International Franchise Stores:</w:t>
      </w:r>
    </w:p>
    <w:p>
      <w:pPr>
        <w:spacing w:after="0" w:line="225" w:lineRule="exact"/>
        <w:rPr>
          <w:sz w:val="20"/>
          <w:szCs w:val="20"/>
          <w:color w:val="auto"/>
        </w:rPr>
      </w:pPr>
    </w:p>
    <w:p>
      <w:pPr>
        <w:ind w:left="20" w:firstLine="648"/>
        <w:spacing w:after="0" w:line="263" w:lineRule="auto"/>
        <w:rPr>
          <w:sz w:val="20"/>
          <w:szCs w:val="20"/>
          <w:color w:val="auto"/>
        </w:rPr>
      </w:pPr>
      <w:r>
        <w:rPr>
          <w:rFonts w:ascii="Arial" w:cs="Arial" w:eastAsia="Arial" w:hAnsi="Arial"/>
          <w:sz w:val="18"/>
          <w:szCs w:val="18"/>
          <w:color w:val="auto"/>
        </w:rPr>
        <w:t>Our first franchisee location was opened in November 2003. All franchised stores have similar signage, store layout, merchandise characteristics and guest experience as our corporately-managed stores. As of May 2, 2020, we had nine master franchise agreements, which typically grant franchise rights for a particular country or group of countries, covering an aggregate of 10 countries.</w:t>
      </w:r>
    </w:p>
    <w:p>
      <w:pPr>
        <w:spacing w:after="0" w:line="184"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number of franchised stores opened and closed for the periods presented below are summarized as follows:</w:t>
      </w:r>
    </w:p>
    <w:p>
      <w:pPr>
        <w:spacing w:after="0" w:line="221" w:lineRule="exact"/>
        <w:rPr>
          <w:sz w:val="20"/>
          <w:szCs w:val="20"/>
          <w:color w:val="auto"/>
        </w:rPr>
      </w:pPr>
    </w:p>
    <w:p>
      <w:pPr>
        <w:ind w:left="7600"/>
        <w:spacing w:after="0"/>
        <w:rPr>
          <w:sz w:val="20"/>
          <w:szCs w:val="20"/>
          <w:color w:val="auto"/>
        </w:rPr>
      </w:pPr>
      <w:r>
        <w:rPr>
          <w:rFonts w:ascii="Arial" w:cs="Arial" w:eastAsia="Arial" w:hAnsi="Arial"/>
          <w:sz w:val="18"/>
          <w:szCs w:val="18"/>
          <w:b w:val="1"/>
          <w:bCs w:val="1"/>
          <w:color w:val="auto"/>
        </w:rPr>
        <w:t>Thirteen weeks ended</w:t>
      </w:r>
    </w:p>
    <w:p>
      <w:pPr>
        <w:spacing w:after="0" w:line="27" w:lineRule="exact"/>
        <w:rPr>
          <w:sz w:val="20"/>
          <w:szCs w:val="20"/>
          <w:color w:val="auto"/>
        </w:rPr>
      </w:pPr>
    </w:p>
    <w:tbl>
      <w:tblPr>
        <w:tblLayout w:type="fixed"/>
        <w:tblInd w:w="1140" w:type="dxa"/>
        <w:tblCellMar>
          <w:top w:w="0" w:type="dxa"/>
          <w:left w:w="0" w:type="dxa"/>
          <w:bottom w:w="0" w:type="dxa"/>
          <w:right w:w="0" w:type="dxa"/>
        </w:tblCellMar>
      </w:tblPr>
      <w:tr>
        <w:trPr>
          <w:trHeight w:val="209"/>
        </w:trPr>
        <w:tc>
          <w:tcPr>
            <w:tcW w:w="5680" w:type="dxa"/>
            <w:vAlign w:val="bottom"/>
          </w:tcPr>
          <w:p>
            <w:pPr>
              <w:spacing w:after="0"/>
              <w:rPr>
                <w:sz w:val="18"/>
                <w:szCs w:val="18"/>
                <w:color w:val="auto"/>
              </w:rPr>
            </w:pPr>
          </w:p>
        </w:tc>
        <w:tc>
          <w:tcPr>
            <w:tcW w:w="126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b w:val="1"/>
                <w:bCs w:val="1"/>
                <w:color w:val="auto"/>
                <w:w w:val="93"/>
              </w:rPr>
              <w:t>May 2, 2020</w:t>
            </w:r>
          </w:p>
        </w:tc>
        <w:tc>
          <w:tcPr>
            <w:tcW w:w="28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b w:val="1"/>
                <w:bCs w:val="1"/>
                <w:color w:val="auto"/>
              </w:rPr>
              <w:t>May 4, 2019</w:t>
            </w:r>
          </w:p>
        </w:tc>
        <w:tc>
          <w:tcPr>
            <w:tcW w:w="80" w:type="dxa"/>
            <w:vAlign w:val="bottom"/>
          </w:tcPr>
          <w:p>
            <w:pPr>
              <w:spacing w:after="0"/>
              <w:rPr>
                <w:sz w:val="18"/>
                <w:szCs w:val="18"/>
                <w:color w:val="auto"/>
              </w:rPr>
            </w:pPr>
          </w:p>
        </w:tc>
      </w:tr>
      <w:tr>
        <w:trPr>
          <w:trHeight w:val="210"/>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Beginning of period</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w:t>
            </w:r>
          </w:p>
        </w:tc>
      </w:tr>
      <w:tr>
        <w:trPr>
          <w:trHeight w:val="216"/>
        </w:trPr>
        <w:tc>
          <w:tcPr>
            <w:tcW w:w="6940" w:type="dxa"/>
            <w:vAlign w:val="bottom"/>
            <w:gridSpan w:val="2"/>
          </w:tcPr>
          <w:p>
            <w:pPr>
              <w:ind w:left="20"/>
              <w:spacing w:after="0"/>
              <w:rPr>
                <w:sz w:val="20"/>
                <w:szCs w:val="20"/>
                <w:color w:val="auto"/>
              </w:rPr>
            </w:pPr>
            <w:r>
              <w:rPr>
                <w:rFonts w:ascii="Arial" w:cs="Arial" w:eastAsia="Arial" w:hAnsi="Arial"/>
                <w:sz w:val="18"/>
                <w:szCs w:val="18"/>
                <w:color w:val="auto"/>
              </w:rPr>
              <w:t>Opened</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Closed</w:t>
            </w:r>
          </w:p>
        </w:tc>
        <w:tc>
          <w:tcPr>
            <w:tcW w:w="12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(12)</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r>
      <w:tr>
        <w:trPr>
          <w:trHeight w:val="20"/>
        </w:trPr>
        <w:tc>
          <w:tcPr>
            <w:tcW w:w="568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5680" w:type="dxa"/>
            <w:vAlign w:val="bottom"/>
          </w:tcPr>
          <w:p>
            <w:pPr>
              <w:ind w:left="20"/>
              <w:spacing w:after="0"/>
              <w:rPr>
                <w:sz w:val="20"/>
                <w:szCs w:val="20"/>
                <w:color w:val="auto"/>
              </w:rPr>
            </w:pPr>
            <w:r>
              <w:rPr>
                <w:rFonts w:ascii="Arial" w:cs="Arial" w:eastAsia="Arial" w:hAnsi="Arial"/>
                <w:sz w:val="18"/>
                <w:szCs w:val="18"/>
                <w:color w:val="auto"/>
              </w:rPr>
              <w:t>End of period</w:t>
            </w:r>
          </w:p>
        </w:tc>
        <w:tc>
          <w:tcPr>
            <w:tcW w:w="12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80</w:t>
            </w:r>
          </w:p>
        </w:tc>
        <w:tc>
          <w:tcPr>
            <w:tcW w:w="180" w:type="dxa"/>
            <w:vAlign w:val="bottom"/>
          </w:tcPr>
          <w:p>
            <w:pPr>
              <w:spacing w:after="0"/>
              <w:rPr>
                <w:sz w:val="18"/>
                <w:szCs w:val="18"/>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90</w:t>
            </w:r>
          </w:p>
        </w:tc>
      </w:tr>
      <w:tr>
        <w:trPr>
          <w:trHeight w:val="20"/>
        </w:trPr>
        <w:tc>
          <w:tcPr>
            <w:tcW w:w="56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the ordinary course of business, we anticipate signing additional master franchise agreements in the future and terminating other such agreements. We believe there is a total market potential for approximately 300 international stores outside of the U.S., Canada, the U.K., Ireland and Denmark. We source fixtures and other supplies for our franchisees from China which significantly reduces the capital and lowers the expenses required to open franchises. We are leveraging new formats that have been developed for our corporately-managed locations such as concourses and shop-in-shops with our franchisees.</w:t>
      </w:r>
    </w:p>
    <w:p>
      <w:pPr>
        <w:spacing w:after="0" w:line="18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00" w:top="118" w:right="499" w:bottom="1440" w:gutter="0" w:footer="0" w:header="0"/>
        </w:sectPr>
      </w:pPr>
    </w:p>
    <w:bookmarkStart w:id="22" w:name="page23"/>
    <w:bookmarkEnd w:id="2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following table sets forth, for the periods indicated, selected income statement data expressed as a percentage of total revenues, except where otherwise indicated. Percentages will not total due to cost of merchandise sold being expressed as a percentage of net retail sales, commercial revenue, international franchising, respectively, as well as immaterial rounding:</w:t>
      </w:r>
    </w:p>
    <w:p>
      <w:pPr>
        <w:spacing w:after="0" w:line="18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ind w:left="7480"/>
        <w:spacing w:after="0"/>
        <w:rPr>
          <w:sz w:val="20"/>
          <w:szCs w:val="20"/>
          <w:color w:val="auto"/>
        </w:rPr>
      </w:pPr>
      <w:r>
        <w:rPr>
          <w:rFonts w:ascii="Arial" w:cs="Arial" w:eastAsia="Arial" w:hAnsi="Arial"/>
          <w:sz w:val="18"/>
          <w:szCs w:val="18"/>
          <w:b w:val="1"/>
          <w:bCs w:val="1"/>
          <w:color w:val="auto"/>
        </w:rPr>
        <w:t>Thirteen weeks ended</w:t>
      </w:r>
    </w:p>
    <w:p>
      <w:pPr>
        <w:spacing w:after="0" w:line="27" w:lineRule="exact"/>
        <w:rPr>
          <w:sz w:val="20"/>
          <w:szCs w:val="20"/>
          <w:color w:val="auto"/>
        </w:rPr>
      </w:pPr>
    </w:p>
    <w:tbl>
      <w:tblPr>
        <w:tblLayout w:type="fixed"/>
        <w:tblInd w:w="1120" w:type="dxa"/>
        <w:tblCellMar>
          <w:top w:w="0" w:type="dxa"/>
          <w:left w:w="0" w:type="dxa"/>
          <w:bottom w:w="0" w:type="dxa"/>
          <w:right w:w="0" w:type="dxa"/>
        </w:tblCellMar>
      </w:tblPr>
      <w:tr>
        <w:trPr>
          <w:trHeight w:val="191"/>
        </w:trPr>
        <w:tc>
          <w:tcPr>
            <w:tcW w:w="5580" w:type="dxa"/>
            <w:vAlign w:val="bottom"/>
          </w:tcPr>
          <w:p>
            <w:pPr>
              <w:spacing w:after="0"/>
              <w:rPr>
                <w:sz w:val="16"/>
                <w:szCs w:val="16"/>
                <w:color w:val="auto"/>
              </w:rPr>
            </w:pPr>
          </w:p>
        </w:tc>
        <w:tc>
          <w:tcPr>
            <w:tcW w:w="1060" w:type="dxa"/>
            <w:vAlign w:val="bottom"/>
            <w:tcBorders>
              <w:top w:val="single" w:sz="8" w:color="auto"/>
            </w:tcBorders>
          </w:tcPr>
          <w:p>
            <w:pPr>
              <w:jc w:val="center"/>
              <w:ind w:left="370"/>
              <w:spacing w:after="0" w:line="191" w:lineRule="exact"/>
              <w:rPr>
                <w:sz w:val="20"/>
                <w:szCs w:val="20"/>
                <w:color w:val="auto"/>
              </w:rPr>
            </w:pPr>
            <w:r>
              <w:rPr>
                <w:rFonts w:ascii="Arial" w:cs="Arial" w:eastAsia="Arial" w:hAnsi="Arial"/>
                <w:sz w:val="18"/>
                <w:szCs w:val="18"/>
                <w:b w:val="1"/>
                <w:bCs w:val="1"/>
                <w:color w:val="auto"/>
                <w:w w:val="94"/>
              </w:rPr>
              <w:t>May 2,</w:t>
            </w:r>
          </w:p>
        </w:tc>
        <w:tc>
          <w:tcPr>
            <w:tcW w:w="4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4"/>
              </w:rPr>
              <w:t>May 4,</w:t>
            </w:r>
          </w:p>
        </w:tc>
        <w:tc>
          <w:tcPr>
            <w:tcW w:w="160" w:type="dxa"/>
            <w:vAlign w:val="bottom"/>
          </w:tcPr>
          <w:p>
            <w:pPr>
              <w:spacing w:after="0"/>
              <w:rPr>
                <w:sz w:val="16"/>
                <w:szCs w:val="16"/>
                <w:color w:val="auto"/>
              </w:rPr>
            </w:pPr>
          </w:p>
        </w:tc>
      </w:tr>
      <w:tr>
        <w:trPr>
          <w:trHeight w:val="234"/>
        </w:trPr>
        <w:tc>
          <w:tcPr>
            <w:tcW w:w="5580" w:type="dxa"/>
            <w:vAlign w:val="bottom"/>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4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0"/>
                <w:szCs w:val="20"/>
                <w:color w:val="auto"/>
              </w:rPr>
            </w:pPr>
          </w:p>
        </w:tc>
      </w:tr>
      <w:tr>
        <w:trPr>
          <w:trHeight w:val="210"/>
        </w:trPr>
        <w:tc>
          <w:tcPr>
            <w:tcW w:w="6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640" w:type="dxa"/>
            <w:vAlign w:val="bottom"/>
            <w:gridSpan w:val="2"/>
          </w:tcPr>
          <w:p>
            <w:pPr>
              <w:ind w:left="180"/>
              <w:spacing w:after="0"/>
              <w:rPr>
                <w:sz w:val="20"/>
                <w:szCs w:val="20"/>
                <w:color w:val="auto"/>
              </w:rPr>
            </w:pPr>
            <w:r>
              <w:rPr>
                <w:rFonts w:ascii="Arial" w:cs="Arial" w:eastAsia="Arial" w:hAnsi="Arial"/>
                <w:sz w:val="18"/>
                <w:szCs w:val="18"/>
                <w:color w:val="auto"/>
              </w:rPr>
              <w:t>Net retail sales</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97.9%</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96.1%</w:t>
            </w:r>
          </w:p>
        </w:tc>
      </w:tr>
      <w:tr>
        <w:trPr>
          <w:trHeight w:val="216"/>
        </w:trPr>
        <w:tc>
          <w:tcPr>
            <w:tcW w:w="6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Commercial revenue</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0.7</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w:t>
            </w:r>
          </w:p>
        </w:tc>
      </w:tr>
      <w:tr>
        <w:trPr>
          <w:trHeight w:val="216"/>
        </w:trPr>
        <w:tc>
          <w:tcPr>
            <w:tcW w:w="6640" w:type="dxa"/>
            <w:vAlign w:val="bottom"/>
            <w:gridSpan w:val="2"/>
          </w:tcPr>
          <w:p>
            <w:pPr>
              <w:ind w:left="180"/>
              <w:spacing w:after="0"/>
              <w:rPr>
                <w:sz w:val="20"/>
                <w:szCs w:val="20"/>
                <w:color w:val="auto"/>
              </w:rPr>
            </w:pPr>
            <w:r>
              <w:rPr>
                <w:rFonts w:ascii="Arial" w:cs="Arial" w:eastAsia="Arial" w:hAnsi="Arial"/>
                <w:sz w:val="18"/>
                <w:szCs w:val="18"/>
                <w:color w:val="auto"/>
              </w:rPr>
              <w:t>International franchising</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1.4</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0.7</w:t>
            </w:r>
          </w:p>
        </w:tc>
      </w:tr>
      <w:tr>
        <w:trPr>
          <w:trHeight w:val="216"/>
        </w:trPr>
        <w:tc>
          <w:tcPr>
            <w:tcW w:w="6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revenues</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100.0</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r>
      <w:tr>
        <w:trPr>
          <w:trHeight w:val="210"/>
        </w:trPr>
        <w:tc>
          <w:tcPr>
            <w:tcW w:w="5580" w:type="dxa"/>
            <w:vAlign w:val="bottom"/>
            <w:tcBorders>
              <w:top w:val="single" w:sz="8" w:color="CCEEFF"/>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6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Costs and expenses:</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640" w:type="dxa"/>
            <w:vAlign w:val="bottom"/>
            <w:gridSpan w:val="2"/>
          </w:tcPr>
          <w:p>
            <w:pPr>
              <w:ind w:left="180"/>
              <w:spacing w:after="0" w:line="216" w:lineRule="exact"/>
              <w:rPr>
                <w:sz w:val="20"/>
                <w:szCs w:val="20"/>
                <w:color w:val="auto"/>
              </w:rPr>
            </w:pPr>
            <w:r>
              <w:rPr>
                <w:rFonts w:ascii="Arial" w:cs="Arial" w:eastAsia="Arial" w:hAnsi="Arial"/>
                <w:sz w:val="16"/>
                <w:szCs w:val="16"/>
                <w:color w:val="auto"/>
              </w:rPr>
              <w:t xml:space="preserve">Cost of merchandise sold - retail </w:t>
            </w:r>
            <w:r>
              <w:rPr>
                <w:rFonts w:ascii="Arial" w:cs="Arial" w:eastAsia="Arial" w:hAnsi="Arial"/>
                <w:sz w:val="25"/>
                <w:szCs w:val="25"/>
                <w:color w:val="auto"/>
                <w:vertAlign w:val="superscript"/>
              </w:rPr>
              <w:t>(1)</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73.1</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54.8</w:t>
            </w:r>
          </w:p>
        </w:tc>
      </w:tr>
      <w:tr>
        <w:trPr>
          <w:trHeight w:val="216"/>
        </w:trPr>
        <w:tc>
          <w:tcPr>
            <w:tcW w:w="6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Store asset impairment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10.6</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r>
      <w:tr>
        <w:trPr>
          <w:trHeight w:val="216"/>
        </w:trPr>
        <w:tc>
          <w:tcPr>
            <w:tcW w:w="6640" w:type="dxa"/>
            <w:vAlign w:val="bottom"/>
            <w:gridSpan w:val="2"/>
          </w:tcPr>
          <w:p>
            <w:pPr>
              <w:ind w:left="180"/>
              <w:spacing w:after="0" w:line="216" w:lineRule="exact"/>
              <w:rPr>
                <w:sz w:val="20"/>
                <w:szCs w:val="20"/>
                <w:color w:val="auto"/>
              </w:rPr>
            </w:pPr>
            <w:r>
              <w:rPr>
                <w:rFonts w:ascii="Arial" w:cs="Arial" w:eastAsia="Arial" w:hAnsi="Arial"/>
                <w:sz w:val="16"/>
                <w:szCs w:val="16"/>
                <w:color w:val="auto"/>
              </w:rPr>
              <w:t xml:space="preserve">Cost of merchandise sold - commercial </w:t>
            </w:r>
            <w:r>
              <w:rPr>
                <w:rFonts w:ascii="Arial" w:cs="Arial" w:eastAsia="Arial" w:hAnsi="Arial"/>
                <w:sz w:val="25"/>
                <w:szCs w:val="25"/>
                <w:color w:val="auto"/>
                <w:vertAlign w:val="superscript"/>
              </w:rPr>
              <w:t>(1)</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42.0</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45.9</w:t>
            </w:r>
          </w:p>
        </w:tc>
      </w:tr>
      <w:tr>
        <w:trPr>
          <w:trHeight w:val="216"/>
        </w:trPr>
        <w:tc>
          <w:tcPr>
            <w:tcW w:w="6640" w:type="dxa"/>
            <w:vAlign w:val="bottom"/>
            <w:gridSpan w:val="2"/>
            <w:shd w:val="clear" w:color="auto" w:fill="CCEEFF"/>
          </w:tcPr>
          <w:p>
            <w:pPr>
              <w:ind w:left="180"/>
              <w:spacing w:after="0" w:line="216" w:lineRule="exact"/>
              <w:rPr>
                <w:sz w:val="20"/>
                <w:szCs w:val="20"/>
                <w:color w:val="auto"/>
              </w:rPr>
            </w:pPr>
            <w:r>
              <w:rPr>
                <w:rFonts w:ascii="Arial" w:cs="Arial" w:eastAsia="Arial" w:hAnsi="Arial"/>
                <w:sz w:val="16"/>
                <w:szCs w:val="16"/>
                <w:color w:val="auto"/>
              </w:rPr>
              <w:t xml:space="preserve">Cost of merchandise sold - international franchising </w:t>
            </w:r>
            <w:r>
              <w:rPr>
                <w:rFonts w:ascii="Arial" w:cs="Arial" w:eastAsia="Arial" w:hAnsi="Arial"/>
                <w:sz w:val="25"/>
                <w:szCs w:val="25"/>
                <w:color w:val="auto"/>
                <w:vertAlign w:val="superscript"/>
              </w:rPr>
              <w:t>(1)</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39.6</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78.6</w:t>
            </w:r>
          </w:p>
        </w:tc>
      </w:tr>
      <w:tr>
        <w:trPr>
          <w:trHeight w:val="216"/>
        </w:trPr>
        <w:tc>
          <w:tcPr>
            <w:tcW w:w="5580" w:type="dxa"/>
            <w:vAlign w:val="bottom"/>
          </w:tcPr>
          <w:p>
            <w:pPr>
              <w:ind w:left="340"/>
              <w:spacing w:after="0"/>
              <w:rPr>
                <w:sz w:val="20"/>
                <w:szCs w:val="20"/>
                <w:color w:val="auto"/>
              </w:rPr>
            </w:pPr>
            <w:r>
              <w:rPr>
                <w:rFonts w:ascii="Arial" w:cs="Arial" w:eastAsia="Arial" w:hAnsi="Arial"/>
                <w:sz w:val="18"/>
                <w:szCs w:val="18"/>
                <w:color w:val="auto"/>
              </w:rPr>
              <w:t>Total cost of merchandise sold</w:t>
            </w:r>
          </w:p>
        </w:tc>
        <w:tc>
          <w:tcPr>
            <w:tcW w:w="106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82.7</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54.7</w:t>
            </w:r>
          </w:p>
        </w:tc>
      </w:tr>
      <w:tr>
        <w:trPr>
          <w:trHeight w:val="20"/>
        </w:trPr>
        <w:tc>
          <w:tcPr>
            <w:tcW w:w="55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Consolidated gross profit</w:t>
            </w:r>
          </w:p>
        </w:tc>
        <w:tc>
          <w:tcPr>
            <w:tcW w:w="10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17.3</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45.4</w:t>
            </w:r>
          </w:p>
        </w:tc>
      </w:tr>
      <w:tr>
        <w:trPr>
          <w:trHeight w:val="216"/>
        </w:trPr>
        <w:tc>
          <w:tcPr>
            <w:tcW w:w="6640" w:type="dxa"/>
            <w:vAlign w:val="bottom"/>
            <w:gridSpan w:val="2"/>
          </w:tcPr>
          <w:p>
            <w:pPr>
              <w:ind w:left="180"/>
              <w:spacing w:after="0"/>
              <w:rPr>
                <w:sz w:val="20"/>
                <w:szCs w:val="20"/>
                <w:color w:val="auto"/>
              </w:rPr>
            </w:pPr>
            <w:r>
              <w:rPr>
                <w:rFonts w:ascii="Arial" w:cs="Arial" w:eastAsia="Arial" w:hAnsi="Arial"/>
                <w:sz w:val="18"/>
                <w:szCs w:val="18"/>
                <w:color w:val="auto"/>
              </w:rPr>
              <w:t>Selling, general and administrative</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57.3</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42.4</w:t>
            </w:r>
          </w:p>
        </w:tc>
      </w:tr>
      <w:tr>
        <w:trPr>
          <w:trHeight w:val="216"/>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 expense, net</w:t>
            </w:r>
          </w:p>
        </w:tc>
        <w:tc>
          <w:tcPr>
            <w:tcW w:w="10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r>
      <w:tr>
        <w:trPr>
          <w:trHeight w:val="20"/>
        </w:trPr>
        <w:tc>
          <w:tcPr>
            <w:tcW w:w="558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5580" w:type="dxa"/>
            <w:vAlign w:val="bottom"/>
          </w:tcPr>
          <w:p>
            <w:pPr>
              <w:ind w:left="340"/>
              <w:spacing w:after="0"/>
              <w:rPr>
                <w:sz w:val="20"/>
                <w:szCs w:val="20"/>
                <w:color w:val="auto"/>
              </w:rPr>
            </w:pPr>
            <w:r>
              <w:rPr>
                <w:rFonts w:ascii="Arial" w:cs="Arial" w:eastAsia="Arial" w:hAnsi="Arial"/>
                <w:sz w:val="18"/>
                <w:szCs w:val="18"/>
                <w:color w:val="auto"/>
              </w:rPr>
              <w:t>(Loss) income before income taxes</w:t>
            </w:r>
          </w:p>
        </w:tc>
        <w:tc>
          <w:tcPr>
            <w:tcW w:w="10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(40.0)</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2.9</w:t>
            </w:r>
          </w:p>
        </w:tc>
      </w:tr>
      <w:tr>
        <w:trPr>
          <w:trHeight w:val="216"/>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0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r>
      <w:tr>
        <w:trPr>
          <w:trHeight w:val="20"/>
        </w:trPr>
        <w:tc>
          <w:tcPr>
            <w:tcW w:w="558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5580" w:type="dxa"/>
            <w:vAlign w:val="bottom"/>
          </w:tcPr>
          <w:p>
            <w:pPr>
              <w:ind w:left="340"/>
              <w:spacing w:after="0"/>
              <w:rPr>
                <w:sz w:val="20"/>
                <w:szCs w:val="20"/>
                <w:color w:val="auto"/>
              </w:rPr>
            </w:pPr>
            <w:r>
              <w:rPr>
                <w:rFonts w:ascii="Arial" w:cs="Arial" w:eastAsia="Arial" w:hAnsi="Arial"/>
                <w:sz w:val="18"/>
                <w:szCs w:val="18"/>
                <w:color w:val="auto"/>
              </w:rPr>
              <w:t>Net (loss) income</w:t>
            </w:r>
          </w:p>
        </w:tc>
        <w:tc>
          <w:tcPr>
            <w:tcW w:w="10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(45.5)</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r>
      <w:tr>
        <w:trPr>
          <w:trHeight w:val="20"/>
        </w:trPr>
        <w:tc>
          <w:tcPr>
            <w:tcW w:w="55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55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39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 xml:space="preserve">Retail Gross Margin </w:t>
            </w:r>
            <w:r>
              <w:rPr>
                <w:rFonts w:ascii="Arial" w:cs="Arial" w:eastAsia="Arial" w:hAnsi="Arial"/>
                <w:sz w:val="29"/>
                <w:szCs w:val="29"/>
                <w:color w:val="auto"/>
                <w:vertAlign w:val="superscript"/>
              </w:rPr>
              <w:t>(2)</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26.9%</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45.2%</w:t>
            </w:r>
          </w:p>
        </w:tc>
      </w:tr>
    </w:tbl>
    <w:p>
      <w:pPr>
        <w:spacing w:after="0" w:line="28" w:lineRule="exact"/>
        <w:rPr>
          <w:sz w:val="20"/>
          <w:szCs w:val="20"/>
          <w:color w:val="auto"/>
        </w:rPr>
      </w:pPr>
    </w:p>
    <w:p>
      <w:pPr>
        <w:ind w:left="380" w:right="40" w:hanging="372"/>
        <w:spacing w:after="0" w:line="310" w:lineRule="auto"/>
        <w:tabs>
          <w:tab w:leader="none" w:pos="3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Cost of merchandise sold – retail is expressed as a percentage of net retail sales. Cost of merchandise sold – commercial is expressed as a percentage of commercial revenue. Cost of merchandise sold – international franchising is expressed as a percentage of international franchising revenue.</w:t>
      </w:r>
    </w:p>
    <w:p>
      <w:pPr>
        <w:ind w:left="380" w:right="400" w:hanging="372"/>
        <w:spacing w:after="0" w:line="260"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Retail gross margin represents net retail sales less cost of merchandise sold - retail; retail gross margin percentage represents retail gross margin divided by net retail sales.</w:t>
      </w:r>
    </w:p>
    <w:p>
      <w:pPr>
        <w:spacing w:after="0" w:line="18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23" w:name="page24"/>
    <w:bookmarkEnd w:id="2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Thirteen weeks ended May 2, 2020 compared to thirteen weeks ended May 4, 2019</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i w:val="1"/>
          <w:iCs w:val="1"/>
          <w:color w:val="auto"/>
        </w:rPr>
        <w:t xml:space="preserve">Total revenues. </w:t>
      </w:r>
      <w:r>
        <w:rPr>
          <w:rFonts w:ascii="Arial" w:cs="Arial" w:eastAsia="Arial" w:hAnsi="Arial"/>
          <w:sz w:val="18"/>
          <w:szCs w:val="18"/>
          <w:color w:val="auto"/>
        </w:rPr>
        <w:t>Consolidated revenues decrease 44.7%, including a 45.6% decrease in North America, a 38.8% decrease in Europe, and a double</w:t>
      </w:r>
      <w:r>
        <w:rPr>
          <w:rFonts w:ascii="Arial" w:cs="Arial" w:eastAsia="Arial" w:hAnsi="Arial"/>
          <w:sz w:val="18"/>
          <w:szCs w:val="18"/>
          <w:i w:val="1"/>
          <w:iCs w:val="1"/>
          <w:color w:val="auto"/>
        </w:rPr>
        <w:t xml:space="preserve"> </w:t>
      </w:r>
      <w:r>
        <w:rPr>
          <w:rFonts w:ascii="Arial" w:cs="Arial" w:eastAsia="Arial" w:hAnsi="Arial"/>
          <w:sz w:val="18"/>
          <w:szCs w:val="18"/>
          <w:color w:val="auto"/>
        </w:rPr>
        <w:t>digit increase in consolidated e-commerce sales.</w:t>
      </w:r>
    </w:p>
    <w:p>
      <w:pPr>
        <w:spacing w:after="0" w:line="170"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Net retail sales for the thirteen weeks ended May 2, 2020 were $45.6 million, compared to $81.0 million for the thirteen weeks ended May 4, 2019, a decrease of $35.4 million, or 43.7%. The components of this decrease are as follows (dollars in millions):</w:t>
      </w:r>
    </w:p>
    <w:p>
      <w:pPr>
        <w:spacing w:after="0" w:line="166"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7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Thirteen weeks</w:t>
            </w:r>
          </w:p>
        </w:tc>
        <w:tc>
          <w:tcPr>
            <w:tcW w:w="0" w:type="dxa"/>
            <w:vAlign w:val="bottom"/>
          </w:tcPr>
          <w:p>
            <w:pPr>
              <w:spacing w:after="0"/>
              <w:rPr>
                <w:sz w:val="1"/>
                <w:szCs w:val="1"/>
                <w:color w:val="auto"/>
              </w:rPr>
            </w:pPr>
          </w:p>
        </w:tc>
      </w:tr>
      <w:tr>
        <w:trPr>
          <w:trHeight w:val="216"/>
        </w:trPr>
        <w:tc>
          <w:tcPr>
            <w:tcW w:w="7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ended</w:t>
            </w:r>
          </w:p>
        </w:tc>
        <w:tc>
          <w:tcPr>
            <w:tcW w:w="0" w:type="dxa"/>
            <w:vAlign w:val="bottom"/>
          </w:tcPr>
          <w:p>
            <w:pPr>
              <w:spacing w:after="0"/>
              <w:rPr>
                <w:sz w:val="1"/>
                <w:szCs w:val="1"/>
                <w:color w:val="auto"/>
              </w:rPr>
            </w:pPr>
          </w:p>
        </w:tc>
      </w:tr>
      <w:tr>
        <w:trPr>
          <w:trHeight w:val="234"/>
        </w:trPr>
        <w:tc>
          <w:tcPr>
            <w:tcW w:w="7920" w:type="dxa"/>
            <w:vAlign w:val="bottom"/>
            <w:vMerge w:val="restart"/>
          </w:tcPr>
          <w:p>
            <w:pPr>
              <w:ind w:left="20"/>
              <w:spacing w:after="0"/>
              <w:rPr>
                <w:sz w:val="20"/>
                <w:szCs w:val="20"/>
                <w:color w:val="auto"/>
              </w:rPr>
            </w:pPr>
            <w:r>
              <w:rPr>
                <w:rFonts w:ascii="Arial" w:cs="Arial" w:eastAsia="Arial" w:hAnsi="Arial"/>
                <w:sz w:val="18"/>
                <w:szCs w:val="18"/>
                <w:color w:val="auto"/>
              </w:rPr>
              <w:t>Impact from:</w:t>
            </w:r>
          </w:p>
        </w:tc>
        <w:tc>
          <w:tcPr>
            <w:tcW w:w="140" w:type="dxa"/>
            <w:vAlign w:val="bottom"/>
          </w:tcPr>
          <w:p>
            <w:pPr>
              <w:spacing w:after="0"/>
              <w:rPr>
                <w:sz w:val="20"/>
                <w:szCs w:val="20"/>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May 2, 2020</w:t>
            </w:r>
          </w:p>
        </w:tc>
        <w:tc>
          <w:tcPr>
            <w:tcW w:w="0" w:type="dxa"/>
            <w:vAlign w:val="bottom"/>
          </w:tcPr>
          <w:p>
            <w:pPr>
              <w:spacing w:after="0"/>
              <w:rPr>
                <w:sz w:val="1"/>
                <w:szCs w:val="1"/>
                <w:color w:val="auto"/>
              </w:rPr>
            </w:pPr>
          </w:p>
        </w:tc>
      </w:tr>
      <w:tr>
        <w:trPr>
          <w:trHeight w:val="209"/>
        </w:trPr>
        <w:tc>
          <w:tcPr>
            <w:tcW w:w="7920" w:type="dxa"/>
            <w:vAlign w:val="bottom"/>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Existing store and e-commerce sales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(32,513)</w:t>
            </w:r>
          </w:p>
        </w:tc>
        <w:tc>
          <w:tcPr>
            <w:tcW w:w="0" w:type="dxa"/>
            <w:vAlign w:val="bottom"/>
          </w:tcPr>
          <w:p>
            <w:pPr>
              <w:spacing w:after="0"/>
              <w:rPr>
                <w:sz w:val="1"/>
                <w:szCs w:val="1"/>
                <w:color w:val="auto"/>
              </w:rPr>
            </w:pPr>
          </w:p>
        </w:tc>
      </w:tr>
      <w:tr>
        <w:trPr>
          <w:trHeight w:val="216"/>
        </w:trPr>
        <w:tc>
          <w:tcPr>
            <w:tcW w:w="7920" w:type="dxa"/>
            <w:vAlign w:val="bottom"/>
          </w:tcPr>
          <w:p>
            <w:pPr>
              <w:ind w:left="20"/>
              <w:spacing w:after="0"/>
              <w:rPr>
                <w:sz w:val="20"/>
                <w:szCs w:val="20"/>
                <w:color w:val="auto"/>
              </w:rPr>
            </w:pPr>
            <w:r>
              <w:rPr>
                <w:rFonts w:ascii="Arial" w:cs="Arial" w:eastAsia="Arial" w:hAnsi="Arial"/>
                <w:sz w:val="18"/>
                <w:szCs w:val="18"/>
                <w:color w:val="auto"/>
              </w:rPr>
              <w:t>New stores</w:t>
            </w:r>
          </w:p>
        </w:tc>
        <w:tc>
          <w:tcPr>
            <w:tcW w:w="14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Store closures</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(2,312)</w:t>
            </w:r>
          </w:p>
        </w:tc>
        <w:tc>
          <w:tcPr>
            <w:tcW w:w="0" w:type="dxa"/>
            <w:vAlign w:val="bottom"/>
          </w:tcPr>
          <w:p>
            <w:pPr>
              <w:spacing w:after="0"/>
              <w:rPr>
                <w:sz w:val="1"/>
                <w:szCs w:val="1"/>
                <w:color w:val="auto"/>
              </w:rPr>
            </w:pPr>
          </w:p>
        </w:tc>
      </w:tr>
      <w:tr>
        <w:trPr>
          <w:trHeight w:val="216"/>
        </w:trPr>
        <w:tc>
          <w:tcPr>
            <w:tcW w:w="7920" w:type="dxa"/>
            <w:vAlign w:val="bottom"/>
          </w:tcPr>
          <w:p>
            <w:pPr>
              <w:ind w:left="20"/>
              <w:spacing w:after="0"/>
              <w:rPr>
                <w:sz w:val="20"/>
                <w:szCs w:val="20"/>
                <w:color w:val="auto"/>
              </w:rPr>
            </w:pPr>
            <w:r>
              <w:rPr>
                <w:rFonts w:ascii="Arial" w:cs="Arial" w:eastAsia="Arial" w:hAnsi="Arial"/>
                <w:sz w:val="18"/>
                <w:szCs w:val="18"/>
                <w:color w:val="auto"/>
              </w:rPr>
              <w:t>Gift card breakage</w:t>
            </w:r>
          </w:p>
        </w:tc>
        <w:tc>
          <w:tcPr>
            <w:tcW w:w="14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16"/>
        </w:trPr>
        <w:tc>
          <w:tcPr>
            <w:tcW w:w="7920" w:type="dxa"/>
            <w:vAlign w:val="bottom"/>
          </w:tcPr>
          <w:p>
            <w:pPr>
              <w:ind w:left="20"/>
              <w:spacing w:after="0"/>
              <w:rPr>
                <w:sz w:val="20"/>
                <w:szCs w:val="20"/>
                <w:color w:val="auto"/>
              </w:rPr>
            </w:pPr>
            <w:r>
              <w:rPr>
                <w:rFonts w:ascii="Arial" w:cs="Arial" w:eastAsia="Arial" w:hAnsi="Arial"/>
                <w:sz w:val="18"/>
                <w:szCs w:val="18"/>
                <w:color w:val="auto"/>
              </w:rPr>
              <w:t>Deferred revenue estimates</w:t>
            </w:r>
          </w:p>
        </w:tc>
        <w:tc>
          <w:tcPr>
            <w:tcW w:w="14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7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Change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(35,401)</w:t>
            </w:r>
          </w:p>
        </w:tc>
        <w:tc>
          <w:tcPr>
            <w:tcW w:w="0" w:type="dxa"/>
            <w:vAlign w:val="bottom"/>
          </w:tcPr>
          <w:p>
            <w:pPr>
              <w:spacing w:after="0"/>
              <w:rPr>
                <w:sz w:val="1"/>
                <w:szCs w:val="1"/>
                <w:color w:val="auto"/>
              </w:rPr>
            </w:pPr>
          </w:p>
        </w:tc>
      </w:tr>
      <w:tr>
        <w:trPr>
          <w:trHeight w:val="20"/>
        </w:trPr>
        <w:tc>
          <w:tcPr>
            <w:tcW w:w="79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retail revenue decrease was the result of the closure of all of our corporately managed stores beginning on March 18, 2020.</w:t>
      </w:r>
    </w:p>
    <w:p>
      <w:pPr>
        <w:spacing w:after="0" w:line="225"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Commercial revenue was $0.3 million for the thirteen weeks ended May 2, 2020 compared to $2.8 million for the thirteen weeks ended May 4, 2019. The $2.5 million decrease is the result of decreased sales volume of new inventory from our commercial customers as a result of COVID-19, which we believe is principally because of closure of third-party reatil locations serviced by our commercial customers.</w:t>
      </w:r>
    </w:p>
    <w:p>
      <w:pPr>
        <w:spacing w:after="0" w:line="16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International franchising revenue was $0.6 million for the thirteen weeks ended May 2, 2020 compared to $0.6 million for the thirteen weeks ended May 4, 2019.</w:t>
      </w:r>
    </w:p>
    <w:p>
      <w:pPr>
        <w:spacing w:after="0" w:line="170"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i w:val="1"/>
          <w:iCs w:val="1"/>
          <w:color w:val="auto"/>
        </w:rPr>
        <w:t xml:space="preserve">Retail gross margin. </w:t>
      </w:r>
      <w:r>
        <w:rPr>
          <w:rFonts w:ascii="Arial" w:cs="Arial" w:eastAsia="Arial" w:hAnsi="Arial"/>
          <w:sz w:val="18"/>
          <w:szCs w:val="18"/>
          <w:color w:val="auto"/>
        </w:rPr>
        <w:t>Retail gross margin dollars decreased $24.3 million to $12.3 million compared to the thirteen weeks ended May 4, 2019. The</w:t>
      </w:r>
      <w:r>
        <w:rPr>
          <w:rFonts w:ascii="Arial" w:cs="Arial" w:eastAsia="Arial" w:hAnsi="Arial"/>
          <w:sz w:val="18"/>
          <w:szCs w:val="18"/>
          <w:i w:val="1"/>
          <w:iCs w:val="1"/>
          <w:color w:val="auto"/>
        </w:rPr>
        <w:t xml:space="preserve"> </w:t>
      </w:r>
      <w:r>
        <w:rPr>
          <w:rFonts w:ascii="Arial" w:cs="Arial" w:eastAsia="Arial" w:hAnsi="Arial"/>
          <w:sz w:val="18"/>
          <w:szCs w:val="18"/>
          <w:color w:val="auto"/>
        </w:rPr>
        <w:t>retail gross margin rate decreased 18.3% basis points primarily driven by fixed occupancy costs recorded through the end of the first quarter despite store closures beginning on March 18, 2020.</w:t>
      </w:r>
    </w:p>
    <w:p>
      <w:pPr>
        <w:spacing w:after="0" w:line="184"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i w:val="1"/>
          <w:iCs w:val="1"/>
          <w:color w:val="auto"/>
        </w:rPr>
        <w:t xml:space="preserve">Impairment of long-live assets, including right-of-use assets. </w:t>
      </w:r>
      <w:r>
        <w:rPr>
          <w:rFonts w:ascii="Arial" w:cs="Arial" w:eastAsia="Arial" w:hAnsi="Arial"/>
          <w:sz w:val="16"/>
          <w:szCs w:val="16"/>
          <w:color w:val="auto"/>
        </w:rPr>
        <w:t>As a result of the COVID-19 pandemic, we experienced lower than projected</w:t>
      </w:r>
      <w:r>
        <w:rPr>
          <w:rFonts w:ascii="Arial" w:cs="Arial" w:eastAsia="Arial" w:hAnsi="Arial"/>
          <w:sz w:val="16"/>
          <w:szCs w:val="16"/>
          <w:i w:val="1"/>
          <w:iCs w:val="1"/>
          <w:color w:val="auto"/>
        </w:rPr>
        <w:t xml:space="preserve"> </w:t>
      </w:r>
      <w:r>
        <w:rPr>
          <w:rFonts w:ascii="Arial" w:cs="Arial" w:eastAsia="Arial" w:hAnsi="Arial"/>
          <w:sz w:val="16"/>
          <w:szCs w:val="16"/>
          <w:color w:val="auto"/>
        </w:rPr>
        <w:t>revenues and identified indicators of impairment for our store fleet. We performed undiscounted cash flow analyses over the long-lived assets and right-of-use assets and determined that certain stores had long-lived and right-of-use assets with carrying values that exceeded their estimated undiscounted cash flows. We estimated fair values of these long-lived assets based on our discounted cash flows or market rent assessments. Our analysis indicated that the carrying values of our long-lived assets exceeded their respective fair values. As a result, we recognized an impairment charge of $4.8 million for the thirteen weeks ended May 2, 2020, with approximately $2.4 million for right-of-use operating lease assets and $2.4 million for fixed assets including leasehold improvements and fixtures, furniture and fixtures, and machinery and equipment. These impairment charges were primarily driven by lower than projected revenues and the effect of store closures as a result of the COVID-19 pandemic. The majority of the impairment was recorded for assets associated with stores in North America. For the thirteen weeks ended May 4, 2019, the Company did not record any impairment charges.</w:t>
      </w:r>
    </w:p>
    <w:p>
      <w:pPr>
        <w:spacing w:after="0" w:line="166"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i w:val="1"/>
          <w:iCs w:val="1"/>
          <w:color w:val="auto"/>
        </w:rPr>
        <w:t xml:space="preserve">Selling, general and administrative. </w:t>
      </w:r>
      <w:r>
        <w:rPr>
          <w:rFonts w:ascii="Arial" w:cs="Arial" w:eastAsia="Arial" w:hAnsi="Arial"/>
          <w:sz w:val="18"/>
          <w:szCs w:val="18"/>
          <w:color w:val="auto"/>
        </w:rPr>
        <w:t>Selling, general and administrative expenses were $26.7 million for the thirteen weeks ended May 2, 2020, a</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of $9.1 million compared to the thirteen weeks ended May 4, 2019. The decline was primarily due to lower labor costs resulting from store closures and employee furloughs due to the COVID-19 pandemic.</w:t>
      </w:r>
    </w:p>
    <w:p>
      <w:pPr>
        <w:spacing w:after="0" w:line="184"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i w:val="1"/>
          <w:iCs w:val="1"/>
          <w:color w:val="auto"/>
        </w:rPr>
        <w:t xml:space="preserve">Interest expense (income), net. </w:t>
      </w:r>
      <w:r>
        <w:rPr>
          <w:rFonts w:ascii="Arial" w:cs="Arial" w:eastAsia="Arial" w:hAnsi="Arial"/>
          <w:sz w:val="18"/>
          <w:szCs w:val="18"/>
          <w:color w:val="auto"/>
        </w:rPr>
        <w:t>Interest expense was $3,000 for the thirteen weeks ended May 2, 2020 compared to interest income of $20,000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thirteen weeks ended May 4, 2019.</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24" w:name="page25"/>
    <w:bookmarkEnd w:id="24"/>
    <w:p>
      <w:pPr>
        <w:ind w:left="40"/>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40" w:firstLine="648"/>
        <w:spacing w:after="0" w:line="272" w:lineRule="auto"/>
        <w:rPr>
          <w:sz w:val="20"/>
          <w:szCs w:val="20"/>
          <w:color w:val="auto"/>
        </w:rPr>
      </w:pPr>
      <w:r>
        <w:rPr>
          <w:rFonts w:ascii="Arial" w:cs="Arial" w:eastAsia="Arial" w:hAnsi="Arial"/>
          <w:sz w:val="17"/>
          <w:szCs w:val="17"/>
          <w:i w:val="1"/>
          <w:iCs w:val="1"/>
          <w:color w:val="auto"/>
        </w:rPr>
        <w:t>Provision for income taxes</w:t>
      </w:r>
      <w:r>
        <w:rPr>
          <w:rFonts w:ascii="Arial" w:cs="Arial" w:eastAsia="Arial" w:hAnsi="Arial"/>
          <w:sz w:val="17"/>
          <w:szCs w:val="17"/>
          <w:color w:val="auto"/>
        </w:rPr>
        <w:t>. Income tax expense was $2.5 million with a tax rate of (13.6%) for the thirteen weeks ended May 2, 2020 as compared</w:t>
      </w:r>
      <w:r>
        <w:rPr>
          <w:rFonts w:ascii="Arial" w:cs="Arial" w:eastAsia="Arial" w:hAnsi="Arial"/>
          <w:sz w:val="17"/>
          <w:szCs w:val="17"/>
          <w:i w:val="1"/>
          <w:iCs w:val="1"/>
          <w:color w:val="auto"/>
        </w:rPr>
        <w:t xml:space="preserve"> </w:t>
      </w:r>
      <w:r>
        <w:rPr>
          <w:rFonts w:ascii="Arial" w:cs="Arial" w:eastAsia="Arial" w:hAnsi="Arial"/>
          <w:sz w:val="17"/>
          <w:szCs w:val="17"/>
          <w:color w:val="auto"/>
        </w:rPr>
        <w:t>to income tax expense of $1.2 million with a tax rate of 50.5% for the thirteen weeks ended May 4, 2019. In the first quarter of fiscal 2020, the effective tax rate differed from the statutory rate of 21% primarily due to the $3.3 million valuation allowance recorded on the beginning balance of the net deferred tax assets in certain jurisdictions offset by $0.8 million of benefit as a result of the Coronavirus Aid, Relief, and Economic Security ("CARES") Act. In addition, no tax benefit was recorded on the current period pretax loss as a full valuation allowance has now been recorded globally. In the first quarter of fiscal 2019, the effective tax rate differed from the statutory rate of 21% primarily due to the valuation allowance being recorded in certain foreign loss companies and the $0.2 million tax impact of equity awards vesting.</w:t>
      </w:r>
    </w:p>
    <w:p>
      <w:pPr>
        <w:spacing w:after="0" w:line="17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Seasonality and Quarterly Results</w:t>
      </w:r>
    </w:p>
    <w:p>
      <w:pPr>
        <w:spacing w:after="0" w:line="229" w:lineRule="exact"/>
        <w:rPr>
          <w:sz w:val="20"/>
          <w:szCs w:val="20"/>
          <w:color w:val="auto"/>
        </w:rPr>
      </w:pPr>
    </w:p>
    <w:p>
      <w:pPr>
        <w:ind w:left="40" w:right="100" w:firstLine="648"/>
        <w:spacing w:after="0" w:line="291" w:lineRule="auto"/>
        <w:rPr>
          <w:sz w:val="20"/>
          <w:szCs w:val="20"/>
          <w:color w:val="auto"/>
        </w:rPr>
      </w:pPr>
      <w:r>
        <w:rPr>
          <w:rFonts w:ascii="Arial" w:cs="Arial" w:eastAsia="Arial" w:hAnsi="Arial"/>
          <w:sz w:val="16"/>
          <w:szCs w:val="16"/>
          <w:color w:val="auto"/>
        </w:rPr>
        <w:t>Our operating results for one period may not be indicative of results for other periods, and may fluctuate significantly because of a variety of factors, including, but not limited to: (1) changes in general economic conditions (including as a result of the COVID-19 pandemic and tariffs) and consumer spending patterns; (2) increases or decreases in our existing store and e-commerce sales; (3) fluctuations in the profitability of our stores; (4) the timing and frequency of the sales of licensed products tied to major theatrical releases, our marketing initiatives, including national media and other public relations events; (5) changes in foreign currency exchange rates; (6) the timing of our store openings and closings and related expenses; (7) changes in consumer preferences; (8) the effectiveness of our inventory management; (9) the actions of our competitors or mall anchors and co-tenants; (10) seasonal shopping patterns and holiday and vacation schedules; (11) disruptions in store operations due to civil unrest; and (12) weather conditions.</w:t>
      </w:r>
    </w:p>
    <w:p>
      <w:pPr>
        <w:spacing w:after="0" w:line="166" w:lineRule="exact"/>
        <w:rPr>
          <w:sz w:val="20"/>
          <w:szCs w:val="20"/>
          <w:color w:val="auto"/>
        </w:rPr>
      </w:pPr>
    </w:p>
    <w:p>
      <w:pPr>
        <w:ind w:left="40" w:right="40" w:firstLine="648"/>
        <w:spacing w:after="0" w:line="279" w:lineRule="auto"/>
        <w:rPr>
          <w:sz w:val="20"/>
          <w:szCs w:val="20"/>
          <w:color w:val="auto"/>
        </w:rPr>
      </w:pPr>
      <w:r>
        <w:rPr>
          <w:rFonts w:ascii="Arial" w:cs="Arial" w:eastAsia="Arial" w:hAnsi="Arial"/>
          <w:sz w:val="17"/>
          <w:szCs w:val="17"/>
          <w:color w:val="auto"/>
        </w:rPr>
        <w:t>The timing of store closures, remodels and openings may result in fluctuations in quarterly results based on the revenues and expenses associated with each store location. Expenses related to store closings are typically incurred in stages: when the decision is made to close the store typically associated with a lease event such as an expiration or lease triggered clause; when the closure is communicated to store associates; and at the time of closure. We typically incur most preopening costs for a new store in the three months immediately preceding the store’s opening.</w:t>
      </w:r>
    </w:p>
    <w:p>
      <w:pPr>
        <w:spacing w:after="0" w:line="171" w:lineRule="exact"/>
        <w:rPr>
          <w:sz w:val="20"/>
          <w:szCs w:val="20"/>
          <w:color w:val="auto"/>
        </w:rPr>
      </w:pPr>
    </w:p>
    <w:p>
      <w:pPr>
        <w:ind w:left="40" w:right="180" w:firstLine="648"/>
        <w:spacing w:after="0" w:line="259" w:lineRule="auto"/>
        <w:rPr>
          <w:sz w:val="20"/>
          <w:szCs w:val="20"/>
          <w:color w:val="auto"/>
        </w:rPr>
      </w:pPr>
      <w:r>
        <w:rPr>
          <w:rFonts w:ascii="Arial" w:cs="Arial" w:eastAsia="Arial" w:hAnsi="Arial"/>
          <w:sz w:val="18"/>
          <w:szCs w:val="18"/>
          <w:color w:val="auto"/>
        </w:rPr>
        <w:t>Because our retail operations have toy products as part of our revenue model, our sales are highest in our fourth quarter. The timing of holidays and school vacations can impact our quarterly results. We cannot provide assurance that this will continue to be the case. In addition, for accounting purposes, the quarters of each fiscal year consist of 13 weeks, although we will have a 14-week quarter approximately once every six years. For example, the 2014 fiscal fourth quarter had 14 weeks.</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40" w:right="100" w:firstLine="648"/>
        <w:spacing w:after="0" w:line="254" w:lineRule="auto"/>
        <w:rPr>
          <w:sz w:val="20"/>
          <w:szCs w:val="20"/>
          <w:color w:val="auto"/>
        </w:rPr>
      </w:pPr>
      <w:r>
        <w:rPr>
          <w:rFonts w:ascii="Arial" w:cs="Arial" w:eastAsia="Arial" w:hAnsi="Arial"/>
          <w:sz w:val="18"/>
          <w:szCs w:val="18"/>
          <w:color w:val="auto"/>
        </w:rPr>
        <w:t>As of May 2, 2020, we had a consolidated cash balance of $21.9 million, compared to $26.7 million as of February 1, 2020, and approximately 84% of this balance was domiciled within the United States. Historically, our cash requirements have been primarily for the relocation and remodeling of existing stores in our new design, opening of new stores, investments in information technology infrastructure and working capital. Over the past several years, we have met these requirements through capital generated from cash flow provided by operations. We have a revolving line of credit under an agreement with U.S. Bank National Association, as lender, which we have generally utilized for short-term working capital needs based primarily on the seasonal nature of our operating cash flows. Historically, our peak borrowing level has occurred in the third quarter as we increase inventory in advance of the holiday selling season.</w:t>
      </w:r>
    </w:p>
    <w:p>
      <w:pPr>
        <w:spacing w:after="0" w:line="195" w:lineRule="exact"/>
        <w:rPr>
          <w:sz w:val="20"/>
          <w:szCs w:val="20"/>
          <w:color w:val="auto"/>
        </w:rPr>
      </w:pPr>
    </w:p>
    <w:p>
      <w:pPr>
        <w:ind w:right="380" w:firstLine="648"/>
        <w:spacing w:after="0" w:line="275" w:lineRule="auto"/>
        <w:rPr>
          <w:sz w:val="20"/>
          <w:szCs w:val="20"/>
          <w:color w:val="auto"/>
        </w:rPr>
      </w:pPr>
      <w:r>
        <w:rPr>
          <w:rFonts w:ascii="Arial" w:cs="Arial" w:eastAsia="Arial" w:hAnsi="Arial"/>
          <w:sz w:val="17"/>
          <w:szCs w:val="17"/>
          <w:color w:val="auto"/>
        </w:rPr>
        <w:t>In response to the COVID-19 pandemic, we have taken actions to preserve and fortify our liquidity, including reducing and deferring various operating and other expenses, temporarily furloughing employees or reducing employee salaries, deferring store rental payments and engaging in discussions with our landlords and reducing planned capital expenditures, all as discussed in detail in the “—Overview—COVID-19 Update” above. In addition, we do not plan to utilize our cash to repurchase shares in fiscal 2020 in order to preserve our cash position. In addition, our ability to repurchase shares is limited by conditions set forth by our lender in our credit agreement, as described above.</w:t>
      </w:r>
    </w:p>
    <w:p>
      <w:pPr>
        <w:spacing w:after="0" w:line="176" w:lineRule="exact"/>
        <w:rPr>
          <w:sz w:val="20"/>
          <w:szCs w:val="20"/>
          <w:color w:val="auto"/>
        </w:rPr>
      </w:pPr>
    </w:p>
    <w:p>
      <w:pPr>
        <w:ind w:right="300" w:firstLine="648"/>
        <w:spacing w:after="0" w:line="257" w:lineRule="auto"/>
        <w:rPr>
          <w:sz w:val="20"/>
          <w:szCs w:val="20"/>
          <w:color w:val="auto"/>
        </w:rPr>
      </w:pPr>
      <w:r>
        <w:rPr>
          <w:rFonts w:ascii="Arial" w:cs="Arial" w:eastAsia="Arial" w:hAnsi="Arial"/>
          <w:sz w:val="18"/>
          <w:szCs w:val="18"/>
          <w:color w:val="auto"/>
        </w:rPr>
        <w:t>We believe that the above measures taken to increase and maintain our liquidity, together with cash generated from operations will be sufficient to fund our working capital and other cash flow requirements for at least the next 12 months. Because of the amendments described below, we do not expect to access the credit agreement prior to its expiration on September 30, 2020 because we expect to have cash of more than $5 million and given our trailing twelve month financial results, we do not expect to meet the required fixed charge coverage ratio. We continue to explore other options to access</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80"/>
          </w:cols>
          <w:pgMar w:left="280" w:top="118" w:right="339" w:bottom="1440" w:gutter="0" w:footer="0" w:header="0"/>
        </w:sectPr>
      </w:pPr>
    </w:p>
    <w:bookmarkStart w:id="25" w:name="page26"/>
    <w:bookmarkEnd w:id="25"/>
    <w:p>
      <w:pPr>
        <w:ind w:left="40"/>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alternative liquidity sources which may include other lenders, various government assistance programs and monetization of existing Company assets, including the Company-owned warehouse in Ohio and inventory, and will continue to consider other actions to improve our cash position, including but not limited to implementing further Selling, general and administrative expense reductions, foregoing or delaying capital expenditures, and working with landlords to negotiate lease structure and payment terms.</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 summary of our operating, investing and financing activities are shown in the following table (dollars in thousands):</w:t>
      </w:r>
    </w:p>
    <w:p>
      <w:pPr>
        <w:spacing w:after="0" w:line="200" w:lineRule="exact"/>
        <w:rPr>
          <w:sz w:val="20"/>
          <w:szCs w:val="20"/>
          <w:color w:val="auto"/>
        </w:rPr>
      </w:pPr>
    </w:p>
    <w:p>
      <w:pPr>
        <w:spacing w:after="0" w:line="237" w:lineRule="exact"/>
        <w:rPr>
          <w:sz w:val="20"/>
          <w:szCs w:val="20"/>
          <w:color w:val="auto"/>
        </w:rPr>
      </w:pPr>
    </w:p>
    <w:tbl>
      <w:tblPr>
        <w:tblLayout w:type="fixed"/>
        <w:tblInd w:w="700" w:type="dxa"/>
        <w:tblCellMar>
          <w:top w:w="0" w:type="dxa"/>
          <w:left w:w="0" w:type="dxa"/>
          <w:bottom w:w="0" w:type="dxa"/>
          <w:right w:w="0" w:type="dxa"/>
        </w:tblCellMar>
      </w:tblPr>
      <w:tr>
        <w:trPr>
          <w:trHeight w:val="234"/>
        </w:trPr>
        <w:tc>
          <w:tcPr>
            <w:tcW w:w="6020" w:type="dxa"/>
            <w:vAlign w:val="bottom"/>
          </w:tcPr>
          <w:p>
            <w:pPr>
              <w:spacing w:after="0"/>
              <w:rPr>
                <w:sz w:val="20"/>
                <w:szCs w:val="20"/>
                <w:color w:val="auto"/>
              </w:rPr>
            </w:pPr>
          </w:p>
        </w:tc>
        <w:tc>
          <w:tcPr>
            <w:tcW w:w="292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rPr>
              <w:t>Thirteen weeks ended</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6020" w:type="dxa"/>
            <w:vAlign w:val="bottom"/>
          </w:tcPr>
          <w:p>
            <w:pPr>
              <w:spacing w:after="0"/>
              <w:rPr>
                <w:sz w:val="16"/>
                <w:szCs w:val="16"/>
                <w:color w:val="auto"/>
              </w:rPr>
            </w:pPr>
          </w:p>
        </w:tc>
        <w:tc>
          <w:tcPr>
            <w:tcW w:w="1120" w:type="dxa"/>
            <w:vAlign w:val="bottom"/>
          </w:tcPr>
          <w:p>
            <w:pPr>
              <w:jc w:val="right"/>
              <w:spacing w:after="0" w:line="191" w:lineRule="exact"/>
              <w:rPr>
                <w:sz w:val="20"/>
                <w:szCs w:val="20"/>
                <w:color w:val="auto"/>
              </w:rPr>
            </w:pPr>
            <w:r>
              <w:rPr>
                <w:rFonts w:ascii="Arial" w:cs="Arial" w:eastAsia="Arial" w:hAnsi="Arial"/>
                <w:sz w:val="18"/>
                <w:szCs w:val="18"/>
                <w:b w:val="1"/>
                <w:bCs w:val="1"/>
                <w:color w:val="auto"/>
              </w:rPr>
              <w:t>May 2,</w:t>
            </w: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spacing w:after="0" w:line="191" w:lineRule="exact"/>
              <w:rPr>
                <w:sz w:val="20"/>
                <w:szCs w:val="20"/>
                <w:color w:val="auto"/>
              </w:rPr>
            </w:pPr>
            <w:r>
              <w:rPr>
                <w:rFonts w:ascii="Arial" w:cs="Arial" w:eastAsia="Arial" w:hAnsi="Arial"/>
                <w:sz w:val="18"/>
                <w:szCs w:val="18"/>
                <w:b w:val="1"/>
                <w:bCs w:val="1"/>
                <w:color w:val="auto"/>
              </w:rPr>
              <w:t>May 4,</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6020" w:type="dxa"/>
            <w:vAlign w:val="bottom"/>
          </w:tcPr>
          <w:p>
            <w:pPr>
              <w:spacing w:after="0"/>
              <w:rPr>
                <w:sz w:val="20"/>
                <w:szCs w:val="20"/>
                <w:color w:val="auto"/>
              </w:rPr>
            </w:pPr>
          </w:p>
        </w:tc>
        <w:tc>
          <w:tcPr>
            <w:tcW w:w="112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operating activities</w:t>
            </w:r>
          </w:p>
        </w:tc>
        <w:tc>
          <w:tcPr>
            <w:tcW w:w="1120" w:type="dxa"/>
            <w:vAlign w:val="bottom"/>
            <w:shd w:val="clear" w:color="auto" w:fill="CCEEFF"/>
          </w:tcPr>
          <w:p>
            <w:pPr>
              <w:jc w:val="right"/>
              <w:ind w:right="957"/>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(2,506)</w:t>
            </w: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5,141</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(2,849)</w:t>
            </w:r>
          </w:p>
        </w:tc>
        <w:tc>
          <w:tcPr>
            <w:tcW w:w="11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(2,440)</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w:t>
            </w:r>
          </w:p>
        </w:tc>
        <w:tc>
          <w:tcPr>
            <w:tcW w:w="1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(258)</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Effect of exchange rates on cash</w:t>
            </w:r>
          </w:p>
        </w:tc>
        <w:tc>
          <w:tcPr>
            <w:tcW w:w="1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551</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(99)</w:t>
            </w:r>
          </w:p>
        </w:tc>
      </w:tr>
      <w:tr>
        <w:trPr>
          <w:trHeight w:val="20"/>
        </w:trPr>
        <w:tc>
          <w:tcPr>
            <w:tcW w:w="60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(decrease) increase in cash and cash equivalents</w:t>
            </w:r>
          </w:p>
        </w:tc>
        <w:tc>
          <w:tcPr>
            <w:tcW w:w="1120" w:type="dxa"/>
            <w:vAlign w:val="bottom"/>
            <w:shd w:val="clear" w:color="auto" w:fill="CCEEFF"/>
          </w:tcPr>
          <w:p>
            <w:pPr>
              <w:jc w:val="right"/>
              <w:ind w:right="957"/>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(4,918)</w:t>
            </w: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2,344</w:t>
            </w:r>
          </w:p>
        </w:tc>
      </w:tr>
      <w:tr>
        <w:trPr>
          <w:trHeight w:val="20"/>
        </w:trPr>
        <w:tc>
          <w:tcPr>
            <w:tcW w:w="60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40" w:firstLine="648"/>
        <w:spacing w:after="0" w:line="263"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Cash provided from operating activities decreased $7.6 million for the thirteen weeks ended May 2, 2020, as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thirteen weeks ended May 4, 2019. This decrease in cash from operating activities was primarily driven by the closure of our corporately managed retail stores in North America and the United Kingdom beginning March 18, 2020.</w:t>
      </w:r>
    </w:p>
    <w:p>
      <w:pPr>
        <w:spacing w:after="0" w:line="184" w:lineRule="exact"/>
        <w:rPr>
          <w:sz w:val="20"/>
          <w:szCs w:val="20"/>
          <w:color w:val="auto"/>
        </w:rPr>
      </w:pPr>
    </w:p>
    <w:p>
      <w:pPr>
        <w:ind w:left="40" w:right="100" w:firstLine="648"/>
        <w:spacing w:after="0" w:line="263"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Cash used in investing activities increased $0.4 million for the thirteen weeks ended May 2, 2020 as compared to the thirteen</w:t>
      </w:r>
      <w:r>
        <w:rPr>
          <w:rFonts w:ascii="Arial" w:cs="Arial" w:eastAsia="Arial" w:hAnsi="Arial"/>
          <w:sz w:val="18"/>
          <w:szCs w:val="18"/>
          <w:i w:val="1"/>
          <w:iCs w:val="1"/>
          <w:color w:val="auto"/>
        </w:rPr>
        <w:t xml:space="preserve"> </w:t>
      </w:r>
      <w:r>
        <w:rPr>
          <w:rFonts w:ascii="Arial" w:cs="Arial" w:eastAsia="Arial" w:hAnsi="Arial"/>
          <w:sz w:val="18"/>
          <w:szCs w:val="18"/>
          <w:color w:val="auto"/>
        </w:rPr>
        <w:t>weeks ended May 4, 2019. This increase in cash from investing activities was primarily driven by cash for previously committed investments in infrastructure to support the Company's digital initiatives whose spend occurred near the beginning of the period.</w:t>
      </w:r>
    </w:p>
    <w:p>
      <w:pPr>
        <w:spacing w:after="0" w:line="184" w:lineRule="exact"/>
        <w:rPr>
          <w:sz w:val="20"/>
          <w:szCs w:val="20"/>
          <w:color w:val="auto"/>
        </w:rPr>
      </w:pPr>
    </w:p>
    <w:p>
      <w:pPr>
        <w:ind w:left="40" w:right="80" w:firstLine="648"/>
        <w:spacing w:after="0" w:line="286" w:lineRule="auto"/>
        <w:rPr>
          <w:sz w:val="20"/>
          <w:szCs w:val="20"/>
          <w:color w:val="auto"/>
        </w:rPr>
      </w:pPr>
      <w:r>
        <w:rPr>
          <w:rFonts w:ascii="Arial" w:cs="Arial" w:eastAsia="Arial" w:hAnsi="Arial"/>
          <w:sz w:val="17"/>
          <w:szCs w:val="17"/>
          <w:i w:val="1"/>
          <w:iCs w:val="1"/>
          <w:color w:val="auto"/>
        </w:rPr>
        <w:t xml:space="preserve">Financing Activities. </w:t>
      </w:r>
      <w:r>
        <w:rPr>
          <w:rFonts w:ascii="Arial" w:cs="Arial" w:eastAsia="Arial" w:hAnsi="Arial"/>
          <w:sz w:val="17"/>
          <w:szCs w:val="17"/>
          <w:color w:val="auto"/>
        </w:rPr>
        <w:t>Cash used in financing activities decreased $0.1 million for the thirteen weeks ended May 2, 2020, as compared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thirteen weeks ended May 4, 2019. This decrease in cash from financing activities was driven by less stock-based compensation vesting in the first quarter of fiscal 2020 compared to the first quarter of prior year resulting in the need for less total shares withheld for taxes.</w:t>
      </w:r>
    </w:p>
    <w:p>
      <w:pPr>
        <w:spacing w:after="0" w:line="165" w:lineRule="exact"/>
        <w:rPr>
          <w:sz w:val="20"/>
          <w:szCs w:val="20"/>
          <w:color w:val="auto"/>
        </w:rPr>
      </w:pPr>
    </w:p>
    <w:p>
      <w:pPr>
        <w:ind w:left="40" w:firstLine="648"/>
        <w:spacing w:after="0" w:line="285" w:lineRule="auto"/>
        <w:rPr>
          <w:sz w:val="20"/>
          <w:szCs w:val="20"/>
          <w:color w:val="auto"/>
        </w:rPr>
      </w:pPr>
      <w:r>
        <w:rPr>
          <w:rFonts w:ascii="Arial" w:cs="Arial" w:eastAsia="Arial" w:hAnsi="Arial"/>
          <w:sz w:val="16"/>
          <w:szCs w:val="16"/>
          <w:i w:val="1"/>
          <w:iCs w:val="1"/>
          <w:color w:val="auto"/>
        </w:rPr>
        <w:t xml:space="preserve">Capital Resources: </w:t>
      </w:r>
      <w:r>
        <w:rPr>
          <w:rFonts w:ascii="Arial" w:cs="Arial" w:eastAsia="Arial" w:hAnsi="Arial"/>
          <w:sz w:val="16"/>
          <w:szCs w:val="16"/>
          <w:color w:val="auto"/>
        </w:rPr>
        <w:t>As noted above, as of May 2, 2020, we had a consolidated cash balance of $21.9 million compared to $26.7 million as of</w:t>
      </w:r>
      <w:r>
        <w:rPr>
          <w:rFonts w:ascii="Arial" w:cs="Arial" w:eastAsia="Arial" w:hAnsi="Arial"/>
          <w:sz w:val="16"/>
          <w:szCs w:val="16"/>
          <w:i w:val="1"/>
          <w:iCs w:val="1"/>
          <w:color w:val="auto"/>
        </w:rPr>
        <w:t xml:space="preserve"> </w:t>
      </w:r>
      <w:r>
        <w:rPr>
          <w:rFonts w:ascii="Arial" w:cs="Arial" w:eastAsia="Arial" w:hAnsi="Arial"/>
          <w:sz w:val="16"/>
          <w:szCs w:val="16"/>
          <w:color w:val="auto"/>
        </w:rPr>
        <w:t>February 1, 2020, and approximately 84% of this balance was domiciled within the United States. On May 28, 2020, we entered into the twenty-first amendment to our credit agreement, which, among other revisions, reduced the total facility to $10.0 million. Borrowings under the credit agreement are secured by our assets and a pledge of 66% of our ownership interest in certain of our foreign subsidiaries. The credit agreement expires on September 30, 2020 and contains various restrictions on indebtedness, liens, guarantees, redemptions, mergers, acquisitions or sale of assets, loans, transactions with affiliates and investments. The agreement limits the conditions under which the Company may declare dividends and repurchase shares. For example, we may not use the proceeds of the line of credit to repurchase shares. The commitment fee is 0.25% per annum and borrowings bear interest at LIBOR plus 3.25%. The amendment eliminated the minimum EBITDA, funded debt ratio, and fixed charge coverage ratio covenants as of the end of each reporting period, but imposed other restrictions, including a requirement to maintain a minimum consolidated North American cash balance of $3 million at all times and, at the time of borrowing, have no more than $5 million of consolidated North American cash and meet a fixed charge coverage ratio as of the most recent quarter-end on a trailing 12-month basis of less than 1.25 to 1.00. In addition, the Company had a $1.0 million letter of credit against the line of credit at the end of the first quarter of fiscal 2020. As of the end of the first quarter of fiscal 2020 under the credit agreement as amended on May 28, 2020, we were in compliance with the restrictions stated in the agreement and there were no borrowings under the line of credit. Although there was $9.0 million available for borrowing under the line of credit as of the end of the first quarter, because of the amendments described above, we do not expect to access the credit agreement prior to its expiration on September 30, 2020 because we expect to have cash of more than $5 million and given our trailing twelve month financial results, we do not expect to meet the required fixed charge coverage ratio.</w:t>
      </w:r>
    </w:p>
    <w:p>
      <w:pPr>
        <w:spacing w:after="0" w:line="176" w:lineRule="exact"/>
        <w:rPr>
          <w:sz w:val="20"/>
          <w:szCs w:val="20"/>
          <w:color w:val="auto"/>
        </w:rPr>
      </w:pPr>
    </w:p>
    <w:p>
      <w:pPr>
        <w:ind w:left="20" w:right="140" w:firstLine="648"/>
        <w:spacing w:after="0" w:line="259" w:lineRule="auto"/>
        <w:rPr>
          <w:sz w:val="20"/>
          <w:szCs w:val="20"/>
          <w:color w:val="auto"/>
        </w:rPr>
      </w:pPr>
      <w:r>
        <w:rPr>
          <w:rFonts w:ascii="Arial" w:cs="Arial" w:eastAsia="Arial" w:hAnsi="Arial"/>
          <w:sz w:val="18"/>
          <w:szCs w:val="18"/>
          <w:color w:val="auto"/>
        </w:rPr>
        <w:t>Most of our retail stores are located within shopping malls and all are operated under leases classified as operating leases. Our leases in North America have shifted to shorter term leases to provide flexibility in aligning stores with market trends. Our leases typically require us to pay personal property taxes, our pro rata share of real property taxes of the shopping mall, our own utilities, repairs and maintenance in our store, a pro rata share of the malls’ common area maintenance and, in some instances,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280" w:top="118" w:right="359" w:bottom="1440" w:gutter="0" w:footer="0" w:header="0"/>
        </w:sectPr>
      </w:pPr>
    </w:p>
    <w:bookmarkStart w:id="26" w:name="page27"/>
    <w:bookmarkEnd w:id="26"/>
    <w:p>
      <w:pPr>
        <w:ind w:left="20"/>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merchant association fees and media fund contributions. Many leases contain incentives to help defray the cost of construction of a new store. Typically, a portion of the incentive must be repaid to the landlord if we choose to terminate the lease. In addition, some of these leases contain various restrictions relating to change in control of our company. Our leases also subject us to risks relating to compliance with changing mall rules and the exercise of discretion by our landlords on various matters, including rights of termination in some cases. Rents are invoiced monthly and paid in advance.</w:t>
      </w:r>
    </w:p>
    <w:p>
      <w:pPr>
        <w:spacing w:after="0" w:line="157" w:lineRule="exact"/>
        <w:rPr>
          <w:sz w:val="20"/>
          <w:szCs w:val="20"/>
          <w:color w:val="auto"/>
        </w:rPr>
      </w:pPr>
    </w:p>
    <w:p>
      <w:pPr>
        <w:ind w:right="160" w:firstLine="648"/>
        <w:spacing w:after="0" w:line="275" w:lineRule="auto"/>
        <w:rPr>
          <w:sz w:val="20"/>
          <w:szCs w:val="20"/>
          <w:color w:val="auto"/>
        </w:rPr>
      </w:pPr>
      <w:r>
        <w:rPr>
          <w:rFonts w:ascii="Arial" w:cs="Arial" w:eastAsia="Arial" w:hAnsi="Arial"/>
          <w:sz w:val="17"/>
          <w:szCs w:val="17"/>
          <w:color w:val="auto"/>
        </w:rPr>
        <w:t>Our leases in the U.K. and Ireland typically have terms of ten years and generally contain a provision whereby every fifth year the rental rate can be adjusted to reflect the current market rates. The leases typically provide the lessee with the first right for renewal at the end of the lease. We may also be required to make deposits and rent guarantees to secure new leases as we expand. Real estate taxes also change according to government time schedules to reflect current market rental rates for the locations we lease. However, for fiscal 2020, business rates have been forgiven by the U.K. government through April 2021. Rents are invoiced monthly and quarterly and paid in advance.</w:t>
      </w:r>
    </w:p>
    <w:p>
      <w:pPr>
        <w:spacing w:after="0" w:line="176" w:lineRule="exact"/>
        <w:rPr>
          <w:sz w:val="20"/>
          <w:szCs w:val="20"/>
          <w:color w:val="auto"/>
        </w:rPr>
      </w:pPr>
    </w:p>
    <w:p>
      <w:pPr>
        <w:ind w:left="20" w:right="460" w:firstLine="648"/>
        <w:spacing w:after="0" w:line="263" w:lineRule="auto"/>
        <w:rPr>
          <w:sz w:val="20"/>
          <w:szCs w:val="20"/>
          <w:color w:val="auto"/>
        </w:rPr>
      </w:pPr>
      <w:r>
        <w:rPr>
          <w:rFonts w:ascii="Arial" w:cs="Arial" w:eastAsia="Arial" w:hAnsi="Arial"/>
          <w:sz w:val="18"/>
          <w:szCs w:val="18"/>
          <w:color w:val="auto"/>
        </w:rPr>
        <w:t>Capital spending through the thirteen weeks ended May 2, 2020 totaled $2.8 million, which reflects previously committed investments in infrastructure to support its digital initiatives. In response to the COVID-19 pandemic, the Company subsequently has taken action to reduce planned capital expenditures in fiscal 2020 to maintenance levels.</w:t>
      </w:r>
    </w:p>
    <w:p>
      <w:pPr>
        <w:spacing w:after="0" w:line="184" w:lineRule="exact"/>
        <w:rPr>
          <w:sz w:val="20"/>
          <w:szCs w:val="20"/>
          <w:color w:val="auto"/>
        </w:rPr>
      </w:pPr>
    </w:p>
    <w:p>
      <w:pPr>
        <w:ind w:left="20" w:right="20" w:firstLine="648"/>
        <w:spacing w:after="0" w:line="257" w:lineRule="auto"/>
        <w:rPr>
          <w:sz w:val="20"/>
          <w:szCs w:val="20"/>
          <w:color w:val="auto"/>
        </w:rPr>
      </w:pPr>
      <w:r>
        <w:rPr>
          <w:rFonts w:ascii="Arial" w:cs="Arial" w:eastAsia="Arial" w:hAnsi="Arial"/>
          <w:sz w:val="18"/>
          <w:szCs w:val="18"/>
          <w:color w:val="auto"/>
        </w:rPr>
        <w:t>In August 2017, our Board of Directors adopted a share repurchase program authorizing the repurchase of up to $20 million of our common stock. From the date of the program approval through May 2, 2020, we repurchased a total of 1.3 million shares at an average price of $8.75 per share for an aggregate amount of $11.2 million. Although we had $8.8 million of availability under the 2017 Share Repurchase Program as of May 2, 2020, currently we do not plan to utilize our cash to resume share repurchases in fiscal 2020. In addition, our ability to repurchase shares is limited by conditions set forth by our lender in our credit agreement, as described above.</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left="20" w:right="280" w:firstLine="648"/>
        <w:spacing w:after="0" w:line="277" w:lineRule="auto"/>
        <w:rPr>
          <w:sz w:val="20"/>
          <w:szCs w:val="20"/>
          <w:color w:val="auto"/>
        </w:rPr>
      </w:pPr>
      <w:r>
        <w:rPr>
          <w:rFonts w:ascii="Arial" w:cs="Arial" w:eastAsia="Arial" w:hAnsi="Arial"/>
          <w:sz w:val="18"/>
          <w:szCs w:val="18"/>
          <w:color w:val="auto"/>
        </w:rPr>
        <w:t>We do not believe that inflation has had a material adverse impact on our business or operating results during the periods presented. We cannot provide assurance, however, that our business will not be affected by inflation in the future.</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left="20" w:right="60" w:firstLine="648"/>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the appropriate application of certain accounting policies, which require us to make estimates and assumptions about future events and their impact on amounts reported in our financial statements and related notes. Since future events and their impact cannot be determined with certainty, the actual results will inevitably differ from our estimates. Such differences could be material to the financial statements.</w:t>
      </w:r>
    </w:p>
    <w:p>
      <w:pPr>
        <w:spacing w:after="0" w:line="187" w:lineRule="exact"/>
        <w:rPr>
          <w:sz w:val="20"/>
          <w:szCs w:val="20"/>
          <w:color w:val="auto"/>
        </w:rPr>
      </w:pPr>
    </w:p>
    <w:p>
      <w:pPr>
        <w:ind w:left="20" w:right="120" w:firstLine="648"/>
        <w:spacing w:after="0" w:line="263" w:lineRule="auto"/>
        <w:rPr>
          <w:sz w:val="20"/>
          <w:szCs w:val="20"/>
          <w:color w:val="auto"/>
        </w:rPr>
      </w:pPr>
      <w:r>
        <w:rPr>
          <w:rFonts w:ascii="Arial" w:cs="Arial" w:eastAsia="Arial" w:hAnsi="Arial"/>
          <w:sz w:val="18"/>
          <w:szCs w:val="18"/>
          <w:color w:val="auto"/>
        </w:rPr>
        <w:t>We believe application of accounting policies, and the estimates inherently required therein, are reasonable. These accounting policies and estimates, including those related to long-lived assets, leases, revenue recognition and income taxes, are reevaluated on an ongoing basis, and adjustments are made when facts and circumstances dictate a change.</w:t>
      </w:r>
    </w:p>
    <w:p>
      <w:pPr>
        <w:spacing w:after="0" w:line="184" w:lineRule="exact"/>
        <w:rPr>
          <w:sz w:val="20"/>
          <w:szCs w:val="20"/>
          <w:color w:val="auto"/>
        </w:rPr>
      </w:pPr>
    </w:p>
    <w:p>
      <w:pPr>
        <w:ind w:left="20" w:right="160" w:firstLine="648"/>
        <w:spacing w:after="0" w:line="301" w:lineRule="auto"/>
        <w:rPr>
          <w:sz w:val="20"/>
          <w:szCs w:val="20"/>
          <w:color w:val="auto"/>
        </w:rPr>
      </w:pPr>
      <w:r>
        <w:rPr>
          <w:rFonts w:ascii="Arial" w:cs="Arial" w:eastAsia="Arial" w:hAnsi="Arial"/>
          <w:sz w:val="16"/>
          <w:szCs w:val="16"/>
          <w:color w:val="auto"/>
        </w:rPr>
        <w:t>Historically, we have found our application of accounting policies to be appropriate, and actual results have not differed materially from those determined using necessary estimates. Our critical accounting policies and estimates are discussed in and should be read in conjunction with our Annual Report on Form 10-K, as filed with the Securities and Exchange Commission (SEC) on April 16, 2020, which includes audited consolidated financial statements for our 2019 and 2018 fiscal years. There have been no material changes to the critical accounting estimates disclosed in the 2019 Form 10-K.</w:t>
      </w:r>
    </w:p>
    <w:p>
      <w:pPr>
        <w:spacing w:after="0" w:line="15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20" w:firstLine="648"/>
        <w:spacing w:after="0" w:line="277" w:lineRule="auto"/>
        <w:rPr>
          <w:sz w:val="20"/>
          <w:szCs w:val="20"/>
          <w:color w:val="auto"/>
        </w:rPr>
      </w:pPr>
      <w:r>
        <w:rPr>
          <w:rFonts w:ascii="Arial" w:cs="Arial" w:eastAsia="Arial" w:hAnsi="Arial"/>
          <w:sz w:val="18"/>
          <w:szCs w:val="18"/>
          <w:color w:val="auto"/>
        </w:rPr>
        <w:t>See Note 1 to the Condensed Consolidated Financial Statements — Basis of Presentation — Recent Accounting Pronouncements – Adopted in the Current Year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00" w:top="118" w:right="359" w:bottom="1440" w:gutter="0" w:footer="0" w:header="0"/>
        </w:sectPr>
      </w:pPr>
    </w:p>
    <w:bookmarkStart w:id="27" w:name="page28"/>
    <w:bookmarkEnd w:id="2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There have been no material changes to our Quantitative and Qualitative Disclosures About Market Risk as disclosed in our Annual Report on Form 10-K for the year ended February 1, 2020 as filed with the SEC on April 16,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Our management, with the participation of our President and Chief Executive Officer and Chief Financial Officer, has evaluated the effectiveness of our disclosure controls and procedures, as of the end of the period covered by this report. Our disclosure controls and procedures are designed to ensure that information required to be disclosed by us in the reports filed or submitted under the Exchange Act is recorded, processed, summarized and reported within the time periods specified in the SEC’s rules and forms and is accumulated and communicated to management, including our certifying officers, as appropriate to allow timely decisions regarding required disclosure. Based on the foregoing evaluation, our management, including the President and Chief Executive Officer and Chief Financial Officer, concluded that our disclosure controls and procedures were effective as of May 2, 2020, the end of the period covered by this Quarterly Report.</w:t>
      </w:r>
    </w:p>
    <w:p>
      <w:pPr>
        <w:spacing w:after="0" w:line="177"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It should be noted that our management, including the President and Chief Executive Officer and the Chief Financial Officer, does not expect that our disclosure controls and procedures or internal controls will prevent all error and all fraud. A control system, no matter how well conceived or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controls.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72"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i w:val="1"/>
          <w:iCs w:val="1"/>
          <w:color w:val="auto"/>
        </w:rPr>
        <w:t xml:space="preserve">Changes in Internal Control Over Financial Reporting. </w:t>
      </w:r>
      <w:r>
        <w:rPr>
          <w:rFonts w:ascii="Arial" w:cs="Arial" w:eastAsia="Arial" w:hAnsi="Arial"/>
          <w:sz w:val="17"/>
          <w:szCs w:val="17"/>
          <w:color w:val="auto"/>
        </w:rPr>
        <w:t>The Company’s management, with the participation of the Company’s President and Chief</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Officer and Chief Financial Officer, also conducted an evaluation of the Company’s internal control over financial reporting to determine whether any changes occurred during the period covered by this report that have materially affected, or are reasonably likely to materially affect, the Company’s internal control over financial reporting. There have been no changes in our internal control over financial reporting during the quarter covered by this report that has materially affected, or is reasonably likely to materially affect, our internal control over financial reporting.</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There have been no material changes to our risk factors as disclosed in our Annual Report on Form 10-K for the year ended February 1, 2020 as filed with the SEC on April 16, 2020.</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8" w:name="page29"/>
    <w:bookmarkEnd w:id="2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ISSUER PURCHASES OF EQUITY SECURITIES</w:t>
      </w:r>
    </w:p>
    <w:p>
      <w:pPr>
        <w:spacing w:after="0" w:line="225"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1"/>
              </w:rPr>
              <w:t>(a) Total</w:t>
            </w:r>
          </w:p>
        </w:tc>
        <w:tc>
          <w:tcPr>
            <w:tcW w:w="12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95"/>
              </w:rPr>
              <w:t>(b)</w:t>
            </w:r>
          </w:p>
        </w:tc>
        <w:tc>
          <w:tcPr>
            <w:tcW w:w="1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0"/>
              </w:rPr>
              <w:t>(c) Total Number of</w:t>
            </w:r>
          </w:p>
        </w:tc>
        <w:tc>
          <w:tcPr>
            <w:tcW w:w="100" w:type="dxa"/>
            <w:vAlign w:val="bottom"/>
          </w:tcPr>
          <w:p>
            <w:pPr>
              <w:spacing w:after="0"/>
              <w:rPr>
                <w:sz w:val="18"/>
                <w:szCs w:val="18"/>
                <w:color w:val="auto"/>
              </w:rPr>
            </w:pPr>
          </w:p>
        </w:tc>
        <w:tc>
          <w:tcPr>
            <w:tcW w:w="21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4"/>
              </w:rPr>
              <w:t>(d) Maximum Number (or</w:t>
            </w:r>
          </w:p>
        </w:tc>
      </w:tr>
      <w:tr>
        <w:trPr>
          <w:trHeight w:val="216"/>
        </w:trPr>
        <w:tc>
          <w:tcPr>
            <w:tcW w:w="38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89"/>
              </w:rPr>
              <w:t>Shares (or Units)</w:t>
            </w:r>
          </w:p>
        </w:tc>
        <w:tc>
          <w:tcPr>
            <w:tcW w:w="100" w:type="dxa"/>
            <w:vAlign w:val="bottom"/>
          </w:tcPr>
          <w:p>
            <w:pPr>
              <w:spacing w:after="0"/>
              <w:rPr>
                <w:sz w:val="18"/>
                <w:szCs w:val="18"/>
                <w:color w:val="auto"/>
              </w:rPr>
            </w:pPr>
          </w:p>
        </w:tc>
        <w:tc>
          <w:tcPr>
            <w:tcW w:w="21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2"/>
              </w:rPr>
              <w:t>Approximate Dollar Value)</w:t>
            </w:r>
          </w:p>
        </w:tc>
      </w:tr>
      <w:tr>
        <w:trPr>
          <w:trHeight w:val="216"/>
        </w:trPr>
        <w:tc>
          <w:tcPr>
            <w:tcW w:w="38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89"/>
              </w:rPr>
              <w:t>Shares (or</w:t>
            </w:r>
          </w:p>
        </w:tc>
        <w:tc>
          <w:tcPr>
            <w:tcW w:w="12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90"/>
              </w:rPr>
              <w:t>Price</w:t>
            </w:r>
          </w:p>
        </w:tc>
        <w:tc>
          <w:tcPr>
            <w:tcW w:w="1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88"/>
              </w:rPr>
              <w:t>Purchased as Part of</w:t>
            </w:r>
          </w:p>
        </w:tc>
        <w:tc>
          <w:tcPr>
            <w:tcW w:w="100" w:type="dxa"/>
            <w:vAlign w:val="bottom"/>
          </w:tcPr>
          <w:p>
            <w:pPr>
              <w:spacing w:after="0"/>
              <w:rPr>
                <w:sz w:val="18"/>
                <w:szCs w:val="18"/>
                <w:color w:val="auto"/>
              </w:rPr>
            </w:pPr>
          </w:p>
        </w:tc>
        <w:tc>
          <w:tcPr>
            <w:tcW w:w="21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0"/>
              </w:rPr>
              <w:t>of Shares (or Units) that</w:t>
            </w:r>
          </w:p>
        </w:tc>
      </w:tr>
      <w:tr>
        <w:trPr>
          <w:trHeight w:val="216"/>
        </w:trPr>
        <w:tc>
          <w:tcPr>
            <w:tcW w:w="38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4"/>
              </w:rPr>
              <w:t>Units)</w:t>
            </w:r>
          </w:p>
        </w:tc>
        <w:tc>
          <w:tcPr>
            <w:tcW w:w="12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91"/>
              </w:rPr>
              <w:t>Paid Per</w:t>
            </w:r>
          </w:p>
        </w:tc>
        <w:tc>
          <w:tcPr>
            <w:tcW w:w="1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88"/>
              </w:rPr>
              <w:t>Publicly Announced</w:t>
            </w:r>
          </w:p>
        </w:tc>
        <w:tc>
          <w:tcPr>
            <w:tcW w:w="100" w:type="dxa"/>
            <w:vAlign w:val="bottom"/>
          </w:tcPr>
          <w:p>
            <w:pPr>
              <w:spacing w:after="0"/>
              <w:rPr>
                <w:sz w:val="18"/>
                <w:szCs w:val="18"/>
                <w:color w:val="auto"/>
              </w:rPr>
            </w:pPr>
          </w:p>
        </w:tc>
        <w:tc>
          <w:tcPr>
            <w:tcW w:w="21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0"/>
              </w:rPr>
              <w:t>May Yet Be Purchased</w:t>
            </w:r>
          </w:p>
        </w:tc>
      </w:tr>
      <w:tr>
        <w:trPr>
          <w:trHeight w:val="216"/>
        </w:trPr>
        <w:tc>
          <w:tcPr>
            <w:tcW w:w="38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86"/>
              </w:rPr>
              <w:t>Purchased</w:t>
            </w:r>
          </w:p>
        </w:tc>
        <w:tc>
          <w:tcPr>
            <w:tcW w:w="12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91"/>
              </w:rPr>
              <w:t>Share</w:t>
            </w:r>
          </w:p>
        </w:tc>
        <w:tc>
          <w:tcPr>
            <w:tcW w:w="1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88"/>
              </w:rPr>
              <w:t>Plans or Programs</w:t>
            </w:r>
          </w:p>
        </w:tc>
        <w:tc>
          <w:tcPr>
            <w:tcW w:w="100" w:type="dxa"/>
            <w:vAlign w:val="bottom"/>
          </w:tcPr>
          <w:p>
            <w:pPr>
              <w:spacing w:after="0"/>
              <w:rPr>
                <w:sz w:val="18"/>
                <w:szCs w:val="18"/>
                <w:color w:val="auto"/>
              </w:rPr>
            </w:pPr>
          </w:p>
        </w:tc>
        <w:tc>
          <w:tcPr>
            <w:tcW w:w="21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Under the Plans or</w:t>
            </w:r>
          </w:p>
        </w:tc>
      </w:tr>
      <w:tr>
        <w:trPr>
          <w:trHeight w:val="234"/>
        </w:trPr>
        <w:tc>
          <w:tcPr>
            <w:tcW w:w="3860" w:type="dxa"/>
            <w:vAlign w:val="bottom"/>
          </w:tcPr>
          <w:p>
            <w:pPr>
              <w:spacing w:after="0"/>
              <w:rPr>
                <w:sz w:val="20"/>
                <w:szCs w:val="20"/>
                <w:color w:val="auto"/>
              </w:rPr>
            </w:pPr>
            <w:r>
              <w:rPr>
                <w:rFonts w:ascii="Arial" w:cs="Arial" w:eastAsia="Arial" w:hAnsi="Arial"/>
                <w:sz w:val="18"/>
                <w:szCs w:val="18"/>
                <w:b w:val="1"/>
                <w:bCs w:val="1"/>
                <w:color w:val="auto"/>
              </w:rPr>
              <w:t>Period</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(1)</w:t>
            </w:r>
          </w:p>
        </w:tc>
        <w:tc>
          <w:tcPr>
            <w:tcW w:w="120" w:type="dxa"/>
            <w:vAlign w:val="bottom"/>
          </w:tcPr>
          <w:p>
            <w:pPr>
              <w:spacing w:after="0"/>
              <w:rPr>
                <w:sz w:val="20"/>
                <w:szCs w:val="20"/>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(or Unit)</w:t>
            </w:r>
          </w:p>
        </w:tc>
        <w:tc>
          <w:tcPr>
            <w:tcW w:w="100" w:type="dxa"/>
            <w:vAlign w:val="bottom"/>
          </w:tcPr>
          <w:p>
            <w:pPr>
              <w:spacing w:after="0"/>
              <w:rPr>
                <w:sz w:val="20"/>
                <w:szCs w:val="20"/>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w:t>
            </w:r>
          </w:p>
        </w:tc>
        <w:tc>
          <w:tcPr>
            <w:tcW w:w="100" w:type="dxa"/>
            <w:vAlign w:val="bottom"/>
          </w:tcPr>
          <w:p>
            <w:pPr>
              <w:spacing w:after="0"/>
              <w:rPr>
                <w:sz w:val="20"/>
                <w:szCs w:val="20"/>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Programs (2)</w:t>
            </w:r>
          </w:p>
        </w:tc>
        <w:tc>
          <w:tcPr>
            <w:tcW w:w="60" w:type="dxa"/>
            <w:vAlign w:val="bottom"/>
          </w:tcPr>
          <w:p>
            <w:pPr>
              <w:spacing w:after="0"/>
              <w:rPr>
                <w:sz w:val="20"/>
                <w:szCs w:val="20"/>
                <w:color w:val="auto"/>
              </w:rPr>
            </w:pPr>
          </w:p>
        </w:tc>
      </w:tr>
      <w:tr>
        <w:trPr>
          <w:trHeight w:val="209"/>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Feb. 2, 2020 - Feb. 29, 2020</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9"/>
              </w:rPr>
              <w:t>-</w:t>
            </w:r>
          </w:p>
        </w:tc>
        <w:tc>
          <w:tcPr>
            <w:tcW w:w="17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w:t>
            </w:r>
          </w:p>
        </w:tc>
        <w:tc>
          <w:tcPr>
            <w:tcW w:w="220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$8,795,529</w:t>
            </w:r>
          </w:p>
        </w:tc>
        <w:tc>
          <w:tcPr>
            <w:tcW w:w="60" w:type="dxa"/>
            <w:vAlign w:val="bottom"/>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Mar. 1, 2020 - Apr. 4, 2020</w:t>
            </w: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17,738</w:t>
            </w:r>
          </w:p>
        </w:tc>
        <w:tc>
          <w:tcPr>
            <w:tcW w:w="820" w:type="dxa"/>
            <w:vAlign w:val="bottom"/>
            <w:gridSpan w:val="2"/>
          </w:tcPr>
          <w:p>
            <w:pPr>
              <w:jc w:val="center"/>
              <w:ind w:left="30"/>
              <w:spacing w:after="0"/>
              <w:rPr>
                <w:sz w:val="20"/>
                <w:szCs w:val="20"/>
                <w:color w:val="auto"/>
              </w:rPr>
            </w:pPr>
            <w:r>
              <w:rPr>
                <w:rFonts w:ascii="Arial" w:cs="Arial" w:eastAsia="Arial" w:hAnsi="Arial"/>
                <w:sz w:val="18"/>
                <w:szCs w:val="18"/>
                <w:color w:val="auto"/>
                <w:w w:val="85"/>
              </w:rPr>
              <w:t>1.43</w:t>
            </w:r>
          </w:p>
        </w:tc>
        <w:tc>
          <w:tcPr>
            <w:tcW w:w="176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w:t>
            </w:r>
          </w:p>
        </w:tc>
        <w:tc>
          <w:tcPr>
            <w:tcW w:w="220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8,795,529</w:t>
            </w:r>
          </w:p>
        </w:tc>
        <w:tc>
          <w:tcPr>
            <w:tcW w:w="60" w:type="dxa"/>
            <w:vAlign w:val="bottom"/>
          </w:tcPr>
          <w:p>
            <w:pPr>
              <w:spacing w:after="0"/>
              <w:rPr>
                <w:sz w:val="18"/>
                <w:szCs w:val="18"/>
                <w:color w:val="auto"/>
              </w:rPr>
            </w:pPr>
          </w:p>
        </w:tc>
      </w:tr>
      <w:tr>
        <w:trPr>
          <w:trHeight w:val="216"/>
        </w:trPr>
        <w:tc>
          <w:tcPr>
            <w:tcW w:w="3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Apr. 5, 2020 - May 2, 2020</w:t>
            </w:r>
          </w:p>
        </w:tc>
        <w:tc>
          <w:tcPr>
            <w:tcW w:w="8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51,751</w:t>
            </w: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2.54</w:t>
            </w:r>
          </w:p>
        </w:tc>
        <w:tc>
          <w:tcPr>
            <w:tcW w:w="10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18"/>
                <w:szCs w:val="18"/>
                <w:color w:val="auto"/>
              </w:rPr>
            </w:pPr>
          </w:p>
        </w:tc>
        <w:tc>
          <w:tcPr>
            <w:tcW w:w="2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8,795,529</w:t>
            </w:r>
          </w:p>
        </w:tc>
        <w:tc>
          <w:tcPr>
            <w:tcW w:w="60" w:type="dxa"/>
            <w:vAlign w:val="bottom"/>
            <w:tcBorders>
              <w:bottom w:val="single" w:sz="8" w:color="CCEEFF"/>
            </w:tcBorders>
            <w:shd w:val="clear" w:color="auto" w:fill="CCEEFF"/>
          </w:tcPr>
          <w:p>
            <w:pPr>
              <w:spacing w:after="0"/>
              <w:rPr>
                <w:sz w:val="18"/>
                <w:szCs w:val="18"/>
                <w:color w:val="auto"/>
              </w:rPr>
            </w:pPr>
          </w:p>
        </w:tc>
      </w:tr>
      <w:tr>
        <w:trPr>
          <w:trHeight w:val="210"/>
        </w:trPr>
        <w:tc>
          <w:tcPr>
            <w:tcW w:w="3860" w:type="dxa"/>
            <w:vAlign w:val="bottom"/>
          </w:tcPr>
          <w:p>
            <w:pPr>
              <w:ind w:left="160"/>
              <w:spacing w:after="0"/>
              <w:rPr>
                <w:sz w:val="20"/>
                <w:szCs w:val="20"/>
                <w:color w:val="auto"/>
              </w:rPr>
            </w:pPr>
            <w:r>
              <w:rPr>
                <w:rFonts w:ascii="Arial" w:cs="Arial" w:eastAsia="Arial" w:hAnsi="Arial"/>
                <w:sz w:val="18"/>
                <w:szCs w:val="18"/>
                <w:color w:val="auto"/>
              </w:rPr>
              <w:t>Total</w:t>
            </w: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69,489</w:t>
            </w:r>
          </w:p>
        </w:tc>
        <w:tc>
          <w:tcPr>
            <w:tcW w:w="820" w:type="dxa"/>
            <w:vAlign w:val="bottom"/>
            <w:gridSpan w:val="2"/>
          </w:tcPr>
          <w:p>
            <w:pPr>
              <w:jc w:val="center"/>
              <w:ind w:left="30"/>
              <w:spacing w:after="0"/>
              <w:rPr>
                <w:sz w:val="20"/>
                <w:szCs w:val="20"/>
                <w:color w:val="auto"/>
              </w:rPr>
            </w:pPr>
            <w:r>
              <w:rPr>
                <w:rFonts w:ascii="Arial" w:cs="Arial" w:eastAsia="Arial" w:hAnsi="Arial"/>
                <w:sz w:val="18"/>
                <w:szCs w:val="18"/>
                <w:color w:val="auto"/>
                <w:w w:val="85"/>
              </w:rPr>
              <w:t>2.26</w:t>
            </w:r>
          </w:p>
        </w:tc>
        <w:tc>
          <w:tcPr>
            <w:tcW w:w="176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w:t>
            </w:r>
          </w:p>
        </w:tc>
        <w:tc>
          <w:tcPr>
            <w:tcW w:w="220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$8,795,529</w:t>
            </w:r>
          </w:p>
        </w:tc>
        <w:tc>
          <w:tcPr>
            <w:tcW w:w="60" w:type="dxa"/>
            <w:vAlign w:val="bottom"/>
          </w:tcPr>
          <w:p>
            <w:pPr>
              <w:spacing w:after="0"/>
              <w:rPr>
                <w:sz w:val="18"/>
                <w:szCs w:val="18"/>
                <w:color w:val="auto"/>
              </w:rPr>
            </w:pPr>
          </w:p>
        </w:tc>
      </w:tr>
      <w:tr>
        <w:trPr>
          <w:trHeight w:val="20"/>
        </w:trPr>
        <w:tc>
          <w:tcPr>
            <w:tcW w:w="38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hanging="372"/>
        <w:spacing w:after="0" w:line="255" w:lineRule="auto"/>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shares of our common stock delivered to us in satisfaction of the tax withholding obligation of holders of restricted shares which vested during the quarter. Our equity incentive plans provide that the value of shares delivered to us to pay the withholding tax obligations is calculated at the closing trading price of our common stock on the date the relevant transaction occurs.</w:t>
      </w:r>
    </w:p>
    <w:p>
      <w:pPr>
        <w:spacing w:after="0" w:line="2" w:lineRule="exact"/>
        <w:rPr>
          <w:rFonts w:ascii="Arial" w:cs="Arial" w:eastAsia="Arial" w:hAnsi="Arial"/>
          <w:sz w:val="18"/>
          <w:szCs w:val="18"/>
          <w:color w:val="auto"/>
        </w:rPr>
      </w:pPr>
    </w:p>
    <w:p>
      <w:pPr>
        <w:ind w:left="380" w:right="20" w:hanging="372"/>
        <w:spacing w:after="0" w:line="252" w:lineRule="auto"/>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August 2017, the Board of Directors adopted a share repurchase program authorizing the repurchase of up to $20 million of our common stock. This program authorizes the Company to repurchase shares through September 30, 2020, does not require the Company to repurchase any specific number of shares, and may be modified, suspended or terminated at any time without prior notice. Shares repurchased under the program will be subsequently retired. Although we had $8.8 million of availability under this program as of May 2, 2020, we do not plan to utilize our cash to resume share repurchases in fiscal 2020. In addition, our ability to repurchase shares is limited by conditions set forth by our lender in our credit agreement, as described above.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9" w:name="page30"/>
    <w:bookmarkEnd w:id="2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list of exhibits filed as a part of the quarterly report on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5"/>
              </w:rPr>
              <w:t>Exhibit No.</w:t>
            </w:r>
          </w:p>
        </w:tc>
        <w:tc>
          <w:tcPr>
            <w:tcW w:w="1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6200" w:type="dxa"/>
            <w:vAlign w:val="bottom"/>
            <w:tcBorders>
              <w:bottom w:val="single" w:sz="8" w:color="auto"/>
            </w:tcBorders>
            <w:gridSpan w:val="13"/>
          </w:tcPr>
          <w:p>
            <w:pPr>
              <w:ind w:left="640"/>
              <w:spacing w:after="0"/>
              <w:rPr>
                <w:sz w:val="20"/>
                <w:szCs w:val="20"/>
                <w:color w:val="auto"/>
              </w:rPr>
            </w:pPr>
            <w:r>
              <w:rPr>
                <w:rFonts w:ascii="Arial" w:cs="Arial" w:eastAsia="Arial" w:hAnsi="Arial"/>
                <w:sz w:val="18"/>
                <w:szCs w:val="18"/>
                <w:b w:val="1"/>
                <w:bCs w:val="1"/>
                <w:color w:val="auto"/>
              </w:rPr>
              <w:t>Description</w:t>
            </w:r>
          </w:p>
        </w:tc>
      </w:tr>
      <w:tr>
        <w:trPr>
          <w:trHeight w:val="385"/>
        </w:trPr>
        <w:tc>
          <w:tcPr>
            <w:tcW w:w="920" w:type="dxa"/>
            <w:vAlign w:val="bottom"/>
          </w:tcPr>
          <w:p>
            <w:pPr>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4"/>
                <w:szCs w:val="24"/>
                <w:color w:val="auto"/>
              </w:rPr>
            </w:pPr>
          </w:p>
        </w:tc>
        <w:tc>
          <w:tcPr>
            <w:tcW w:w="10020" w:type="dxa"/>
            <w:vAlign w:val="bottom"/>
            <w:tcBorders>
              <w:bottom w:val="single" w:sz="8" w:color="0000EE"/>
            </w:tcBorders>
            <w:gridSpan w:val="19"/>
          </w:tcPr>
          <w:p>
            <w:pPr>
              <w:spacing w:after="0"/>
              <w:rPr>
                <w:rFonts w:ascii="Arial" w:cs="Arial" w:eastAsia="Arial" w:hAnsi="Arial"/>
                <w:sz w:val="18"/>
                <w:szCs w:val="18"/>
                <w:color w:val="0000EE"/>
                <w:w w:val="91"/>
              </w:rPr>
            </w:pPr>
            <w:hyperlink r:id="rId49">
              <w:r>
                <w:rPr>
                  <w:rFonts w:ascii="Arial" w:cs="Arial" w:eastAsia="Arial" w:hAnsi="Arial"/>
                  <w:sz w:val="18"/>
                  <w:szCs w:val="18"/>
                  <w:color w:val="0000EE"/>
                  <w:w w:val="91"/>
                </w:rPr>
                <w:t>Agreement and Plan of Merger dated April 3, 2000 between Build-A-Bear Workshop, L.L.C. and the Registrant (incorporated by reference</w:t>
              </w:r>
            </w:hyperlink>
          </w:p>
        </w:tc>
        <w:tc>
          <w:tcPr>
            <w:tcW w:w="200" w:type="dxa"/>
            <w:vAlign w:val="bottom"/>
            <w:gridSpan w:val="4"/>
          </w:tcPr>
          <w:p>
            <w:pPr>
              <w:spacing w:after="0"/>
              <w:rPr>
                <w:sz w:val="24"/>
                <w:szCs w:val="24"/>
                <w:color w:val="auto"/>
              </w:rPr>
            </w:pPr>
          </w:p>
        </w:tc>
      </w:tr>
      <w:tr>
        <w:trPr>
          <w:trHeight w:val="237"/>
        </w:trPr>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20" w:type="dxa"/>
            <w:vAlign w:val="bottom"/>
            <w:gridSpan w:val="23"/>
          </w:tcPr>
          <w:p>
            <w:pPr>
              <w:spacing w:after="0"/>
              <w:rPr>
                <w:rFonts w:ascii="Arial" w:cs="Arial" w:eastAsia="Arial" w:hAnsi="Arial"/>
                <w:sz w:val="18"/>
                <w:szCs w:val="18"/>
                <w:u w:val="single" w:color="auto"/>
                <w:color w:val="0000EE"/>
              </w:rPr>
            </w:pPr>
            <w:hyperlink r:id="rId49">
              <w:r>
                <w:rPr>
                  <w:rFonts w:ascii="Arial" w:cs="Arial" w:eastAsia="Arial" w:hAnsi="Arial"/>
                  <w:sz w:val="18"/>
                  <w:szCs w:val="18"/>
                  <w:u w:val="single" w:color="auto"/>
                  <w:color w:val="0000EE"/>
                </w:rPr>
                <w:t>from Exhibit 2.1 to our Registration Statement on Form S-1, filed on August 12, 2004, Registration No. 333-118142)</w:t>
              </w:r>
            </w:hyperlink>
          </w:p>
        </w:tc>
      </w:tr>
      <w:tr>
        <w:trPr>
          <w:trHeight w:val="391"/>
        </w:trPr>
        <w:tc>
          <w:tcPr>
            <w:tcW w:w="920" w:type="dxa"/>
            <w:vAlign w:val="bottom"/>
          </w:tcPr>
          <w:p>
            <w:pPr>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9980" w:type="dxa"/>
            <w:vAlign w:val="bottom"/>
            <w:tcBorders>
              <w:bottom w:val="single" w:sz="8" w:color="0000EE"/>
            </w:tcBorders>
            <w:gridSpan w:val="17"/>
          </w:tcPr>
          <w:p>
            <w:pPr>
              <w:spacing w:after="0"/>
              <w:rPr>
                <w:rFonts w:ascii="Arial" w:cs="Arial" w:eastAsia="Arial" w:hAnsi="Arial"/>
                <w:sz w:val="18"/>
                <w:szCs w:val="18"/>
                <w:color w:val="0000EE"/>
                <w:w w:val="92"/>
              </w:rPr>
            </w:pPr>
            <w:hyperlink r:id="rId50">
              <w:r>
                <w:rPr>
                  <w:rFonts w:ascii="Arial" w:cs="Arial" w:eastAsia="Arial" w:hAnsi="Arial"/>
                  <w:sz w:val="18"/>
                  <w:szCs w:val="18"/>
                  <w:color w:val="0000EE"/>
                  <w:w w:val="92"/>
                </w:rPr>
                <w:t>Third Amended and Restated Certificate of Incorporation (incorporated by reference from Exhibit 3.1 of our Current Report on Form 8-K,</w:t>
              </w:r>
            </w:hyperlink>
          </w:p>
        </w:tc>
        <w:tc>
          <w:tcPr>
            <w:tcW w:w="240" w:type="dxa"/>
            <w:vAlign w:val="bottom"/>
            <w:gridSpan w:val="6"/>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20" w:type="dxa"/>
            <w:vAlign w:val="bottom"/>
            <w:gridSpan w:val="23"/>
          </w:tcPr>
          <w:p>
            <w:pPr>
              <w:spacing w:after="0" w:line="196" w:lineRule="exact"/>
              <w:rPr>
                <w:rFonts w:ascii="Arial" w:cs="Arial" w:eastAsia="Arial" w:hAnsi="Arial"/>
                <w:sz w:val="18"/>
                <w:szCs w:val="18"/>
                <w:color w:val="0000EE"/>
              </w:rPr>
            </w:pPr>
            <w:hyperlink r:id="rId50">
              <w:r>
                <w:rPr>
                  <w:rFonts w:ascii="Arial" w:cs="Arial" w:eastAsia="Arial" w:hAnsi="Arial"/>
                  <w:sz w:val="18"/>
                  <w:szCs w:val="18"/>
                  <w:color w:val="0000EE"/>
                </w:rPr>
                <w:t>filed on November 11, 2004)</w:t>
              </w:r>
            </w:hyperlink>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10220" w:type="dxa"/>
            <w:vAlign w:val="bottom"/>
            <w:gridSpan w:val="23"/>
          </w:tcPr>
          <w:p>
            <w:pPr>
              <w:spacing w:after="0"/>
              <w:rPr>
                <w:rFonts w:ascii="Arial" w:cs="Arial" w:eastAsia="Arial" w:hAnsi="Arial"/>
                <w:sz w:val="18"/>
                <w:szCs w:val="18"/>
                <w:color w:val="0000EE"/>
                <w:w w:val="90"/>
              </w:rPr>
            </w:pPr>
            <w:hyperlink r:id="rId51">
              <w:r>
                <w:rPr>
                  <w:rFonts w:ascii="Arial" w:cs="Arial" w:eastAsia="Arial" w:hAnsi="Arial"/>
                  <w:sz w:val="18"/>
                  <w:szCs w:val="18"/>
                  <w:color w:val="0000EE"/>
                  <w:w w:val="90"/>
                </w:rPr>
                <w:t>Amended and Restated Bylaws, as amended through February 23, 2016 (incorporated by reference from Exhibit 3.1 of our Current Report on</w:t>
              </w:r>
            </w:hyperlink>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8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51">
              <w:r>
                <w:rPr>
                  <w:rFonts w:ascii="Arial" w:cs="Arial" w:eastAsia="Arial" w:hAnsi="Arial"/>
                  <w:sz w:val="18"/>
                  <w:szCs w:val="18"/>
                  <w:color w:val="0000EE"/>
                </w:rPr>
                <w:t>Form 8-K, filed on February 24, 2016)</w:t>
              </w:r>
            </w:hyperlink>
          </w:p>
        </w:tc>
        <w:tc>
          <w:tcPr>
            <w:tcW w:w="4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10220" w:type="dxa"/>
            <w:vAlign w:val="bottom"/>
            <w:gridSpan w:val="23"/>
          </w:tcPr>
          <w:p>
            <w:pPr>
              <w:spacing w:after="0"/>
              <w:rPr>
                <w:rFonts w:ascii="Arial" w:cs="Arial" w:eastAsia="Arial" w:hAnsi="Arial"/>
                <w:sz w:val="18"/>
                <w:szCs w:val="18"/>
                <w:color w:val="0000EE"/>
                <w:w w:val="94"/>
              </w:rPr>
            </w:pPr>
            <w:hyperlink r:id="rId52">
              <w:r>
                <w:rPr>
                  <w:rFonts w:ascii="Arial" w:cs="Arial" w:eastAsia="Arial" w:hAnsi="Arial"/>
                  <w:sz w:val="18"/>
                  <w:szCs w:val="18"/>
                  <w:color w:val="0000EE"/>
                  <w:w w:val="94"/>
                </w:rPr>
                <w:t>Specimen Stock Certificate (incorporated by reference from Exhibit 4.1 to Amendment No. 3 to our Registration Statement on Form S-1,</w:t>
              </w:r>
            </w:hyperlink>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2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r:id="rId52">
              <w:r>
                <w:rPr>
                  <w:rFonts w:ascii="Arial" w:cs="Arial" w:eastAsia="Arial" w:hAnsi="Arial"/>
                  <w:sz w:val="18"/>
                  <w:szCs w:val="18"/>
                  <w:color w:val="0000EE"/>
                  <w:w w:val="91"/>
                </w:rPr>
                <w:t>filed on October 1, 2004, Registration No. 333-118142)</w:t>
              </w:r>
            </w:hyperlink>
          </w:p>
        </w:tc>
        <w:tc>
          <w:tcPr>
            <w:tcW w:w="5860" w:type="dxa"/>
            <w:vAlign w:val="bottom"/>
            <w:tcBorders>
              <w:top w:val="single" w:sz="8" w:color="0000EE"/>
            </w:tcBorders>
            <w:gridSpan w:val="4"/>
          </w:tcPr>
          <w:p>
            <w:pPr>
              <w:spacing w:after="0"/>
              <w:rPr>
                <w:sz w:val="17"/>
                <w:szCs w:val="17"/>
                <w:color w:val="auto"/>
              </w:rPr>
            </w:pPr>
          </w:p>
        </w:tc>
        <w:tc>
          <w:tcPr>
            <w:tcW w:w="340" w:type="dxa"/>
            <w:vAlign w:val="bottom"/>
            <w:gridSpan w:val="9"/>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9960" w:type="dxa"/>
            <w:vAlign w:val="bottom"/>
            <w:tcBorders>
              <w:bottom w:val="single" w:sz="8" w:color="0000EE"/>
            </w:tcBorders>
            <w:gridSpan w:val="16"/>
          </w:tcPr>
          <w:p>
            <w:pPr>
              <w:spacing w:after="0"/>
              <w:rPr>
                <w:rFonts w:ascii="Arial" w:cs="Arial" w:eastAsia="Arial" w:hAnsi="Arial"/>
                <w:sz w:val="18"/>
                <w:szCs w:val="18"/>
                <w:color w:val="0000EE"/>
                <w:w w:val="91"/>
              </w:rPr>
            </w:pPr>
            <w:hyperlink w:anchor="page33">
              <w:r>
                <w:rPr>
                  <w:rFonts w:ascii="Arial" w:cs="Arial" w:eastAsia="Arial" w:hAnsi="Arial"/>
                  <w:sz w:val="18"/>
                  <w:szCs w:val="18"/>
                  <w:color w:val="0000EE"/>
                  <w:w w:val="91"/>
                </w:rPr>
                <w:t>Amendment to Employment, Confidentiality and Noncompete Agreement, effective as of March 29, 2020, by and between Eric Fencl and</w:t>
              </w:r>
            </w:hyperlink>
          </w:p>
        </w:tc>
        <w:tc>
          <w:tcPr>
            <w:tcW w:w="260" w:type="dxa"/>
            <w:vAlign w:val="bottom"/>
            <w:gridSpan w:val="7"/>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w:anchor="page33">
              <w:r>
                <w:rPr>
                  <w:rFonts w:ascii="Arial" w:cs="Arial" w:eastAsia="Arial" w:hAnsi="Arial"/>
                  <w:sz w:val="18"/>
                  <w:szCs w:val="18"/>
                  <w:color w:val="0000EE"/>
                  <w:w w:val="93"/>
                </w:rPr>
                <w:t>Build-A-Bear Workshop, Inc.</w:t>
              </w:r>
            </w:hyperlink>
          </w:p>
        </w:tc>
        <w:tc>
          <w:tcPr>
            <w:tcW w:w="8080" w:type="dxa"/>
            <w:vAlign w:val="bottom"/>
            <w:gridSpan w:val="19"/>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4"/>
                <w:szCs w:val="24"/>
                <w:color w:val="auto"/>
              </w:rPr>
            </w:pPr>
          </w:p>
        </w:tc>
        <w:tc>
          <w:tcPr>
            <w:tcW w:w="9920" w:type="dxa"/>
            <w:vAlign w:val="bottom"/>
            <w:tcBorders>
              <w:bottom w:val="single" w:sz="8" w:color="0000EE"/>
            </w:tcBorders>
            <w:gridSpan w:val="15"/>
          </w:tcPr>
          <w:p>
            <w:pPr>
              <w:spacing w:after="0"/>
              <w:rPr>
                <w:rFonts w:ascii="Arial" w:cs="Arial" w:eastAsia="Arial" w:hAnsi="Arial"/>
                <w:sz w:val="18"/>
                <w:szCs w:val="18"/>
                <w:color w:val="0000EE"/>
                <w:w w:val="91"/>
              </w:rPr>
            </w:pPr>
            <w:hyperlink w:anchor="page35">
              <w:r>
                <w:rPr>
                  <w:rFonts w:ascii="Arial" w:cs="Arial" w:eastAsia="Arial" w:hAnsi="Arial"/>
                  <w:sz w:val="18"/>
                  <w:szCs w:val="18"/>
                  <w:color w:val="0000EE"/>
                  <w:w w:val="91"/>
                </w:rPr>
                <w:t>Amendment to Employment, Confidentiality and Noncompete Agreement, effective as of March 29, 2020, by and between J. Christopher</w:t>
              </w:r>
            </w:hyperlink>
          </w:p>
        </w:tc>
        <w:tc>
          <w:tcPr>
            <w:tcW w:w="300" w:type="dxa"/>
            <w:vAlign w:val="bottom"/>
            <w:gridSpan w:val="8"/>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60" w:type="dxa"/>
            <w:vAlign w:val="bottom"/>
            <w:tcBorders>
              <w:bottom w:val="single" w:sz="8" w:color="0000EE"/>
            </w:tcBorders>
            <w:gridSpan w:val="7"/>
          </w:tcPr>
          <w:p>
            <w:pPr>
              <w:spacing w:after="0" w:line="196" w:lineRule="exact"/>
              <w:rPr>
                <w:rFonts w:ascii="Arial" w:cs="Arial" w:eastAsia="Arial" w:hAnsi="Arial"/>
                <w:sz w:val="18"/>
                <w:szCs w:val="18"/>
                <w:color w:val="0000EE"/>
                <w:w w:val="94"/>
              </w:rPr>
            </w:pPr>
            <w:hyperlink w:anchor="page35">
              <w:r>
                <w:rPr>
                  <w:rFonts w:ascii="Arial" w:cs="Arial" w:eastAsia="Arial" w:hAnsi="Arial"/>
                  <w:sz w:val="18"/>
                  <w:szCs w:val="18"/>
                  <w:color w:val="0000EE"/>
                  <w:w w:val="94"/>
                </w:rPr>
                <w:t>Hurt and Build-A-Bear Workshop, Inc.</w:t>
              </w:r>
            </w:hyperlink>
          </w:p>
        </w:tc>
        <w:tc>
          <w:tcPr>
            <w:tcW w:w="7360" w:type="dxa"/>
            <w:vAlign w:val="bottom"/>
            <w:gridSpan w:val="16"/>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4"/>
                <w:szCs w:val="24"/>
                <w:color w:val="auto"/>
              </w:rPr>
            </w:pPr>
          </w:p>
        </w:tc>
        <w:tc>
          <w:tcPr>
            <w:tcW w:w="10220" w:type="dxa"/>
            <w:vAlign w:val="bottom"/>
            <w:tcBorders>
              <w:bottom w:val="single" w:sz="8" w:color="0000EE"/>
            </w:tcBorders>
            <w:gridSpan w:val="23"/>
          </w:tcPr>
          <w:p>
            <w:pPr>
              <w:spacing w:after="0"/>
              <w:rPr>
                <w:rFonts w:ascii="Arial" w:cs="Arial" w:eastAsia="Arial" w:hAnsi="Arial"/>
                <w:sz w:val="18"/>
                <w:szCs w:val="18"/>
                <w:color w:val="0000EE"/>
                <w:w w:val="90"/>
              </w:rPr>
            </w:pPr>
            <w:hyperlink w:anchor="page37">
              <w:r>
                <w:rPr>
                  <w:rFonts w:ascii="Arial" w:cs="Arial" w:eastAsia="Arial" w:hAnsi="Arial"/>
                  <w:sz w:val="18"/>
                  <w:szCs w:val="18"/>
                  <w:color w:val="0000EE"/>
                  <w:w w:val="90"/>
                </w:rPr>
                <w:t>Amendment to Employment, Confidentiality and Noncompete Agreement, effective as of March 29, 2020, by and between Sharon Price John</w:t>
              </w:r>
            </w:hyperlink>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w:anchor="page37">
              <w:r>
                <w:rPr>
                  <w:rFonts w:ascii="Arial" w:cs="Arial" w:eastAsia="Arial" w:hAnsi="Arial"/>
                  <w:sz w:val="18"/>
                  <w:szCs w:val="18"/>
                  <w:color w:val="0000EE"/>
                  <w:w w:val="93"/>
                </w:rPr>
                <w:t>and Build-A-Bear Workshop, Inc.</w:t>
              </w:r>
            </w:hyperlink>
          </w:p>
        </w:tc>
        <w:tc>
          <w:tcPr>
            <w:tcW w:w="7740" w:type="dxa"/>
            <w:vAlign w:val="bottom"/>
            <w:gridSpan w:val="18"/>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10220" w:type="dxa"/>
            <w:vAlign w:val="bottom"/>
            <w:gridSpan w:val="23"/>
          </w:tcPr>
          <w:p>
            <w:pPr>
              <w:spacing w:after="0"/>
              <w:rPr>
                <w:rFonts w:ascii="Arial" w:cs="Arial" w:eastAsia="Arial" w:hAnsi="Arial"/>
                <w:sz w:val="18"/>
                <w:szCs w:val="18"/>
                <w:color w:val="0000EE"/>
                <w:w w:val="98"/>
              </w:rPr>
            </w:pPr>
            <w:hyperlink w:anchor="page39">
              <w:r>
                <w:rPr>
                  <w:rFonts w:ascii="Arial" w:cs="Arial" w:eastAsia="Arial" w:hAnsi="Arial"/>
                  <w:sz w:val="18"/>
                  <w:szCs w:val="18"/>
                  <w:color w:val="0000EE"/>
                  <w:w w:val="98"/>
                </w:rPr>
                <w:t>Amendment to Employment, Confidentiality and Noncompete Agreement, effective as of March 29, 2020, by and between Jennifer</w:t>
              </w:r>
            </w:hyperlink>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2"/>
              </w:rPr>
            </w:pPr>
            <w:hyperlink w:anchor="page39">
              <w:r>
                <w:rPr>
                  <w:rFonts w:ascii="Arial" w:cs="Arial" w:eastAsia="Arial" w:hAnsi="Arial"/>
                  <w:sz w:val="18"/>
                  <w:szCs w:val="18"/>
                  <w:color w:val="0000EE"/>
                  <w:w w:val="92"/>
                </w:rPr>
                <w:t>Kretchmar and Build-A-Bear Workshop, Inc.</w:t>
              </w:r>
            </w:hyperlink>
          </w:p>
        </w:tc>
        <w:tc>
          <w:tcPr>
            <w:tcW w:w="6220" w:type="dxa"/>
            <w:vAlign w:val="bottom"/>
            <w:tcBorders>
              <w:top w:val="single" w:sz="8" w:color="0000EE"/>
            </w:tcBorders>
            <w:gridSpan w:val="2"/>
          </w:tcPr>
          <w:p>
            <w:pPr>
              <w:spacing w:after="0"/>
              <w:rPr>
                <w:sz w:val="17"/>
                <w:szCs w:val="17"/>
                <w:color w:val="auto"/>
              </w:rPr>
            </w:pPr>
          </w:p>
        </w:tc>
        <w:tc>
          <w:tcPr>
            <w:tcW w:w="740" w:type="dxa"/>
            <w:vAlign w:val="bottom"/>
            <w:gridSpan w:val="12"/>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4"/>
                <w:szCs w:val="24"/>
                <w:color w:val="auto"/>
              </w:rPr>
            </w:pPr>
          </w:p>
        </w:tc>
        <w:tc>
          <w:tcPr>
            <w:tcW w:w="10220" w:type="dxa"/>
            <w:vAlign w:val="bottom"/>
            <w:gridSpan w:val="23"/>
          </w:tcPr>
          <w:p>
            <w:pPr>
              <w:spacing w:after="0"/>
              <w:rPr>
                <w:rFonts w:ascii="Arial" w:cs="Arial" w:eastAsia="Arial" w:hAnsi="Arial"/>
                <w:sz w:val="18"/>
                <w:szCs w:val="18"/>
                <w:color w:val="0000EE"/>
                <w:w w:val="92"/>
              </w:rPr>
            </w:pPr>
            <w:hyperlink w:anchor="page41">
              <w:r>
                <w:rPr>
                  <w:rFonts w:ascii="Arial" w:cs="Arial" w:eastAsia="Arial" w:hAnsi="Arial"/>
                  <w:sz w:val="18"/>
                  <w:szCs w:val="18"/>
                  <w:color w:val="0000EE"/>
                  <w:w w:val="92"/>
                </w:rPr>
                <w:t>Amendment to Employment, Confidentiality and Noncompete Agreement, effective as of March 29, 2020, by and between Vojin Todorovic</w:t>
              </w:r>
            </w:hyperlink>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3"/>
              </w:rPr>
            </w:pPr>
            <w:hyperlink w:anchor="page41">
              <w:r>
                <w:rPr>
                  <w:rFonts w:ascii="Arial" w:cs="Arial" w:eastAsia="Arial" w:hAnsi="Arial"/>
                  <w:sz w:val="18"/>
                  <w:szCs w:val="18"/>
                  <w:color w:val="0000EE"/>
                  <w:w w:val="93"/>
                </w:rPr>
                <w:t>and Build-A-Bear Workshop, Inc.</w:t>
              </w:r>
            </w:hyperlink>
          </w:p>
        </w:tc>
        <w:tc>
          <w:tcPr>
            <w:tcW w:w="7580" w:type="dxa"/>
            <w:vAlign w:val="bottom"/>
            <w:tcBorders>
              <w:top w:val="single" w:sz="8" w:color="0000EE"/>
            </w:tcBorders>
            <w:gridSpan w:val="15"/>
          </w:tcPr>
          <w:p>
            <w:pPr>
              <w:spacing w:after="0"/>
              <w:rPr>
                <w:sz w:val="17"/>
                <w:szCs w:val="17"/>
                <w:color w:val="auto"/>
              </w:rPr>
            </w:pPr>
          </w:p>
        </w:tc>
        <w:tc>
          <w:tcPr>
            <w:tcW w:w="160" w:type="dxa"/>
            <w:vAlign w:val="bottom"/>
            <w:gridSpan w:val="3"/>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4"/>
                <w:szCs w:val="24"/>
                <w:color w:val="auto"/>
              </w:rPr>
            </w:pPr>
          </w:p>
        </w:tc>
        <w:tc>
          <w:tcPr>
            <w:tcW w:w="10220" w:type="dxa"/>
            <w:vAlign w:val="bottom"/>
            <w:gridSpan w:val="23"/>
          </w:tcPr>
          <w:p>
            <w:pPr>
              <w:spacing w:after="0"/>
              <w:rPr>
                <w:rFonts w:ascii="Arial" w:cs="Arial" w:eastAsia="Arial" w:hAnsi="Arial"/>
                <w:sz w:val="18"/>
                <w:szCs w:val="18"/>
                <w:color w:val="0000EE"/>
                <w:w w:val="95"/>
              </w:rPr>
            </w:pPr>
            <w:hyperlink r:id="rId53">
              <w:r>
                <w:rPr>
                  <w:rFonts w:ascii="Arial" w:cs="Arial" w:eastAsia="Arial" w:hAnsi="Arial"/>
                  <w:sz w:val="18"/>
                  <w:szCs w:val="18"/>
                  <w:color w:val="0000EE"/>
                  <w:w w:val="95"/>
                </w:rPr>
                <w:t>Twenty-First Amendment to Loan Documents between Build-A-Bear Workshop, Inc., Build-A-Bear Workshop Franchise Holdings, Inc.,</w:t>
              </w:r>
            </w:hyperlink>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800" w:type="dxa"/>
            <w:vAlign w:val="bottom"/>
            <w:gridSpan w:val="6"/>
            <w:shd w:val="clear" w:color="auto" w:fill="0000EE"/>
          </w:tcPr>
          <w:p>
            <w:pPr>
              <w:spacing w:after="0" w:line="20" w:lineRule="exact"/>
              <w:rPr>
                <w:sz w:val="1"/>
                <w:szCs w:val="1"/>
                <w:color w:val="auto"/>
              </w:rPr>
            </w:pPr>
          </w:p>
        </w:tc>
        <w:tc>
          <w:tcPr>
            <w:tcW w:w="6580" w:type="dxa"/>
            <w:vAlign w:val="bottom"/>
            <w:gridSpan w:val="4"/>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20" w:type="dxa"/>
            <w:vAlign w:val="bottom"/>
            <w:gridSpan w:val="23"/>
          </w:tcPr>
          <w:p>
            <w:pPr>
              <w:spacing w:after="0" w:line="196" w:lineRule="exact"/>
              <w:rPr>
                <w:rFonts w:ascii="Arial" w:cs="Arial" w:eastAsia="Arial" w:hAnsi="Arial"/>
                <w:sz w:val="18"/>
                <w:szCs w:val="18"/>
                <w:color w:val="0000EE"/>
                <w:w w:val="94"/>
              </w:rPr>
            </w:pPr>
            <w:hyperlink r:id="rId53">
              <w:r>
                <w:rPr>
                  <w:rFonts w:ascii="Arial" w:cs="Arial" w:eastAsia="Arial" w:hAnsi="Arial"/>
                  <w:sz w:val="18"/>
                  <w:szCs w:val="18"/>
                  <w:color w:val="0000EE"/>
                  <w:w w:val="94"/>
                </w:rPr>
                <w:t>Build-A-Bear Entertainment, LLC, Build-A-Bear Retail Management, Inc., and Build-A-Bear Card Services, LLC, as Borrowers, and U.S.</w:t>
              </w:r>
            </w:hyperlink>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800" w:type="dxa"/>
            <w:vAlign w:val="bottom"/>
            <w:gridSpan w:val="6"/>
            <w:shd w:val="clear" w:color="auto" w:fill="0000EE"/>
          </w:tcPr>
          <w:p>
            <w:pPr>
              <w:spacing w:after="0" w:line="20" w:lineRule="exact"/>
              <w:rPr>
                <w:sz w:val="1"/>
                <w:szCs w:val="1"/>
                <w:color w:val="auto"/>
              </w:rPr>
            </w:pPr>
          </w:p>
        </w:tc>
        <w:tc>
          <w:tcPr>
            <w:tcW w:w="6580" w:type="dxa"/>
            <w:vAlign w:val="bottom"/>
            <w:gridSpan w:val="4"/>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5"/>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20" w:type="dxa"/>
            <w:vAlign w:val="bottom"/>
            <w:gridSpan w:val="23"/>
          </w:tcPr>
          <w:p>
            <w:pPr>
              <w:spacing w:after="0" w:line="196" w:lineRule="exact"/>
              <w:rPr>
                <w:rFonts w:ascii="Arial" w:cs="Arial" w:eastAsia="Arial" w:hAnsi="Arial"/>
                <w:sz w:val="18"/>
                <w:szCs w:val="18"/>
                <w:color w:val="0000EE"/>
                <w:w w:val="92"/>
              </w:rPr>
            </w:pPr>
            <w:hyperlink r:id="rId53">
              <w:r>
                <w:rPr>
                  <w:rFonts w:ascii="Arial" w:cs="Arial" w:eastAsia="Arial" w:hAnsi="Arial"/>
                  <w:sz w:val="18"/>
                  <w:szCs w:val="18"/>
                  <w:color w:val="0000EE"/>
                  <w:w w:val="92"/>
                </w:rPr>
                <w:t>Bank National Association, as Lender, entered into effective as of May 28, 2020 (incorporated by reference from Exhibit 10.1 to our Current</w:t>
              </w:r>
            </w:hyperlink>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r:id="rId53">
              <w:r>
                <w:rPr>
                  <w:rFonts w:ascii="Arial" w:cs="Arial" w:eastAsia="Arial" w:hAnsi="Arial"/>
                  <w:sz w:val="18"/>
                  <w:szCs w:val="18"/>
                  <w:color w:val="0000EE"/>
                  <w:w w:val="91"/>
                </w:rPr>
                <w:t>Report on Form 8-K, filed on June 1, 2020)</w:t>
              </w:r>
            </w:hyperlink>
          </w:p>
        </w:tc>
        <w:tc>
          <w:tcPr>
            <w:tcW w:w="6980" w:type="dxa"/>
            <w:vAlign w:val="bottom"/>
            <w:tcBorders>
              <w:top w:val="single" w:sz="8" w:color="0000EE"/>
            </w:tcBorders>
            <w:gridSpan w:val="13"/>
          </w:tcPr>
          <w:p>
            <w:pPr>
              <w:spacing w:after="0"/>
              <w:rPr>
                <w:sz w:val="17"/>
                <w:szCs w:val="17"/>
                <w:color w:val="auto"/>
              </w:rPr>
            </w:pPr>
          </w:p>
        </w:tc>
        <w:tc>
          <w:tcPr>
            <w:tcW w:w="100" w:type="dxa"/>
            <w:vAlign w:val="bottom"/>
            <w:gridSpan w:val="2"/>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10220" w:type="dxa"/>
            <w:vAlign w:val="bottom"/>
            <w:gridSpan w:val="23"/>
          </w:tcPr>
          <w:p>
            <w:pPr>
              <w:spacing w:after="0"/>
              <w:rPr>
                <w:rFonts w:ascii="Arial" w:cs="Arial" w:eastAsia="Arial" w:hAnsi="Arial"/>
                <w:sz w:val="18"/>
                <w:szCs w:val="18"/>
                <w:color w:val="0000EE"/>
                <w:w w:val="94"/>
              </w:rPr>
            </w:pPr>
            <w:hyperlink w:anchor="page43">
              <w:r>
                <w:rPr>
                  <w:rFonts w:ascii="Arial" w:cs="Arial" w:eastAsia="Arial" w:hAnsi="Arial"/>
                  <w:sz w:val="18"/>
                  <w:szCs w:val="18"/>
                  <w:color w:val="0000EE"/>
                  <w:w w:val="94"/>
                </w:rPr>
                <w:t>Rule 13a-14(a)/15d-14(a) certification (pursuant to Section 302 of the Sarbanes-Oxley Act of 2002, executed by the President and Chief</w:t>
              </w:r>
            </w:hyperlink>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6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Executive Officer)</w:t>
              </w:r>
            </w:hyperlink>
          </w:p>
        </w:tc>
        <w:tc>
          <w:tcPr>
            <w:tcW w:w="360" w:type="dxa"/>
            <w:vAlign w:val="bottom"/>
            <w:gridSpan w:val="10"/>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380" w:type="dxa"/>
            <w:vAlign w:val="bottom"/>
            <w:gridSpan w:val="10"/>
          </w:tcPr>
          <w:p>
            <w:pPr>
              <w:spacing w:after="0" w:line="20" w:lineRule="exact"/>
              <w:rPr>
                <w:sz w:val="1"/>
                <w:szCs w:val="1"/>
                <w:color w:val="auto"/>
              </w:rPr>
            </w:pPr>
          </w:p>
        </w:tc>
        <w:tc>
          <w:tcPr>
            <w:tcW w:w="500" w:type="dxa"/>
            <w:vAlign w:val="bottom"/>
            <w:gridSpan w:val="11"/>
          </w:tcPr>
          <w:p>
            <w:pPr>
              <w:spacing w:after="0" w:line="20" w:lineRule="exact"/>
              <w:rPr>
                <w:sz w:val="1"/>
                <w:szCs w:val="1"/>
                <w:color w:val="auto"/>
              </w:rPr>
            </w:pPr>
          </w:p>
        </w:tc>
      </w:tr>
      <w:tr>
        <w:trPr>
          <w:trHeight w:val="453"/>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10220" w:type="dxa"/>
            <w:vAlign w:val="bottom"/>
            <w:gridSpan w:val="23"/>
          </w:tcPr>
          <w:p>
            <w:pPr>
              <w:spacing w:after="0"/>
              <w:rPr>
                <w:rFonts w:ascii="Arial" w:cs="Arial" w:eastAsia="Arial" w:hAnsi="Arial"/>
                <w:sz w:val="18"/>
                <w:szCs w:val="18"/>
                <w:u w:val="single" w:color="auto"/>
                <w:color w:val="0000EE"/>
                <w:w w:val="92"/>
              </w:rPr>
            </w:pPr>
            <w:hyperlink w:anchor="page44">
              <w:r>
                <w:rPr>
                  <w:rFonts w:ascii="Arial" w:cs="Arial" w:eastAsia="Arial" w:hAnsi="Arial"/>
                  <w:sz w:val="18"/>
                  <w:szCs w:val="18"/>
                  <w:u w:val="single" w:color="auto"/>
                  <w:color w:val="0000EE"/>
                  <w:w w:val="92"/>
                </w:rPr>
                <w:t>Rule 13a-14(a)/15d-14(a) certification (pursuant to Section 302 of the Sarbanes-Oxley Act of 2002, executed by the Chief Financial Officer)</w:t>
              </w:r>
            </w:hyperlink>
          </w:p>
        </w:tc>
      </w:tr>
      <w:tr>
        <w:trPr>
          <w:trHeight w:val="392"/>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972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45">
              <w:r>
                <w:rPr>
                  <w:rFonts w:ascii="Arial" w:cs="Arial" w:eastAsia="Arial" w:hAnsi="Arial"/>
                  <w:sz w:val="18"/>
                  <w:szCs w:val="18"/>
                  <w:color w:val="0000EE"/>
                  <w:w w:val="90"/>
                </w:rPr>
                <w:t>Section 1350 Certification (pursuant to Section 906 of the Sarbanes-Oxley Act of 2002, executed by the President and Chief Executive</w:t>
              </w:r>
            </w:hyperlink>
          </w:p>
        </w:tc>
        <w:tc>
          <w:tcPr>
            <w:tcW w:w="500" w:type="dxa"/>
            <w:vAlign w:val="bottom"/>
            <w:gridSpan w:val="11"/>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Borders>
              <w:bottom w:val="single" w:sz="8" w:color="0000EE"/>
            </w:tcBorders>
          </w:tcPr>
          <w:p>
            <w:pPr>
              <w:spacing w:after="0" w:line="196" w:lineRule="exact"/>
              <w:rPr>
                <w:rFonts w:ascii="Arial" w:cs="Arial" w:eastAsia="Arial" w:hAnsi="Arial"/>
                <w:sz w:val="18"/>
                <w:szCs w:val="18"/>
                <w:color w:val="0000EE"/>
                <w:w w:val="94"/>
              </w:rPr>
            </w:pPr>
            <w:hyperlink w:anchor="page45">
              <w:r>
                <w:rPr>
                  <w:rFonts w:ascii="Arial" w:cs="Arial" w:eastAsia="Arial" w:hAnsi="Arial"/>
                  <w:sz w:val="18"/>
                  <w:szCs w:val="18"/>
                  <w:color w:val="0000EE"/>
                  <w:w w:val="94"/>
                </w:rPr>
                <w:t>Officer)</w:t>
              </w:r>
            </w:hyperlink>
          </w:p>
        </w:tc>
        <w:tc>
          <w:tcPr>
            <w:tcW w:w="9640" w:type="dxa"/>
            <w:vAlign w:val="bottom"/>
            <w:gridSpan w:val="22"/>
          </w:tcPr>
          <w:p>
            <w:pPr>
              <w:spacing w:after="0"/>
              <w:rPr>
                <w:sz w:val="17"/>
                <w:szCs w:val="17"/>
                <w:color w:val="auto"/>
              </w:rPr>
            </w:pPr>
          </w:p>
        </w:tc>
      </w:tr>
      <w:tr>
        <w:trPr>
          <w:trHeight w:val="453"/>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4"/>
                <w:szCs w:val="24"/>
                <w:color w:val="auto"/>
              </w:rPr>
            </w:pPr>
          </w:p>
        </w:tc>
        <w:tc>
          <w:tcPr>
            <w:tcW w:w="10220" w:type="dxa"/>
            <w:vAlign w:val="bottom"/>
            <w:gridSpan w:val="23"/>
          </w:tcPr>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Section 1350 Certification (pursuant to Section 906 of the Sarbanes-Oxley Act of 2002, executed by the Chief Financial Officer)</w:t>
              </w:r>
            </w:hyperlink>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100" w:type="dxa"/>
            <w:vAlign w:val="bottom"/>
          </w:tcPr>
          <w:p>
            <w:pPr>
              <w:spacing w:after="0"/>
              <w:rPr>
                <w:sz w:val="24"/>
                <w:szCs w:val="24"/>
                <w:color w:val="auto"/>
              </w:rPr>
            </w:pPr>
          </w:p>
        </w:tc>
        <w:tc>
          <w:tcPr>
            <w:tcW w:w="10220" w:type="dxa"/>
            <w:vAlign w:val="bottom"/>
            <w:gridSpan w:val="23"/>
          </w:tcPr>
          <w:p>
            <w:pPr>
              <w:spacing w:after="0"/>
              <w:rPr>
                <w:sz w:val="20"/>
                <w:szCs w:val="20"/>
                <w:color w:val="auto"/>
              </w:rPr>
            </w:pPr>
            <w:r>
              <w:rPr>
                <w:rFonts w:ascii="Arial" w:cs="Arial" w:eastAsia="Arial" w:hAnsi="Arial"/>
                <w:sz w:val="18"/>
                <w:szCs w:val="18"/>
                <w:color w:val="auto"/>
              </w:rPr>
              <w:t>XBRL Instance</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100" w:type="dxa"/>
            <w:vAlign w:val="bottom"/>
          </w:tcPr>
          <w:p>
            <w:pPr>
              <w:spacing w:after="0"/>
              <w:rPr>
                <w:sz w:val="24"/>
                <w:szCs w:val="24"/>
                <w:color w:val="auto"/>
              </w:rPr>
            </w:pPr>
          </w:p>
        </w:tc>
        <w:tc>
          <w:tcPr>
            <w:tcW w:w="10220" w:type="dxa"/>
            <w:vAlign w:val="bottom"/>
            <w:gridSpan w:val="23"/>
          </w:tcPr>
          <w:p>
            <w:pPr>
              <w:spacing w:after="0"/>
              <w:rPr>
                <w:sz w:val="20"/>
                <w:szCs w:val="20"/>
                <w:color w:val="auto"/>
              </w:rPr>
            </w:pPr>
            <w:r>
              <w:rPr>
                <w:rFonts w:ascii="Arial" w:cs="Arial" w:eastAsia="Arial" w:hAnsi="Arial"/>
                <w:sz w:val="18"/>
                <w:szCs w:val="18"/>
                <w:color w:val="auto"/>
              </w:rPr>
              <w:t>XBRL Extension Schema</w:t>
            </w:r>
          </w:p>
        </w:tc>
      </w:tr>
      <w:tr>
        <w:trPr>
          <w:trHeight w:val="432"/>
        </w:trPr>
        <w:tc>
          <w:tcPr>
            <w:tcW w:w="920" w:type="dxa"/>
            <w:vAlign w:val="bottom"/>
          </w:tcPr>
          <w:p>
            <w:pPr>
              <w:spacing w:after="0"/>
              <w:rPr>
                <w:sz w:val="24"/>
                <w:szCs w:val="24"/>
                <w:color w:val="auto"/>
              </w:rPr>
            </w:pPr>
          </w:p>
        </w:tc>
        <w:tc>
          <w:tcPr>
            <w:tcW w:w="9580" w:type="dxa"/>
            <w:vAlign w:val="bottom"/>
            <w:gridSpan w:val="12"/>
          </w:tcPr>
          <w:p>
            <w:pPr>
              <w:jc w:val="right"/>
              <w:ind w:right="4690"/>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9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54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18" w:right="339" w:bottom="1440" w:gutter="0" w:footer="0" w:header="0"/>
        </w:sectPr>
      </w:pPr>
    </w:p>
    <w:bookmarkStart w:id="30" w:name="page31"/>
    <w:bookmarkEnd w:id="3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101.CAL</w:t>
            </w:r>
          </w:p>
        </w:tc>
        <w:tc>
          <w:tcPr>
            <w:tcW w:w="2340" w:type="dxa"/>
            <w:vAlign w:val="bottom"/>
          </w:tcPr>
          <w:p>
            <w:pPr>
              <w:ind w:left="160"/>
              <w:spacing w:after="0"/>
              <w:rPr>
                <w:sz w:val="20"/>
                <w:szCs w:val="20"/>
                <w:color w:val="auto"/>
              </w:rPr>
            </w:pPr>
            <w:r>
              <w:rPr>
                <w:rFonts w:ascii="Arial" w:cs="Arial" w:eastAsia="Arial" w:hAnsi="Arial"/>
                <w:sz w:val="18"/>
                <w:szCs w:val="18"/>
                <w:color w:val="auto"/>
                <w:w w:val="95"/>
              </w:rPr>
              <w:t>XBRL Extension Calculation</w:t>
            </w: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101.DEF</w:t>
            </w:r>
          </w:p>
        </w:tc>
        <w:tc>
          <w:tcPr>
            <w:tcW w:w="2340" w:type="dxa"/>
            <w:vAlign w:val="bottom"/>
          </w:tcPr>
          <w:p>
            <w:pPr>
              <w:ind w:left="160"/>
              <w:spacing w:after="0"/>
              <w:rPr>
                <w:sz w:val="20"/>
                <w:szCs w:val="20"/>
                <w:color w:val="auto"/>
              </w:rPr>
            </w:pPr>
            <w:r>
              <w:rPr>
                <w:rFonts w:ascii="Arial" w:cs="Arial" w:eastAsia="Arial" w:hAnsi="Arial"/>
                <w:sz w:val="18"/>
                <w:szCs w:val="18"/>
                <w:color w:val="auto"/>
              </w:rPr>
              <w:t>XBRL Extension Definition</w:t>
            </w: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101.LAB</w:t>
            </w:r>
          </w:p>
        </w:tc>
        <w:tc>
          <w:tcPr>
            <w:tcW w:w="2340" w:type="dxa"/>
            <w:vAlign w:val="bottom"/>
          </w:tcPr>
          <w:p>
            <w:pPr>
              <w:ind w:left="160"/>
              <w:spacing w:after="0"/>
              <w:rPr>
                <w:sz w:val="20"/>
                <w:szCs w:val="20"/>
                <w:color w:val="auto"/>
              </w:rPr>
            </w:pPr>
            <w:r>
              <w:rPr>
                <w:rFonts w:ascii="Arial" w:cs="Arial" w:eastAsia="Arial" w:hAnsi="Arial"/>
                <w:sz w:val="18"/>
                <w:szCs w:val="18"/>
                <w:color w:val="auto"/>
              </w:rPr>
              <w:t>XBRL Extension Label</w:t>
            </w: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101.PRE</w:t>
            </w:r>
          </w:p>
        </w:tc>
        <w:tc>
          <w:tcPr>
            <w:tcW w:w="2340" w:type="dxa"/>
            <w:vAlign w:val="bottom"/>
          </w:tcPr>
          <w:p>
            <w:pPr>
              <w:ind w:left="160"/>
              <w:spacing w:after="0"/>
              <w:rPr>
                <w:sz w:val="20"/>
                <w:szCs w:val="20"/>
                <w:color w:val="auto"/>
              </w:rPr>
            </w:pPr>
            <w:r>
              <w:rPr>
                <w:rFonts w:ascii="Arial" w:cs="Arial" w:eastAsia="Arial" w:hAnsi="Arial"/>
                <w:sz w:val="18"/>
                <w:szCs w:val="18"/>
                <w:color w:val="auto"/>
                <w:w w:val="91"/>
              </w:rPr>
              <w:t>XBRL Extension Presentation</w:t>
            </w:r>
          </w:p>
        </w:tc>
      </w:tr>
    </w:tbl>
    <w:p>
      <w:pPr>
        <w:spacing w:after="0" w:line="20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 Management contract or compensatory plan or arrangement.</w:t>
      </w:r>
    </w:p>
    <w:p>
      <w:pPr>
        <w:spacing w:after="0" w:line="22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31" w:name="page32"/>
    <w:bookmarkEnd w:id="3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June 11, 2020</w:t>
      </w:r>
    </w:p>
    <w:p>
      <w:pPr>
        <w:spacing w:after="0" w:line="200" w:lineRule="exact"/>
        <w:rPr>
          <w:sz w:val="20"/>
          <w:szCs w:val="20"/>
          <w:color w:val="auto"/>
        </w:rPr>
      </w:pPr>
    </w:p>
    <w:p>
      <w:pPr>
        <w:spacing w:after="0" w:line="241"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BUILD-A-BEAR WORKSHOP, INC.</w:t>
      </w:r>
    </w:p>
    <w:p>
      <w:pPr>
        <w:spacing w:after="0" w:line="23"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By:/s/ 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Sharon John</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President and Chief Executive Officer (on behalf of</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the registrant and as principal executive officer)</w:t>
      </w:r>
    </w:p>
    <w:p>
      <w:pPr>
        <w:spacing w:after="0" w:line="211"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By:/s/ Voin Todorovic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Voin Todorovic</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(on behalf of the registrant and as principal</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financial officer)</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AMENDMENT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CONFIDENTIALITY AND NONCOMPETE AGREEMENT</w:t>
      </w:r>
    </w:p>
    <w:p>
      <w:pPr>
        <w:spacing w:after="0" w:line="21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This Amendment to Employment, Confidentiality and Noncompete Agreement (this “Amendment”) is entered into effective as of March 29, 2020 (the “Amendment Effective Date”), by and between Build-A-Bear Workshop, Inc., a Delaware corporation (“Company”), and Eric Fencl (“Employee”).</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WHEREAS, Company and Employee are party to that certain Employment, Confidentiality and Noncompete Agreement, effective as of March 7, 2016 (the “Agreement”).</w:t>
      </w:r>
    </w:p>
    <w:p>
      <w:pPr>
        <w:spacing w:after="0" w:line="170" w:lineRule="exact"/>
        <w:rPr>
          <w:sz w:val="20"/>
          <w:szCs w:val="20"/>
          <w:color w:val="auto"/>
        </w:rPr>
      </w:pPr>
    </w:p>
    <w:p>
      <w:pPr>
        <w:jc w:val="both"/>
        <w:ind w:firstLine="1296"/>
        <w:spacing w:after="0" w:line="342" w:lineRule="auto"/>
        <w:rPr>
          <w:sz w:val="20"/>
          <w:szCs w:val="20"/>
          <w:color w:val="auto"/>
        </w:rPr>
      </w:pPr>
      <w:r>
        <w:rPr>
          <w:rFonts w:ascii="Arial" w:cs="Arial" w:eastAsia="Arial" w:hAnsi="Arial"/>
          <w:sz w:val="16"/>
          <w:szCs w:val="16"/>
          <w:color w:val="auto"/>
        </w:rPr>
        <w:t>WHEREAS, in response to the potential effect of the COVID-19 pandemic on Company’s revenue, the Company and Employee would like to amend the Agreement to temporarily reduce Employee’s base salary, defer certain bonus payments and to make the other changes discussed herein.</w:t>
      </w:r>
    </w:p>
    <w:p>
      <w:pPr>
        <w:spacing w:after="0" w:line="124" w:lineRule="exact"/>
        <w:rPr>
          <w:sz w:val="20"/>
          <w:szCs w:val="20"/>
          <w:color w:val="auto"/>
        </w:rPr>
      </w:pPr>
    </w:p>
    <w:p>
      <w:pPr>
        <w:jc w:val="both"/>
        <w:ind w:firstLine="1296"/>
        <w:spacing w:after="0" w:line="342" w:lineRule="auto"/>
        <w:rPr>
          <w:sz w:val="20"/>
          <w:szCs w:val="20"/>
          <w:color w:val="auto"/>
        </w:rPr>
      </w:pPr>
      <w:r>
        <w:rPr>
          <w:rFonts w:ascii="Arial" w:cs="Arial" w:eastAsia="Arial" w:hAnsi="Arial"/>
          <w:sz w:val="16"/>
          <w:szCs w:val="16"/>
          <w:color w:val="auto"/>
        </w:rPr>
        <w:t>NOW, THEREFORE, in consideration of the compensation and other benefits of Employee’s employment by Company and the recitals, mutual covenants and agreements set forth herein and in the Agreement, Employee and Company agree to amend the Agreement as follows:</w:t>
      </w:r>
    </w:p>
    <w:p>
      <w:pPr>
        <w:spacing w:after="0" w:line="124" w:lineRule="exact"/>
        <w:rPr>
          <w:sz w:val="20"/>
          <w:szCs w:val="20"/>
          <w:color w:val="auto"/>
        </w:rPr>
      </w:pPr>
    </w:p>
    <w:p>
      <w:pPr>
        <w:ind w:left="1900" w:hanging="353"/>
        <w:spacing w:after="0"/>
        <w:tabs>
          <w:tab w:leader="none" w:pos="1900" w:val="left"/>
        </w:tabs>
        <w:numPr>
          <w:ilvl w:val="1"/>
          <w:numId w:val="18"/>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 The following shall be added as a new Section 3(g) to the end of Section 3 of the Agreement:</w:t>
      </w:r>
    </w:p>
    <w:p>
      <w:pPr>
        <w:spacing w:after="0" w:line="225" w:lineRule="exact"/>
        <w:rPr>
          <w:rFonts w:ascii="Arial" w:cs="Arial" w:eastAsia="Arial" w:hAnsi="Arial"/>
          <w:sz w:val="18"/>
          <w:szCs w:val="18"/>
          <w:u w:val="single" w:color="auto"/>
          <w:color w:val="auto"/>
        </w:rPr>
      </w:pPr>
    </w:p>
    <w:p>
      <w:pPr>
        <w:ind w:left="2380" w:hanging="428"/>
        <w:spacing w:after="0"/>
        <w:tabs>
          <w:tab w:leader="none" w:pos="2380" w:val="left"/>
        </w:tabs>
        <w:numPr>
          <w:ilvl w:val="2"/>
          <w:numId w:val="18"/>
        </w:numPr>
        <w:rPr>
          <w:rFonts w:ascii="Arial" w:cs="Arial" w:eastAsia="Arial" w:hAnsi="Arial"/>
          <w:sz w:val="18"/>
          <w:szCs w:val="18"/>
          <w:color w:val="auto"/>
        </w:rPr>
      </w:pPr>
      <w:r>
        <w:rPr>
          <w:rFonts w:ascii="Arial" w:cs="Arial" w:eastAsia="Arial" w:hAnsi="Arial"/>
          <w:sz w:val="18"/>
          <w:szCs w:val="18"/>
          <w:u w:val="single" w:color="auto"/>
          <w:color w:val="auto"/>
        </w:rPr>
        <w:t>Temporary Amendments to Sections 3(a) and 3(b)</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960" w:firstLine="640"/>
        <w:spacing w:after="0" w:line="269" w:lineRule="auto"/>
        <w:tabs>
          <w:tab w:leader="none" w:pos="2821" w:val="left"/>
        </w:tabs>
        <w:numPr>
          <w:ilvl w:val="3"/>
          <w:numId w:val="18"/>
        </w:numPr>
        <w:rPr>
          <w:rFonts w:ascii="Arial" w:cs="Arial" w:eastAsia="Arial" w:hAnsi="Arial"/>
          <w:sz w:val="17"/>
          <w:szCs w:val="17"/>
          <w:color w:val="auto"/>
        </w:rPr>
      </w:pPr>
      <w:r>
        <w:rPr>
          <w:rFonts w:ascii="Arial" w:cs="Arial" w:eastAsia="Arial" w:hAnsi="Arial"/>
          <w:sz w:val="17"/>
          <w:szCs w:val="17"/>
          <w:color w:val="auto"/>
        </w:rPr>
        <w:t>As of the Amendment Effective Date, Employee’s annual base salary shall be reduced by twenty percent (20%) for the duration of the Reduction Period. “Reduction Period” means the period commencing on the Amendment Effective Date through and including the earliest of (A) December 31, 2020, (B) the date on which the Compensation Committee approves the ending of the Reduction Period, and (C) the date on which the then-current non-executive employees of the Company who were employed by the Company as of March 15, 2020 and whose base salaries were reduced as a result of the COVID-19 pandemic have had their respective annual base salaries returned to at or above their respective annual base salary amounts as of March 15, 2020. Such reduced amounts shall continue to be payable in accordance with Company’s usual practices. Except as explicitly contemplated by this Section 3(g)(i), Employee’s annual base salary rate shall not be subject to decrease at any time during the Employment Period. Employee shall not be entitled to any back-pay or makeup pay as a result of the salary reduction under this Section 3(g)(i) after the end of the Reduction Period.</w:t>
      </w:r>
    </w:p>
    <w:p>
      <w:pPr>
        <w:spacing w:after="0" w:line="185" w:lineRule="exact"/>
        <w:rPr>
          <w:rFonts w:ascii="Arial" w:cs="Arial" w:eastAsia="Arial" w:hAnsi="Arial"/>
          <w:sz w:val="17"/>
          <w:szCs w:val="17"/>
          <w:color w:val="auto"/>
        </w:rPr>
      </w:pPr>
    </w:p>
    <w:p>
      <w:pPr>
        <w:jc w:val="both"/>
        <w:ind w:left="1960" w:firstLine="640"/>
        <w:spacing w:after="0" w:line="284" w:lineRule="auto"/>
        <w:tabs>
          <w:tab w:leader="none" w:pos="2894" w:val="left"/>
        </w:tabs>
        <w:numPr>
          <w:ilvl w:val="3"/>
          <w:numId w:val="18"/>
        </w:numPr>
        <w:rPr>
          <w:rFonts w:ascii="Arial" w:cs="Arial" w:eastAsia="Arial" w:hAnsi="Arial"/>
          <w:sz w:val="16"/>
          <w:szCs w:val="16"/>
          <w:color w:val="auto"/>
        </w:rPr>
      </w:pPr>
      <w:r>
        <w:rPr>
          <w:rFonts w:ascii="Arial" w:cs="Arial" w:eastAsia="Arial" w:hAnsi="Arial"/>
          <w:sz w:val="16"/>
          <w:szCs w:val="16"/>
          <w:color w:val="auto"/>
        </w:rPr>
        <w:t>The Parties agree that bonus amounts owed to Employee for the fiscal year ended February 1, 2020 (the “2019 Bonus”) under this Agreement and pursuant to the Build-A-Bear Workshop, Inc. Fiscal 2019 Bonus Plan shall be paid by Company in a lump sum on December 31, 2020 or, if approved by the Compensation Committee, in one or more installments on or prior to December 31, 2020. In the event of termination of this Agreement prior to payment of Employee’s 2019 Bonus in full because of Employee’s death or disability (as defined by Section 4.1(b)), termination by Company without Cause pursuant to Section 4.1(c) of the Agreement, or pursuant to Employee’s right to terminate the Agreement for Good Reason under Section 4.1(d) of the Agreement, as modified by this Amendment, (1) the 2019 Bonus shall be paid at the time and in the form such bonus would have been paid pursuant to this Amendment had Employee’s employment continued until the payment date and (2) the bonus for the fiscal year in which such termination occurs shall be pro-rated based on the number of full calendar weeks during the applicable fiscal year during which Employee was employed hereunder, based on the bonus amount that Employee would have earned based on actual performance for the fiscal year had Employee’s employment not terminated, and shall be paid at the time and in the form such bonus would have been paid had Employee’s employment continued; provided, however, in the event of termination of this Agreement because of Employee’s termination by Company without Cause pursuant to Section 4.1(c) or pursuant to Employee’s right to terminate this Agreement for Good Reason under Section 4.1(d) and such termination is on the date of a Change in Control or during a period of twenty-four (24) months after a Change in Control, Employee’s target bonus for the fiscal year in which such termination occurs shall be prorated based on the number of full calendar weeks during the applicable fiscal year during which Employee was employed hereunder and shall be paid within thirty (30) days of such termination (subject to any delay in payout required under Section 4.2(b)). Notwithstanding anything herein to the contrary, no bonus (including, without limitation, the 2019 Bonus) shall be payable hereunder in the event that Employee’s employment terminates for any other reason prior to the date on which any bonus is actually paid.</w:t>
      </w:r>
    </w:p>
    <w:p>
      <w:pPr>
        <w:spacing w:after="0" w:line="181" w:lineRule="exact"/>
        <w:rPr>
          <w:rFonts w:ascii="Arial" w:cs="Arial" w:eastAsia="Arial" w:hAnsi="Arial"/>
          <w:sz w:val="16"/>
          <w:szCs w:val="16"/>
          <w:color w:val="auto"/>
        </w:rPr>
      </w:pPr>
    </w:p>
    <w:p>
      <w:pPr>
        <w:jc w:val="both"/>
        <w:ind w:left="1960" w:firstLine="640"/>
        <w:spacing w:after="0" w:line="286" w:lineRule="auto"/>
        <w:tabs>
          <w:tab w:leader="none" w:pos="2948" w:val="left"/>
        </w:tabs>
        <w:numPr>
          <w:ilvl w:val="3"/>
          <w:numId w:val="18"/>
        </w:numPr>
        <w:rPr>
          <w:rFonts w:ascii="Arial" w:cs="Arial" w:eastAsia="Arial" w:hAnsi="Arial"/>
          <w:sz w:val="17"/>
          <w:szCs w:val="17"/>
          <w:color w:val="auto"/>
        </w:rPr>
      </w:pPr>
      <w:r>
        <w:rPr>
          <w:rFonts w:ascii="Arial" w:cs="Arial" w:eastAsia="Arial" w:hAnsi="Arial"/>
          <w:sz w:val="17"/>
          <w:szCs w:val="17"/>
          <w:color w:val="auto"/>
        </w:rPr>
        <w:t>At all times until Employee’s base salary has been returned to at or above Employee’s base salary level as of immediately prior to the Amendment Effective Date and Employee’s 2019 Bonus has been paid in full, this Section 3(g) shall be in lieu of, and not in addition to, any rights and obligations under Section 3(a) and 3(b), as applicable.</w:t>
      </w:r>
    </w:p>
    <w:p>
      <w:pPr>
        <w:spacing w:after="0" w:line="165" w:lineRule="exact"/>
        <w:rPr>
          <w:rFonts w:ascii="Arial" w:cs="Arial" w:eastAsia="Arial" w:hAnsi="Arial"/>
          <w:sz w:val="17"/>
          <w:szCs w:val="17"/>
          <w:color w:val="auto"/>
        </w:rPr>
      </w:pPr>
    </w:p>
    <w:p>
      <w:pPr>
        <w:jc w:val="both"/>
        <w:ind w:firstLine="1304"/>
        <w:spacing w:after="0" w:line="263" w:lineRule="auto"/>
        <w:tabs>
          <w:tab w:leader="none" w:pos="1791"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Affirmation of Agreement</w:t>
      </w:r>
      <w:r>
        <w:rPr>
          <w:rFonts w:ascii="Arial" w:cs="Arial" w:eastAsia="Arial" w:hAnsi="Arial"/>
          <w:sz w:val="18"/>
          <w:szCs w:val="18"/>
          <w:color w:val="auto"/>
        </w:rPr>
        <w:t>. The Agreement, as amended hereby, is reaffirmed in all respects. For the avoidance of doubt, the Employee agrees that the amendments contained herein do not constitute a “Good Reason”, with or without the giving of notice, under the Agreement. In the event of any conflict between this Amendment and the Agreement, this Amendment shall govern.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line="277" w:lineRule="auto"/>
        <w:rPr>
          <w:sz w:val="20"/>
          <w:szCs w:val="20"/>
          <w:color w:val="auto"/>
        </w:rPr>
      </w:pPr>
      <w:r>
        <w:rPr>
          <w:rFonts w:ascii="Arial" w:cs="Arial" w:eastAsia="Arial" w:hAnsi="Arial"/>
          <w:sz w:val="18"/>
          <w:szCs w:val="18"/>
          <w:color w:val="auto"/>
        </w:rPr>
        <w:t>IN WITNESS WHEREOF, the parties hereto have caused this Amendment to be executed as of April 14, 2020, to be effective as of the Amendment Effective Date.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 Eric Fencl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-10160</wp:posOffset>
            </wp:positionV>
            <wp:extent cx="75184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75184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Eric Fencl</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BUILD-A-BEAR WORKSHOP,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Sharon Price John</w:t>
      </w:r>
    </w:p>
    <w:p>
      <w:pPr>
        <w:spacing w:after="0" w:line="225" w:lineRule="exact"/>
        <w:rPr>
          <w:sz w:val="20"/>
          <w:szCs w:val="20"/>
          <w:color w:val="auto"/>
        </w:rPr>
      </w:pPr>
    </w:p>
    <w:p>
      <w:pPr>
        <w:ind w:left="3900"/>
        <w:spacing w:after="0"/>
        <w:tabs>
          <w:tab w:leader="none" w:pos="4580" w:val="left"/>
        </w:tabs>
        <w:rPr>
          <w:sz w:val="20"/>
          <w:szCs w:val="20"/>
          <w:color w:val="auto"/>
        </w:rPr>
      </w:pPr>
      <w:r>
        <w:rPr>
          <w:rFonts w:ascii="Arial" w:cs="Arial" w:eastAsia="Arial" w:hAnsi="Arial"/>
          <w:sz w:val="18"/>
          <w:szCs w:val="18"/>
          <w:color w:val="auto"/>
        </w:rPr>
        <w:t>Name:</w:t>
        <w:tab/>
        <w:t>Sharon Price John</w:t>
      </w:r>
    </w:p>
    <w:p>
      <w:pPr>
        <w:spacing w:after="0" w:line="225" w:lineRule="exact"/>
        <w:rPr>
          <w:sz w:val="20"/>
          <w:szCs w:val="20"/>
          <w:color w:val="auto"/>
        </w:rPr>
      </w:pPr>
    </w:p>
    <w:p>
      <w:pPr>
        <w:jc w:val="center"/>
        <w:ind w:left="3820"/>
        <w:spacing w:after="0"/>
        <w:tabs>
          <w:tab w:leader="none" w:pos="240" w:val="left"/>
        </w:tabs>
        <w:rPr>
          <w:sz w:val="20"/>
          <w:szCs w:val="20"/>
          <w:color w:val="auto"/>
        </w:rPr>
      </w:pPr>
      <w:r>
        <w:rPr>
          <w:rFonts w:ascii="Arial" w:cs="Arial" w:eastAsia="Arial" w:hAnsi="Arial"/>
          <w:sz w:val="18"/>
          <w:szCs w:val="18"/>
          <w:color w:val="auto"/>
        </w:rPr>
        <w:t>Title:</w:t>
        <w:tab/>
        <w:t>President and Chief Executive Officer</w:t>
      </w:r>
    </w:p>
    <w:p>
      <w:pPr>
        <w:sectPr>
          <w:pgSz w:w="11900" w:h="16838" w:orient="portrait"/>
          <w:cols w:equalWidth="0" w:num="1">
            <w:col w:w="11220"/>
          </w:cols>
          <w:pgMar w:left="320" w:top="584" w:right="35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AMENDMENT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CONFIDENTIALITY AND NONCOMPETE AGREEMENT</w:t>
      </w:r>
    </w:p>
    <w:p>
      <w:pPr>
        <w:spacing w:after="0" w:line="21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This Amendment to Employment, Confidentiality and Noncompete Agreement (this “Amendment”) is entered into effective as of March 29, 2020 (the “Amendment Effective Date”), by and between Build-A-Bear Workshop, Inc., a Delaware corporation (“Company”), and J. Christopher Hurt (“Employee”).</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WHEREAS, Company and Employee are party to that certain Employment, Confidentiality and Noncompete Agreement, effective as of March 7, 2016 (the “Agreement”).</w:t>
      </w:r>
    </w:p>
    <w:p>
      <w:pPr>
        <w:spacing w:after="0" w:line="170" w:lineRule="exact"/>
        <w:rPr>
          <w:sz w:val="20"/>
          <w:szCs w:val="20"/>
          <w:color w:val="auto"/>
        </w:rPr>
      </w:pPr>
    </w:p>
    <w:p>
      <w:pPr>
        <w:jc w:val="both"/>
        <w:ind w:firstLine="1296"/>
        <w:spacing w:after="0" w:line="342" w:lineRule="auto"/>
        <w:rPr>
          <w:sz w:val="20"/>
          <w:szCs w:val="20"/>
          <w:color w:val="auto"/>
        </w:rPr>
      </w:pPr>
      <w:r>
        <w:rPr>
          <w:rFonts w:ascii="Arial" w:cs="Arial" w:eastAsia="Arial" w:hAnsi="Arial"/>
          <w:sz w:val="16"/>
          <w:szCs w:val="16"/>
          <w:color w:val="auto"/>
        </w:rPr>
        <w:t>WHEREAS, in response to the potential effect of the COVID-19 pandemic on Company’s revenue, the Company and Employee would like to amend the Agreement to temporarily reduce Employee’s base salary, defer certain bonus payments and to make the other changes discussed herein.</w:t>
      </w:r>
    </w:p>
    <w:p>
      <w:pPr>
        <w:spacing w:after="0" w:line="124" w:lineRule="exact"/>
        <w:rPr>
          <w:sz w:val="20"/>
          <w:szCs w:val="20"/>
          <w:color w:val="auto"/>
        </w:rPr>
      </w:pPr>
    </w:p>
    <w:p>
      <w:pPr>
        <w:jc w:val="both"/>
        <w:ind w:firstLine="1296"/>
        <w:spacing w:after="0" w:line="342" w:lineRule="auto"/>
        <w:rPr>
          <w:sz w:val="20"/>
          <w:szCs w:val="20"/>
          <w:color w:val="auto"/>
        </w:rPr>
      </w:pPr>
      <w:r>
        <w:rPr>
          <w:rFonts w:ascii="Arial" w:cs="Arial" w:eastAsia="Arial" w:hAnsi="Arial"/>
          <w:sz w:val="16"/>
          <w:szCs w:val="16"/>
          <w:color w:val="auto"/>
        </w:rPr>
        <w:t>NOW, THEREFORE, in consideration of the compensation and other benefits of Employee’s employment by Company and the recitals, mutual covenants and agreements set forth herein and in the Agreement, Employee and Company agree to amend the Agreement as follows:</w:t>
      </w:r>
    </w:p>
    <w:p>
      <w:pPr>
        <w:spacing w:after="0" w:line="124" w:lineRule="exact"/>
        <w:rPr>
          <w:sz w:val="20"/>
          <w:szCs w:val="20"/>
          <w:color w:val="auto"/>
        </w:rPr>
      </w:pPr>
    </w:p>
    <w:p>
      <w:pPr>
        <w:ind w:left="1900" w:hanging="353"/>
        <w:spacing w:after="0"/>
        <w:tabs>
          <w:tab w:leader="none" w:pos="1900" w:val="left"/>
        </w:tabs>
        <w:numPr>
          <w:ilvl w:val="1"/>
          <w:numId w:val="20"/>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 The following shall be added as a new Section 3(g) to the end of Section 3 of the Agreement:</w:t>
      </w:r>
    </w:p>
    <w:p>
      <w:pPr>
        <w:spacing w:after="0" w:line="225" w:lineRule="exact"/>
        <w:rPr>
          <w:rFonts w:ascii="Arial" w:cs="Arial" w:eastAsia="Arial" w:hAnsi="Arial"/>
          <w:sz w:val="18"/>
          <w:szCs w:val="18"/>
          <w:u w:val="single" w:color="auto"/>
          <w:color w:val="auto"/>
        </w:rPr>
      </w:pPr>
    </w:p>
    <w:p>
      <w:pPr>
        <w:ind w:left="2380" w:hanging="428"/>
        <w:spacing w:after="0"/>
        <w:tabs>
          <w:tab w:leader="none" w:pos="2380" w:val="left"/>
        </w:tabs>
        <w:numPr>
          <w:ilvl w:val="2"/>
          <w:numId w:val="20"/>
        </w:numPr>
        <w:rPr>
          <w:rFonts w:ascii="Arial" w:cs="Arial" w:eastAsia="Arial" w:hAnsi="Arial"/>
          <w:sz w:val="18"/>
          <w:szCs w:val="18"/>
          <w:color w:val="auto"/>
        </w:rPr>
      </w:pPr>
      <w:r>
        <w:rPr>
          <w:rFonts w:ascii="Arial" w:cs="Arial" w:eastAsia="Arial" w:hAnsi="Arial"/>
          <w:sz w:val="18"/>
          <w:szCs w:val="18"/>
          <w:u w:val="single" w:color="auto"/>
          <w:color w:val="auto"/>
        </w:rPr>
        <w:t>Temporary Amendments to Sections 3(a) and 3(b)</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960" w:firstLine="640"/>
        <w:spacing w:after="0" w:line="269" w:lineRule="auto"/>
        <w:tabs>
          <w:tab w:leader="none" w:pos="2821" w:val="left"/>
        </w:tabs>
        <w:numPr>
          <w:ilvl w:val="3"/>
          <w:numId w:val="20"/>
        </w:numPr>
        <w:rPr>
          <w:rFonts w:ascii="Arial" w:cs="Arial" w:eastAsia="Arial" w:hAnsi="Arial"/>
          <w:sz w:val="17"/>
          <w:szCs w:val="17"/>
          <w:color w:val="auto"/>
        </w:rPr>
      </w:pPr>
      <w:r>
        <w:rPr>
          <w:rFonts w:ascii="Arial" w:cs="Arial" w:eastAsia="Arial" w:hAnsi="Arial"/>
          <w:sz w:val="17"/>
          <w:szCs w:val="17"/>
          <w:color w:val="auto"/>
        </w:rPr>
        <w:t>As of the Amendment Effective Date, Employee’s annual base salary shall be reduced by twenty percent (20%) for the duration of the Reduction Period. “Reduction Period” means the period commencing on the Amendment Effective Date through and including the earliest of (A) December 31, 2020, (B) the date on which the Compensation Committee approves the ending of the Reduction Period, and (C) the date on which the then-current non-executive employees of the Company who were employed by the Company as of March 15, 2020 and whose base salaries were reduced as a result of the COVID-19 pandemic have had their respective annual base salaries returned to at or above their respective annual base salary amounts as of March 15, 2020. Such reduced amounts shall continue to be payable in accordance with Company’s usual practices. Except as explicitly contemplated by this Section 3(g)(i), Employee’s annual base salary rate shall not be subject to decrease at any time during the Employment Period. Employee shall not be entitled to any back-pay or makeup pay as a result of the salary reduction under this Section 3(g)(i) after the end of the Reduction Period.</w:t>
      </w:r>
    </w:p>
    <w:p>
      <w:pPr>
        <w:spacing w:after="0" w:line="185" w:lineRule="exact"/>
        <w:rPr>
          <w:rFonts w:ascii="Arial" w:cs="Arial" w:eastAsia="Arial" w:hAnsi="Arial"/>
          <w:sz w:val="17"/>
          <w:szCs w:val="17"/>
          <w:color w:val="auto"/>
        </w:rPr>
      </w:pPr>
    </w:p>
    <w:p>
      <w:pPr>
        <w:jc w:val="both"/>
        <w:ind w:left="1960" w:firstLine="640"/>
        <w:spacing w:after="0" w:line="284" w:lineRule="auto"/>
        <w:tabs>
          <w:tab w:leader="none" w:pos="2894" w:val="left"/>
        </w:tabs>
        <w:numPr>
          <w:ilvl w:val="3"/>
          <w:numId w:val="20"/>
        </w:numPr>
        <w:rPr>
          <w:rFonts w:ascii="Arial" w:cs="Arial" w:eastAsia="Arial" w:hAnsi="Arial"/>
          <w:sz w:val="16"/>
          <w:szCs w:val="16"/>
          <w:color w:val="auto"/>
        </w:rPr>
      </w:pPr>
      <w:r>
        <w:rPr>
          <w:rFonts w:ascii="Arial" w:cs="Arial" w:eastAsia="Arial" w:hAnsi="Arial"/>
          <w:sz w:val="16"/>
          <w:szCs w:val="16"/>
          <w:color w:val="auto"/>
        </w:rPr>
        <w:t>The Parties agree that bonus amounts owed to Employee for the fiscal year ended February 1, 2020 (the “2019 Bonus”) under this Agreement and pursuant to the Build-A-Bear Workshop, Inc. Fiscal 2019 Bonus Plan shall be paid by Company in a lump sum on December 31, 2020 or, if approved by the Compensation Committee, in one or more installments on or prior to December 31, 2020. In the event of termination of this Agreement prior to payment of Employee’s 2019 Bonus in full because of Employee’s death or disability (as defined by Section 4.1(b)), termination by Company without Cause pursuant to Section 4.1(c) of the Agreement, or pursuant to Employee’s right to terminate the Agreement for Good Reason under Section 4.1(d) of the Agreement, as modified by this Amendment, (1) the 2019 Bonus shall be paid at the time and in the form such bonus would have been paid pursuant to this Amendment had Employee’s employment continued until the payment date and (2) the bonus for the fiscal year in which such termination occurs shall be pro-rated based on the number of full calendar weeks during the applicable fiscal year during which Employee was employed hereunder, based on the bonus amount that Employee would have earned based on actual performance for the fiscal year had Employee’s employment not terminated, and shall be paid at the time and in the form such bonus would have been paid had Employee’s employment continued; provided, however, in the event of termination of this Agreement because of Employee’s termination by Company without Cause pursuant to Section 4.1(c) or pursuant to Employee’s right to terminate this Agreement for Good Reason under Section 4.1(d) and such termination is on the date of a Change in Control or during a period of twenty-four (24) months after a Change in Control, Employee’s target bonus for the fiscal year in which such termination occurs shall be prorated based on the number of full calendar weeks during the applicable fiscal year during which Employee was employed hereunder and shall be paid within thirty (30) days of such termination (subject to any delay in payout required under Section 4.2(b)). Notwithstanding anything herein to the contrary, no bonus (including, without limitation, the 2019 Bonus) shall be payable hereunder in the event that Employee’s employment terminates for any other reason prior to the date on which any bonus is actually paid.</w:t>
      </w:r>
    </w:p>
    <w:p>
      <w:pPr>
        <w:spacing w:after="0" w:line="181" w:lineRule="exact"/>
        <w:rPr>
          <w:rFonts w:ascii="Arial" w:cs="Arial" w:eastAsia="Arial" w:hAnsi="Arial"/>
          <w:sz w:val="16"/>
          <w:szCs w:val="16"/>
          <w:color w:val="auto"/>
        </w:rPr>
      </w:pPr>
    </w:p>
    <w:p>
      <w:pPr>
        <w:jc w:val="both"/>
        <w:ind w:left="1960" w:firstLine="640"/>
        <w:spacing w:after="0" w:line="286" w:lineRule="auto"/>
        <w:tabs>
          <w:tab w:leader="none" w:pos="2948" w:val="left"/>
        </w:tabs>
        <w:numPr>
          <w:ilvl w:val="3"/>
          <w:numId w:val="20"/>
        </w:numPr>
        <w:rPr>
          <w:rFonts w:ascii="Arial" w:cs="Arial" w:eastAsia="Arial" w:hAnsi="Arial"/>
          <w:sz w:val="17"/>
          <w:szCs w:val="17"/>
          <w:color w:val="auto"/>
        </w:rPr>
      </w:pPr>
      <w:r>
        <w:rPr>
          <w:rFonts w:ascii="Arial" w:cs="Arial" w:eastAsia="Arial" w:hAnsi="Arial"/>
          <w:sz w:val="17"/>
          <w:szCs w:val="17"/>
          <w:color w:val="auto"/>
        </w:rPr>
        <w:t>At all times until Employee’s base salary has been returned to at or above Employee’s base salary level as of immediately prior to the Amendment Effective Date and Employee’s 2019 Bonus has been paid in full, this Section 3(g) shall be in lieu of, and not in addition to, any rights and obligations under Section 3(a) and 3(b), as applicable.</w:t>
      </w:r>
    </w:p>
    <w:p>
      <w:pPr>
        <w:spacing w:after="0" w:line="165" w:lineRule="exact"/>
        <w:rPr>
          <w:rFonts w:ascii="Arial" w:cs="Arial" w:eastAsia="Arial" w:hAnsi="Arial"/>
          <w:sz w:val="17"/>
          <w:szCs w:val="17"/>
          <w:color w:val="auto"/>
        </w:rPr>
      </w:pPr>
    </w:p>
    <w:p>
      <w:pPr>
        <w:jc w:val="both"/>
        <w:ind w:firstLine="1304"/>
        <w:spacing w:after="0" w:line="263" w:lineRule="auto"/>
        <w:tabs>
          <w:tab w:leader="none" w:pos="1791"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Affirmation of Agreement</w:t>
      </w:r>
      <w:r>
        <w:rPr>
          <w:rFonts w:ascii="Arial" w:cs="Arial" w:eastAsia="Arial" w:hAnsi="Arial"/>
          <w:sz w:val="18"/>
          <w:szCs w:val="18"/>
          <w:color w:val="auto"/>
        </w:rPr>
        <w:t>. The Agreement, as amended hereby, is reaffirmed in all respects. For the avoidance of doubt, the Employee agrees that the amendments contained herein do not constitute a “Good Reason”, with or without the giving of notice, under the Agreement. In the event of any conflict between this Amendment and the Agreement, this Amendment shall govern.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line="277" w:lineRule="auto"/>
        <w:rPr>
          <w:sz w:val="20"/>
          <w:szCs w:val="20"/>
          <w:color w:val="auto"/>
        </w:rPr>
      </w:pPr>
      <w:r>
        <w:rPr>
          <w:rFonts w:ascii="Arial" w:cs="Arial" w:eastAsia="Arial" w:hAnsi="Arial"/>
          <w:sz w:val="18"/>
          <w:szCs w:val="18"/>
          <w:color w:val="auto"/>
        </w:rPr>
        <w:t>IN WITNESS WHEREOF, the parties hereto have caused this Amendment to be executed as of April 14, 2020, to be effective as of the Amendment Effective Date.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 J. Christopher Hurt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-10160</wp:posOffset>
            </wp:positionV>
            <wp:extent cx="115824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115824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J. Christopher Hurt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BUILD-A-BEAR WORKSHOP,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Sharon Price John</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Sharon Price John</w:t>
      </w:r>
    </w:p>
    <w:p>
      <w:pPr>
        <w:spacing w:after="0" w:line="225" w:lineRule="exact"/>
        <w:rPr>
          <w:sz w:val="20"/>
          <w:szCs w:val="20"/>
          <w:color w:val="auto"/>
        </w:rPr>
      </w:pPr>
    </w:p>
    <w:p>
      <w:pPr>
        <w:jc w:val="center"/>
        <w:ind w:left="3780"/>
        <w:spacing w:after="0"/>
        <w:tabs>
          <w:tab w:leader="none" w:pos="200" w:val="left"/>
        </w:tabs>
        <w:rPr>
          <w:sz w:val="20"/>
          <w:szCs w:val="20"/>
          <w:color w:val="auto"/>
        </w:rPr>
      </w:pPr>
      <w:r>
        <w:rPr>
          <w:rFonts w:ascii="Arial" w:cs="Arial" w:eastAsia="Arial" w:hAnsi="Arial"/>
          <w:sz w:val="18"/>
          <w:szCs w:val="18"/>
          <w:color w:val="auto"/>
        </w:rPr>
        <w:t>Title:</w:t>
        <w:tab/>
        <w:t>President and Chief Executive Officer</w:t>
      </w:r>
    </w:p>
    <w:p>
      <w:pPr>
        <w:sectPr>
          <w:pgSz w:w="11900" w:h="16838" w:orient="portrait"/>
          <w:cols w:equalWidth="0" w:num="1">
            <w:col w:w="11220"/>
          </w:cols>
          <w:pgMar w:left="320" w:top="584" w:right="35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AMENDMENT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CONFIDENTIALITY AND NONCOMPETE AGREEMENT</w:t>
      </w:r>
    </w:p>
    <w:p>
      <w:pPr>
        <w:spacing w:after="0" w:line="21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This Amendment to Employment, Confidentiality and Noncompete Agreement (this “Amendment”) is entered into effective as of March 29, 2020 (the “Amendment Effective Date”), by and between Build-A-Bear Workshop, Inc., a Delaware corporation (“Company”), and Sharon Price John (“Employee”).</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WHEREAS, Company and Employee are party to that certain Employment, Confidentiality and Noncompete Agreement, effective as of March 7, 2019 (the “Agreement”).</w:t>
      </w:r>
    </w:p>
    <w:p>
      <w:pPr>
        <w:spacing w:after="0" w:line="170" w:lineRule="exact"/>
        <w:rPr>
          <w:sz w:val="20"/>
          <w:szCs w:val="20"/>
          <w:color w:val="auto"/>
        </w:rPr>
      </w:pPr>
    </w:p>
    <w:p>
      <w:pPr>
        <w:jc w:val="both"/>
        <w:ind w:firstLine="1296"/>
        <w:spacing w:after="0" w:line="342" w:lineRule="auto"/>
        <w:rPr>
          <w:sz w:val="20"/>
          <w:szCs w:val="20"/>
          <w:color w:val="auto"/>
        </w:rPr>
      </w:pPr>
      <w:r>
        <w:rPr>
          <w:rFonts w:ascii="Arial" w:cs="Arial" w:eastAsia="Arial" w:hAnsi="Arial"/>
          <w:sz w:val="16"/>
          <w:szCs w:val="16"/>
          <w:color w:val="auto"/>
        </w:rPr>
        <w:t>WHEREAS, in response to the potential effect of the COVID-19 pandemic on Company’s revenue, the Company and Employee would like to amend the Agreement to temporarily reduce Employee’s base salary, defer certain bonus payments and to make the other changes discussed herein.</w:t>
      </w:r>
    </w:p>
    <w:p>
      <w:pPr>
        <w:spacing w:after="0" w:line="124" w:lineRule="exact"/>
        <w:rPr>
          <w:sz w:val="20"/>
          <w:szCs w:val="20"/>
          <w:color w:val="auto"/>
        </w:rPr>
      </w:pPr>
    </w:p>
    <w:p>
      <w:pPr>
        <w:jc w:val="both"/>
        <w:ind w:firstLine="1296"/>
        <w:spacing w:after="0" w:line="342" w:lineRule="auto"/>
        <w:rPr>
          <w:sz w:val="20"/>
          <w:szCs w:val="20"/>
          <w:color w:val="auto"/>
        </w:rPr>
      </w:pPr>
      <w:r>
        <w:rPr>
          <w:rFonts w:ascii="Arial" w:cs="Arial" w:eastAsia="Arial" w:hAnsi="Arial"/>
          <w:sz w:val="16"/>
          <w:szCs w:val="16"/>
          <w:color w:val="auto"/>
        </w:rPr>
        <w:t>NOW, THEREFORE, in consideration of the compensation and other benefits of Employee’s employment by Company and the recitals, mutual covenants and agreements set forth herein and in the Agreement, Employee and Company agree to amend the Agreement as follows:</w:t>
      </w:r>
    </w:p>
    <w:p>
      <w:pPr>
        <w:spacing w:after="0" w:line="124" w:lineRule="exact"/>
        <w:rPr>
          <w:sz w:val="20"/>
          <w:szCs w:val="20"/>
          <w:color w:val="auto"/>
        </w:rPr>
      </w:pPr>
    </w:p>
    <w:p>
      <w:pPr>
        <w:ind w:left="1900" w:hanging="353"/>
        <w:spacing w:after="0"/>
        <w:tabs>
          <w:tab w:leader="none" w:pos="1900" w:val="left"/>
        </w:tabs>
        <w:numPr>
          <w:ilvl w:val="1"/>
          <w:numId w:val="22"/>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 The following shall be added as a new Section 3(g) to the end of Section 3 of the Agreement:</w:t>
      </w:r>
    </w:p>
    <w:p>
      <w:pPr>
        <w:spacing w:after="0" w:line="225" w:lineRule="exact"/>
        <w:rPr>
          <w:rFonts w:ascii="Arial" w:cs="Arial" w:eastAsia="Arial" w:hAnsi="Arial"/>
          <w:sz w:val="18"/>
          <w:szCs w:val="18"/>
          <w:u w:val="single" w:color="auto"/>
          <w:color w:val="auto"/>
        </w:rPr>
      </w:pPr>
    </w:p>
    <w:p>
      <w:pPr>
        <w:ind w:left="2380" w:hanging="428"/>
        <w:spacing w:after="0"/>
        <w:tabs>
          <w:tab w:leader="none" w:pos="2380" w:val="left"/>
        </w:tabs>
        <w:numPr>
          <w:ilvl w:val="2"/>
          <w:numId w:val="22"/>
        </w:numPr>
        <w:rPr>
          <w:rFonts w:ascii="Arial" w:cs="Arial" w:eastAsia="Arial" w:hAnsi="Arial"/>
          <w:sz w:val="18"/>
          <w:szCs w:val="18"/>
          <w:color w:val="auto"/>
        </w:rPr>
      </w:pPr>
      <w:r>
        <w:rPr>
          <w:rFonts w:ascii="Arial" w:cs="Arial" w:eastAsia="Arial" w:hAnsi="Arial"/>
          <w:sz w:val="18"/>
          <w:szCs w:val="18"/>
          <w:u w:val="single" w:color="auto"/>
          <w:color w:val="auto"/>
        </w:rPr>
        <w:t>Temporary Amendments to Sections 3(a) and 3(b)</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960" w:firstLine="640"/>
        <w:spacing w:after="0" w:line="269" w:lineRule="auto"/>
        <w:tabs>
          <w:tab w:leader="none" w:pos="2821" w:val="left"/>
        </w:tabs>
        <w:numPr>
          <w:ilvl w:val="3"/>
          <w:numId w:val="22"/>
        </w:numPr>
        <w:rPr>
          <w:rFonts w:ascii="Arial" w:cs="Arial" w:eastAsia="Arial" w:hAnsi="Arial"/>
          <w:sz w:val="17"/>
          <w:szCs w:val="17"/>
          <w:color w:val="auto"/>
        </w:rPr>
      </w:pPr>
      <w:r>
        <w:rPr>
          <w:rFonts w:ascii="Arial" w:cs="Arial" w:eastAsia="Arial" w:hAnsi="Arial"/>
          <w:sz w:val="17"/>
          <w:szCs w:val="17"/>
          <w:color w:val="auto"/>
        </w:rPr>
        <w:t>As of the Amendment Effective Date, Employee’s annual base salary shall be reduced by twenty percent (20%) for the duration of the Reduction Period. “Reduction Period” means the period commencing on the Amendment Effective Date through and including the earliest of (A) December 31, 2020, (B) the date on which the Compensation Committee approves the ending of the Reduction Period, and (C) the date on which the then-current non-executive employees of the Company who were employed by the Company as of March 15, 2020 and whose base salaries were reduced as a result of the COVID-19 pandemic have had their respective annual base salaries returned to at or above their respective annual base salary amounts as of March 15, 2020. Such reduced amounts shall continue to be payable in accordance with Company’s usual practices. Except as explicitly contemplated by this Section 3(g)(i), Employee’s annual base salary rate shall not be subject to decrease at any time during the Employment Period. Employee shall not be entitled to any back-pay or makeup pay as a result of the salary reduction under this Section 3(g)(i) after the end of the Reduction Period.</w:t>
      </w:r>
    </w:p>
    <w:p>
      <w:pPr>
        <w:spacing w:after="0" w:line="185" w:lineRule="exact"/>
        <w:rPr>
          <w:rFonts w:ascii="Arial" w:cs="Arial" w:eastAsia="Arial" w:hAnsi="Arial"/>
          <w:sz w:val="17"/>
          <w:szCs w:val="17"/>
          <w:color w:val="auto"/>
        </w:rPr>
      </w:pPr>
    </w:p>
    <w:p>
      <w:pPr>
        <w:jc w:val="both"/>
        <w:ind w:left="1960" w:firstLine="640"/>
        <w:spacing w:after="0" w:line="284" w:lineRule="auto"/>
        <w:tabs>
          <w:tab w:leader="none" w:pos="2894" w:val="left"/>
        </w:tabs>
        <w:numPr>
          <w:ilvl w:val="3"/>
          <w:numId w:val="22"/>
        </w:numPr>
        <w:rPr>
          <w:rFonts w:ascii="Arial" w:cs="Arial" w:eastAsia="Arial" w:hAnsi="Arial"/>
          <w:sz w:val="16"/>
          <w:szCs w:val="16"/>
          <w:color w:val="auto"/>
        </w:rPr>
      </w:pPr>
      <w:r>
        <w:rPr>
          <w:rFonts w:ascii="Arial" w:cs="Arial" w:eastAsia="Arial" w:hAnsi="Arial"/>
          <w:sz w:val="16"/>
          <w:szCs w:val="16"/>
          <w:color w:val="auto"/>
        </w:rPr>
        <w:t>The Parties agree that bonus amounts owed to Employee for the fiscal year ended February 1, 2020 (the “2019 Bonus”) under this Agreement and pursuant to the Build-A-Bear Workshop, Inc. Fiscal 2019 Bonus Plan shall be paid by Company in a lump sum on December 31, 2020 or, if approved by the Compensation Committee, in one or more installments on or prior to December 31, 2020. In the event of termination of this Agreement prior to payment of Employee’s 2019 Bonus in full because of Employee’s death or disability (as defined by Section 4.1(b)), termination by Company without Cause pursuant to Section 4.1(c) of the Agreement, or pursuant to Employee’s right to terminate the Agreement for Good Reason under Section 4.1(d) of the Agreement, as modified by this Amendment, (1) the 2019 Bonus shall be paid at the time and in the form such bonus would have been paid pursuant to this Amendment had Employee’s employment continued until the payment date and (2) the bonus for the fiscal year in which such termination occurs shall be pro-rated based on the number of full calendar weeks during the applicable fiscal year during which Employee was employed hereunder, based on the bonus amount that Employee would have earned based on actual performance for the fiscal year had Employee’s employment not terminated, and shall be paid at the time and in the form such bonus would have been paid had Employee’s employment continued; provided, however, in the event of termination of this Agreement because of Employee’s termination by Company without Cause pursuant to Section 4.1(c) or pursuant to Employee’s right to terminate this Agreement for Good Reason under Section 4.1(d) and such termination is on the date of a Change in Control or during a period of twenty-four (24) months after a Change in Control, Employee’s target bonus for the fiscal year in which such termination occurs shall be prorated based on the number of full calendar weeks during the applicable fiscal year during which Employee was employed hereunder and shall be paid within thirty (30) days of such termination (subject to any delay in payout required under Section 4.2(b)). Notwithstanding anything herein to the contrary, no bonus (including, without limitation, the 2019 Bonus) shall be payable hereunder in the event that Employee’s employment terminates for any other reason prior to the date on which any bonus is actually paid.</w:t>
      </w:r>
    </w:p>
    <w:p>
      <w:pPr>
        <w:spacing w:after="0" w:line="181" w:lineRule="exact"/>
        <w:rPr>
          <w:rFonts w:ascii="Arial" w:cs="Arial" w:eastAsia="Arial" w:hAnsi="Arial"/>
          <w:sz w:val="16"/>
          <w:szCs w:val="16"/>
          <w:color w:val="auto"/>
        </w:rPr>
      </w:pPr>
    </w:p>
    <w:p>
      <w:pPr>
        <w:jc w:val="both"/>
        <w:ind w:left="1960" w:firstLine="640"/>
        <w:spacing w:after="0" w:line="286" w:lineRule="auto"/>
        <w:tabs>
          <w:tab w:leader="none" w:pos="2948" w:val="left"/>
        </w:tabs>
        <w:numPr>
          <w:ilvl w:val="3"/>
          <w:numId w:val="22"/>
        </w:numPr>
        <w:rPr>
          <w:rFonts w:ascii="Arial" w:cs="Arial" w:eastAsia="Arial" w:hAnsi="Arial"/>
          <w:sz w:val="17"/>
          <w:szCs w:val="17"/>
          <w:color w:val="auto"/>
        </w:rPr>
      </w:pPr>
      <w:r>
        <w:rPr>
          <w:rFonts w:ascii="Arial" w:cs="Arial" w:eastAsia="Arial" w:hAnsi="Arial"/>
          <w:sz w:val="17"/>
          <w:szCs w:val="17"/>
          <w:color w:val="auto"/>
        </w:rPr>
        <w:t>At all times until Employee’s base salary has been returned to at or above Employee’s base salary level as of immediately prior to the Amendment Effective Date and Employee’s 2019 Bonus has been paid in full, this Section 3(g) shall be in lieu of, and not in addition to, any rights and obligations under Section 3(a) and 3(b), as applicable.</w:t>
      </w:r>
    </w:p>
    <w:p>
      <w:pPr>
        <w:spacing w:after="0" w:line="165" w:lineRule="exact"/>
        <w:rPr>
          <w:rFonts w:ascii="Arial" w:cs="Arial" w:eastAsia="Arial" w:hAnsi="Arial"/>
          <w:sz w:val="17"/>
          <w:szCs w:val="17"/>
          <w:color w:val="auto"/>
        </w:rPr>
      </w:pPr>
    </w:p>
    <w:p>
      <w:pPr>
        <w:jc w:val="both"/>
        <w:ind w:firstLine="1304"/>
        <w:spacing w:after="0" w:line="263" w:lineRule="auto"/>
        <w:tabs>
          <w:tab w:leader="none" w:pos="1791"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Affirmation of Agreement</w:t>
      </w:r>
      <w:r>
        <w:rPr>
          <w:rFonts w:ascii="Arial" w:cs="Arial" w:eastAsia="Arial" w:hAnsi="Arial"/>
          <w:sz w:val="18"/>
          <w:szCs w:val="18"/>
          <w:color w:val="auto"/>
        </w:rPr>
        <w:t>. The Agreement, as amended hereby, is reaffirmed in all respects. For the avoidance of doubt, the Employee agrees that the amendments contained herein do not constitute a “Good Reason”, with or without the giving of notice, under the Agreement. In the event of any conflict between this Amendment and the Agreement, this Amendment shall govern.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line="277" w:lineRule="auto"/>
        <w:rPr>
          <w:sz w:val="20"/>
          <w:szCs w:val="20"/>
          <w:color w:val="auto"/>
        </w:rPr>
      </w:pPr>
      <w:r>
        <w:rPr>
          <w:rFonts w:ascii="Arial" w:cs="Arial" w:eastAsia="Arial" w:hAnsi="Arial"/>
          <w:sz w:val="18"/>
          <w:szCs w:val="18"/>
          <w:color w:val="auto"/>
        </w:rPr>
        <w:t>IN WITNESS WHEREOF, the parties hereto have caused this Amendment to be executed as of April 14, 2020, to be effective as of the Amendment Effective Date.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 Sharon Price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-10160</wp:posOffset>
            </wp:positionV>
            <wp:extent cx="11106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1110615" cy="8255"/>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Sharon Price John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BUILD-A-BEAR WORKSHOP,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 xml:space="preserve">By: /s/ </w:t>
      </w:r>
      <w:r>
        <w:rPr>
          <w:rFonts w:ascii="Arial" w:cs="Arial" w:eastAsia="Arial" w:hAnsi="Arial"/>
          <w:sz w:val="18"/>
          <w:szCs w:val="18"/>
          <w:u w:val="single" w:color="auto"/>
          <w:color w:val="auto"/>
        </w:rPr>
        <w:t>Eric R. Fencl</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Eric R. Fencl</w:t>
      </w:r>
    </w:p>
    <w:p>
      <w:pPr>
        <w:spacing w:after="0" w:line="225" w:lineRule="exact"/>
        <w:rPr>
          <w:sz w:val="20"/>
          <w:szCs w:val="20"/>
          <w:color w:val="auto"/>
        </w:rPr>
      </w:pPr>
    </w:p>
    <w:p>
      <w:pPr>
        <w:ind w:left="5400"/>
        <w:spacing w:after="0"/>
        <w:tabs>
          <w:tab w:leader="none" w:pos="59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Administrative Officer, General Counsel and Secretary</w:t>
      </w:r>
    </w:p>
    <w:p>
      <w:pPr>
        <w:sectPr>
          <w:pgSz w:w="11900" w:h="16838" w:orient="portrait"/>
          <w:cols w:equalWidth="0" w:num="1">
            <w:col w:w="11220"/>
          </w:cols>
          <w:pgMar w:left="320" w:top="584" w:right="35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10.4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AMENDMENT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CONFIDENTIALITY AND NONCOMPETE AGREEMENT</w:t>
      </w:r>
    </w:p>
    <w:p>
      <w:pPr>
        <w:spacing w:after="0" w:line="21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This Amendment to Employment, Confidentiality and Noncompete Agreement (this “Amendment”) is entered into effective as of March 29, 2020 (the “Amendment Effective Date”), by and between Build-A-Bear Workshop, Inc., a Delaware corporation (“Company”), and Jennifer Kretchmar (“Employee”).</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WHEREAS, Company and Employee are party to that certain Employment, Confidentiality and Noncompete Agreement, effective as of March 7, 2016 (the “Agreement”).</w:t>
      </w:r>
    </w:p>
    <w:p>
      <w:pPr>
        <w:spacing w:after="0" w:line="170" w:lineRule="exact"/>
        <w:rPr>
          <w:sz w:val="20"/>
          <w:szCs w:val="20"/>
          <w:color w:val="auto"/>
        </w:rPr>
      </w:pPr>
    </w:p>
    <w:p>
      <w:pPr>
        <w:jc w:val="both"/>
        <w:ind w:firstLine="1296"/>
        <w:spacing w:after="0" w:line="342" w:lineRule="auto"/>
        <w:rPr>
          <w:sz w:val="20"/>
          <w:szCs w:val="20"/>
          <w:color w:val="auto"/>
        </w:rPr>
      </w:pPr>
      <w:r>
        <w:rPr>
          <w:rFonts w:ascii="Arial" w:cs="Arial" w:eastAsia="Arial" w:hAnsi="Arial"/>
          <w:sz w:val="16"/>
          <w:szCs w:val="16"/>
          <w:color w:val="auto"/>
        </w:rPr>
        <w:t>WHEREAS, in response to the potential effect of the COVID-19 pandemic on Company’s revenue, the Company and Employee would like to amend the Agreement to temporarily reduce Employee’s base salary, defer certain bonus payments and to make the other changes discussed herein.</w:t>
      </w:r>
    </w:p>
    <w:p>
      <w:pPr>
        <w:spacing w:after="0" w:line="124" w:lineRule="exact"/>
        <w:rPr>
          <w:sz w:val="20"/>
          <w:szCs w:val="20"/>
          <w:color w:val="auto"/>
        </w:rPr>
      </w:pPr>
    </w:p>
    <w:p>
      <w:pPr>
        <w:jc w:val="both"/>
        <w:ind w:firstLine="1296"/>
        <w:spacing w:after="0" w:line="342" w:lineRule="auto"/>
        <w:rPr>
          <w:sz w:val="20"/>
          <w:szCs w:val="20"/>
          <w:color w:val="auto"/>
        </w:rPr>
      </w:pPr>
      <w:r>
        <w:rPr>
          <w:rFonts w:ascii="Arial" w:cs="Arial" w:eastAsia="Arial" w:hAnsi="Arial"/>
          <w:sz w:val="16"/>
          <w:szCs w:val="16"/>
          <w:color w:val="auto"/>
        </w:rPr>
        <w:t>NOW, THEREFORE, in consideration of the compensation and other benefits of Employee’s employment by Company and the recitals, mutual covenants and agreements set forth herein and in the Agreement, Employee and Company agree to amend the Agreement as follows:</w:t>
      </w:r>
    </w:p>
    <w:p>
      <w:pPr>
        <w:spacing w:after="0" w:line="124" w:lineRule="exact"/>
        <w:rPr>
          <w:sz w:val="20"/>
          <w:szCs w:val="20"/>
          <w:color w:val="auto"/>
        </w:rPr>
      </w:pPr>
    </w:p>
    <w:p>
      <w:pPr>
        <w:ind w:left="1900" w:hanging="353"/>
        <w:spacing w:after="0"/>
        <w:tabs>
          <w:tab w:leader="none" w:pos="1900" w:val="left"/>
        </w:tabs>
        <w:numPr>
          <w:ilvl w:val="1"/>
          <w:numId w:val="24"/>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 The following shall be added as a new Section 3(g) to the end of Section 3 of the Agreement:</w:t>
      </w:r>
    </w:p>
    <w:p>
      <w:pPr>
        <w:spacing w:after="0" w:line="225" w:lineRule="exact"/>
        <w:rPr>
          <w:rFonts w:ascii="Arial" w:cs="Arial" w:eastAsia="Arial" w:hAnsi="Arial"/>
          <w:sz w:val="18"/>
          <w:szCs w:val="18"/>
          <w:u w:val="single" w:color="auto"/>
          <w:color w:val="auto"/>
        </w:rPr>
      </w:pPr>
    </w:p>
    <w:p>
      <w:pPr>
        <w:ind w:left="2380" w:hanging="428"/>
        <w:spacing w:after="0"/>
        <w:tabs>
          <w:tab w:leader="none" w:pos="2380" w:val="left"/>
        </w:tabs>
        <w:numPr>
          <w:ilvl w:val="2"/>
          <w:numId w:val="24"/>
        </w:numPr>
        <w:rPr>
          <w:rFonts w:ascii="Arial" w:cs="Arial" w:eastAsia="Arial" w:hAnsi="Arial"/>
          <w:sz w:val="18"/>
          <w:szCs w:val="18"/>
          <w:color w:val="auto"/>
        </w:rPr>
      </w:pPr>
      <w:r>
        <w:rPr>
          <w:rFonts w:ascii="Arial" w:cs="Arial" w:eastAsia="Arial" w:hAnsi="Arial"/>
          <w:sz w:val="18"/>
          <w:szCs w:val="18"/>
          <w:u w:val="single" w:color="auto"/>
          <w:color w:val="auto"/>
        </w:rPr>
        <w:t>Temporary Amendments to Sections 3(a) and 3(b)</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960" w:firstLine="640"/>
        <w:spacing w:after="0" w:line="269" w:lineRule="auto"/>
        <w:tabs>
          <w:tab w:leader="none" w:pos="2821" w:val="left"/>
        </w:tabs>
        <w:numPr>
          <w:ilvl w:val="3"/>
          <w:numId w:val="24"/>
        </w:numPr>
        <w:rPr>
          <w:rFonts w:ascii="Arial" w:cs="Arial" w:eastAsia="Arial" w:hAnsi="Arial"/>
          <w:sz w:val="17"/>
          <w:szCs w:val="17"/>
          <w:color w:val="auto"/>
        </w:rPr>
      </w:pPr>
      <w:r>
        <w:rPr>
          <w:rFonts w:ascii="Arial" w:cs="Arial" w:eastAsia="Arial" w:hAnsi="Arial"/>
          <w:sz w:val="17"/>
          <w:szCs w:val="17"/>
          <w:color w:val="auto"/>
        </w:rPr>
        <w:t>As of the Amendment Effective Date, Employee’s annual base salary shall be reduced by twenty percent (20%) for the duration of the Reduction Period. “Reduction Period” means the period commencing on the Amendment Effective Date through and including the earliest of (A) December 31, 2020, (B) the date on which the Compensation Committee approves the ending of the Reduction Period, and (C) the date on which the then-current non-executive employees of the Company who were employed by the Company as of March 15, 2020 and whose base salaries were reduced as a result of the COVID-19 pandemic have had their respective annual base salaries returned to at or above their respective annual base salary amounts as of March 15, 2020. Such reduced amounts shall continue to be payable in accordance with Company’s usual practices. Except as explicitly contemplated by this Section 3(g)(i), Employee’s annual base salary rate shall not be subject to decrease at any time during the Employment Period. Employee shall not be entitled to any back-pay or makeup pay as a result of the salary reduction under this Section 3(g)(i) after the end of the Reduction Period.</w:t>
      </w:r>
    </w:p>
    <w:p>
      <w:pPr>
        <w:spacing w:after="0" w:line="185" w:lineRule="exact"/>
        <w:rPr>
          <w:rFonts w:ascii="Arial" w:cs="Arial" w:eastAsia="Arial" w:hAnsi="Arial"/>
          <w:sz w:val="17"/>
          <w:szCs w:val="17"/>
          <w:color w:val="auto"/>
        </w:rPr>
      </w:pPr>
    </w:p>
    <w:p>
      <w:pPr>
        <w:jc w:val="both"/>
        <w:ind w:left="1960" w:firstLine="640"/>
        <w:spacing w:after="0" w:line="284" w:lineRule="auto"/>
        <w:tabs>
          <w:tab w:leader="none" w:pos="2894" w:val="left"/>
        </w:tabs>
        <w:numPr>
          <w:ilvl w:val="3"/>
          <w:numId w:val="24"/>
        </w:numPr>
        <w:rPr>
          <w:rFonts w:ascii="Arial" w:cs="Arial" w:eastAsia="Arial" w:hAnsi="Arial"/>
          <w:sz w:val="16"/>
          <w:szCs w:val="16"/>
          <w:color w:val="auto"/>
        </w:rPr>
      </w:pPr>
      <w:r>
        <w:rPr>
          <w:rFonts w:ascii="Arial" w:cs="Arial" w:eastAsia="Arial" w:hAnsi="Arial"/>
          <w:sz w:val="16"/>
          <w:szCs w:val="16"/>
          <w:color w:val="auto"/>
        </w:rPr>
        <w:t>The Parties agree that bonus amounts owed to Employee for the fiscal year ended February 1, 2020 (the “2019 Bonus”) under this Agreement and pursuant to the Build-A-Bear Workshop, Inc. Fiscal 2019 Bonus Plan shall be paid by Company in a lump sum on December 31, 2020 or, if approved by the Compensation Committee, in one or more installments on or prior to December 31, 2020. In the event of termination of this Agreement prior to payment of Employee’s 2019 Bonus in full because of Employee’s death or disability (as defined by Section 4.1(b)), termination by Company without Cause pursuant to Section 4.1(c) of the Agreement, or pursuant to Employee’s right to terminate the Agreement for Good Reason under Section 4.1(d) of the Agreement, as modified by this Amendment, (1) the 2019 Bonus shall be paid at the time and in the form such bonus would have been paid pursuant to this Amendment had Employee’s employment continued until the payment date and (2) the bonus for the fiscal year in which such termination occurs shall be pro-rated based on the number of full calendar weeks during the applicable fiscal year during which Employee was employed hereunder, based on the bonus amount that Employee would have earned based on actual performance for the fiscal year had Employee’s employment not terminated, and shall be paid at the time and in the form such bonus would have been paid had Employee’s employment continued; provided, however, in the event of termination of this Agreement because of Employee’s termination by Company without Cause pursuant to Section 4.1(c) or pursuant to Employee’s right to terminate this Agreement for Good Reason under Section 4.1(d) and such termination is on the date of a Change in Control or during a period of twenty-four (24) months after a Change in Control, Employee’s target bonus for the fiscal year in which such termination occurs shall be prorated based on the number of full calendar weeks during the applicable fiscal year during which Employee was employed hereunder and shall be paid within thirty (30) days of such termination (subject to any delay in payout required under Section 4.2(b)). Notwithstanding anything herein to the contrary, no bonus (including, without limitation, the 2019 Bonus) shall be payable hereunder in the event that Employee’s employment terminates for any other reason prior to the date on which any bonus is actually paid.</w:t>
      </w:r>
    </w:p>
    <w:p>
      <w:pPr>
        <w:spacing w:after="0" w:line="181" w:lineRule="exact"/>
        <w:rPr>
          <w:rFonts w:ascii="Arial" w:cs="Arial" w:eastAsia="Arial" w:hAnsi="Arial"/>
          <w:sz w:val="16"/>
          <w:szCs w:val="16"/>
          <w:color w:val="auto"/>
        </w:rPr>
      </w:pPr>
    </w:p>
    <w:p>
      <w:pPr>
        <w:jc w:val="both"/>
        <w:ind w:left="1960" w:firstLine="640"/>
        <w:spacing w:after="0" w:line="286" w:lineRule="auto"/>
        <w:tabs>
          <w:tab w:leader="none" w:pos="2948" w:val="left"/>
        </w:tabs>
        <w:numPr>
          <w:ilvl w:val="3"/>
          <w:numId w:val="24"/>
        </w:numPr>
        <w:rPr>
          <w:rFonts w:ascii="Arial" w:cs="Arial" w:eastAsia="Arial" w:hAnsi="Arial"/>
          <w:sz w:val="17"/>
          <w:szCs w:val="17"/>
          <w:color w:val="auto"/>
        </w:rPr>
      </w:pPr>
      <w:r>
        <w:rPr>
          <w:rFonts w:ascii="Arial" w:cs="Arial" w:eastAsia="Arial" w:hAnsi="Arial"/>
          <w:sz w:val="17"/>
          <w:szCs w:val="17"/>
          <w:color w:val="auto"/>
        </w:rPr>
        <w:t>At all times until Employee’s base salary has been returned to at or above Employee’s base salary level as of immediately prior to the Amendment Effective Date and Employee’s 2019 Bonus has been paid in full, this Section 3(g) shall be in lieu of, and not in addition to, any rights and obligations under Section 3(a) and 3(b), as applicable.</w:t>
      </w:r>
    </w:p>
    <w:p>
      <w:pPr>
        <w:spacing w:after="0" w:line="165" w:lineRule="exact"/>
        <w:rPr>
          <w:rFonts w:ascii="Arial" w:cs="Arial" w:eastAsia="Arial" w:hAnsi="Arial"/>
          <w:sz w:val="17"/>
          <w:szCs w:val="17"/>
          <w:color w:val="auto"/>
        </w:rPr>
      </w:pPr>
    </w:p>
    <w:p>
      <w:pPr>
        <w:jc w:val="both"/>
        <w:ind w:firstLine="1304"/>
        <w:spacing w:after="0" w:line="263" w:lineRule="auto"/>
        <w:tabs>
          <w:tab w:leader="none" w:pos="1791"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Affirmation of Agreement</w:t>
      </w:r>
      <w:r>
        <w:rPr>
          <w:rFonts w:ascii="Arial" w:cs="Arial" w:eastAsia="Arial" w:hAnsi="Arial"/>
          <w:sz w:val="18"/>
          <w:szCs w:val="18"/>
          <w:color w:val="auto"/>
        </w:rPr>
        <w:t>. The Agreement, as amended hereby, is reaffirmed in all respects. For the avoidance of doubt, the Employee agrees that the amendments contained herein do not constitute a “Good Reason”, with or without the giving of notice, under the Agreement. In the event of any conflict between this Amendment and the Agreement, this Amendment shall govern.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line="277" w:lineRule="auto"/>
        <w:rPr>
          <w:sz w:val="20"/>
          <w:szCs w:val="20"/>
          <w:color w:val="auto"/>
        </w:rPr>
      </w:pPr>
      <w:r>
        <w:rPr>
          <w:rFonts w:ascii="Arial" w:cs="Arial" w:eastAsia="Arial" w:hAnsi="Arial"/>
          <w:sz w:val="18"/>
          <w:szCs w:val="18"/>
          <w:color w:val="auto"/>
        </w:rPr>
        <w:t>IN WITNESS WHEREOF, the parties hereto have caused this Amendment to be executed as of April 14, 2020, to be effective as of the Amendment Effective Date.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 Jennifer Kretchmar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-10160</wp:posOffset>
            </wp:positionV>
            <wp:extent cx="116395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1163955" cy="8255"/>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Jennifer Kretchmar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BUILD-A-BEAR WORKSHOP,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Sharon Price John</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Sharon Price John</w:t>
      </w:r>
    </w:p>
    <w:p>
      <w:pPr>
        <w:spacing w:after="0" w:line="225" w:lineRule="exact"/>
        <w:rPr>
          <w:sz w:val="20"/>
          <w:szCs w:val="20"/>
          <w:color w:val="auto"/>
        </w:rPr>
      </w:pPr>
    </w:p>
    <w:p>
      <w:pPr>
        <w:jc w:val="center"/>
        <w:ind w:left="3780"/>
        <w:spacing w:after="0"/>
        <w:tabs>
          <w:tab w:leader="none" w:pos="200" w:val="left"/>
        </w:tabs>
        <w:rPr>
          <w:sz w:val="20"/>
          <w:szCs w:val="20"/>
          <w:color w:val="auto"/>
        </w:rPr>
      </w:pPr>
      <w:r>
        <w:rPr>
          <w:rFonts w:ascii="Arial" w:cs="Arial" w:eastAsia="Arial" w:hAnsi="Arial"/>
          <w:sz w:val="18"/>
          <w:szCs w:val="18"/>
          <w:color w:val="auto"/>
        </w:rPr>
        <w:t>Title:</w:t>
        <w:tab/>
        <w:t>President and Chief Executive Officer</w:t>
      </w:r>
    </w:p>
    <w:p>
      <w:pPr>
        <w:sectPr>
          <w:pgSz w:w="11900" w:h="16838" w:orient="portrait"/>
          <w:cols w:equalWidth="0" w:num="1">
            <w:col w:w="11220"/>
          </w:cols>
          <w:pgMar w:left="320" w:top="584" w:right="35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10.5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AMENDMENT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CONFIDENTIALITY AND NONCOMPETE AGREEMENT</w:t>
      </w:r>
    </w:p>
    <w:p>
      <w:pPr>
        <w:spacing w:after="0" w:line="21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This Amendment to Employment, Confidentiality and Noncompete Agreement (this “Amendment”) is entered into effective as of March 29, 2020 (the “Amendment Effective Date”), by and between Build-A-Bear Workshop, Inc., a Delaware corporation (“Company”), and Vojin Todorovic (“Employee”).</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WHEREAS, Company and Employee are party to that certain Employment, Confidentiality and Noncompete Agreement, effective as of March 7, 2020 (the “Agreement”).</w:t>
      </w:r>
    </w:p>
    <w:p>
      <w:pPr>
        <w:spacing w:after="0" w:line="170" w:lineRule="exact"/>
        <w:rPr>
          <w:sz w:val="20"/>
          <w:szCs w:val="20"/>
          <w:color w:val="auto"/>
        </w:rPr>
      </w:pPr>
    </w:p>
    <w:p>
      <w:pPr>
        <w:jc w:val="both"/>
        <w:ind w:firstLine="1296"/>
        <w:spacing w:after="0" w:line="342" w:lineRule="auto"/>
        <w:rPr>
          <w:sz w:val="20"/>
          <w:szCs w:val="20"/>
          <w:color w:val="auto"/>
        </w:rPr>
      </w:pPr>
      <w:r>
        <w:rPr>
          <w:rFonts w:ascii="Arial" w:cs="Arial" w:eastAsia="Arial" w:hAnsi="Arial"/>
          <w:sz w:val="16"/>
          <w:szCs w:val="16"/>
          <w:color w:val="auto"/>
        </w:rPr>
        <w:t>WHEREAS, in response to the potential effect of the COVID-19 pandemic on Company’s revenue, the Company and Employee would like to amend the Agreement to temporarily reduce Employee’s base salary, defer certain bonus payments and to make the other changes discussed herein.</w:t>
      </w:r>
    </w:p>
    <w:p>
      <w:pPr>
        <w:spacing w:after="0" w:line="124" w:lineRule="exact"/>
        <w:rPr>
          <w:sz w:val="20"/>
          <w:szCs w:val="20"/>
          <w:color w:val="auto"/>
        </w:rPr>
      </w:pPr>
    </w:p>
    <w:p>
      <w:pPr>
        <w:jc w:val="both"/>
        <w:ind w:firstLine="1296"/>
        <w:spacing w:after="0" w:line="342" w:lineRule="auto"/>
        <w:rPr>
          <w:sz w:val="20"/>
          <w:szCs w:val="20"/>
          <w:color w:val="auto"/>
        </w:rPr>
      </w:pPr>
      <w:r>
        <w:rPr>
          <w:rFonts w:ascii="Arial" w:cs="Arial" w:eastAsia="Arial" w:hAnsi="Arial"/>
          <w:sz w:val="16"/>
          <w:szCs w:val="16"/>
          <w:color w:val="auto"/>
        </w:rPr>
        <w:t>NOW, THEREFORE, in consideration of the compensation and other benefits of Employee’s employment by Company and the recitals, mutual covenants and agreements set forth herein and in the Agreement, Employee and Company agree to amend the Agreement as follows:</w:t>
      </w:r>
    </w:p>
    <w:p>
      <w:pPr>
        <w:spacing w:after="0" w:line="124" w:lineRule="exact"/>
        <w:rPr>
          <w:sz w:val="20"/>
          <w:szCs w:val="20"/>
          <w:color w:val="auto"/>
        </w:rPr>
      </w:pPr>
    </w:p>
    <w:p>
      <w:pPr>
        <w:ind w:left="1900" w:hanging="353"/>
        <w:spacing w:after="0"/>
        <w:tabs>
          <w:tab w:leader="none" w:pos="1900" w:val="left"/>
        </w:tabs>
        <w:numPr>
          <w:ilvl w:val="1"/>
          <w:numId w:val="26"/>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 The following shall be added as a new Section 3(g) to the end of Section 3 of the Agreement:</w:t>
      </w:r>
    </w:p>
    <w:p>
      <w:pPr>
        <w:spacing w:after="0" w:line="225" w:lineRule="exact"/>
        <w:rPr>
          <w:rFonts w:ascii="Arial" w:cs="Arial" w:eastAsia="Arial" w:hAnsi="Arial"/>
          <w:sz w:val="18"/>
          <w:szCs w:val="18"/>
          <w:u w:val="single" w:color="auto"/>
          <w:color w:val="auto"/>
        </w:rPr>
      </w:pPr>
    </w:p>
    <w:p>
      <w:pPr>
        <w:ind w:left="2380" w:hanging="428"/>
        <w:spacing w:after="0"/>
        <w:tabs>
          <w:tab w:leader="none" w:pos="2380" w:val="left"/>
        </w:tabs>
        <w:numPr>
          <w:ilvl w:val="2"/>
          <w:numId w:val="26"/>
        </w:numPr>
        <w:rPr>
          <w:rFonts w:ascii="Arial" w:cs="Arial" w:eastAsia="Arial" w:hAnsi="Arial"/>
          <w:sz w:val="18"/>
          <w:szCs w:val="18"/>
          <w:color w:val="auto"/>
        </w:rPr>
      </w:pPr>
      <w:r>
        <w:rPr>
          <w:rFonts w:ascii="Arial" w:cs="Arial" w:eastAsia="Arial" w:hAnsi="Arial"/>
          <w:sz w:val="18"/>
          <w:szCs w:val="18"/>
          <w:u w:val="single" w:color="auto"/>
          <w:color w:val="auto"/>
        </w:rPr>
        <w:t>Temporary Amendments to Sections 3(a) and 3(b)</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960" w:firstLine="640"/>
        <w:spacing w:after="0" w:line="269" w:lineRule="auto"/>
        <w:tabs>
          <w:tab w:leader="none" w:pos="2821" w:val="left"/>
        </w:tabs>
        <w:numPr>
          <w:ilvl w:val="3"/>
          <w:numId w:val="26"/>
        </w:numPr>
        <w:rPr>
          <w:rFonts w:ascii="Arial" w:cs="Arial" w:eastAsia="Arial" w:hAnsi="Arial"/>
          <w:sz w:val="17"/>
          <w:szCs w:val="17"/>
          <w:color w:val="auto"/>
        </w:rPr>
      </w:pPr>
      <w:r>
        <w:rPr>
          <w:rFonts w:ascii="Arial" w:cs="Arial" w:eastAsia="Arial" w:hAnsi="Arial"/>
          <w:sz w:val="17"/>
          <w:szCs w:val="17"/>
          <w:color w:val="auto"/>
        </w:rPr>
        <w:t>As of the Amendment Effective Date, Employee’s annual base salary shall be reduced by twenty percent (20%) for the duration of the Reduction Period. “Reduction Period” means the period commencing on the Amendment Effective Date through and including the earliest of (A) December 31, 2020, (B) the date on which the Compensation Committee approves the ending of the Reduction Period, and (C) the date on which the then-current non-executive employees of the Company who were employed by the Company as of March 15, 2020 and whose base salaries were reduced as a result of the COVID-19 pandemic have had their respective annual base salaries returned to at or above their respective annual base salary amounts as of March 15, 2020. Such reduced amounts shall continue to be payable in accordance with Company’s usual practices. Except as explicitly contemplated by this Section 3(g)(i), Employee’s annual base salary rate shall not be subject to decrease at any time during the Employment Period. Employee shall not be entitled to any back-pay or makeup pay as a result of the salary reduction under this Section 3(g)(i) after the end of the Reduction Period.</w:t>
      </w:r>
    </w:p>
    <w:p>
      <w:pPr>
        <w:spacing w:after="0" w:line="185" w:lineRule="exact"/>
        <w:rPr>
          <w:rFonts w:ascii="Arial" w:cs="Arial" w:eastAsia="Arial" w:hAnsi="Arial"/>
          <w:sz w:val="17"/>
          <w:szCs w:val="17"/>
          <w:color w:val="auto"/>
        </w:rPr>
      </w:pPr>
    </w:p>
    <w:p>
      <w:pPr>
        <w:jc w:val="both"/>
        <w:ind w:left="1960" w:firstLine="640"/>
        <w:spacing w:after="0" w:line="284" w:lineRule="auto"/>
        <w:tabs>
          <w:tab w:leader="none" w:pos="2894" w:val="left"/>
        </w:tabs>
        <w:numPr>
          <w:ilvl w:val="3"/>
          <w:numId w:val="26"/>
        </w:numPr>
        <w:rPr>
          <w:rFonts w:ascii="Arial" w:cs="Arial" w:eastAsia="Arial" w:hAnsi="Arial"/>
          <w:sz w:val="16"/>
          <w:szCs w:val="16"/>
          <w:color w:val="auto"/>
        </w:rPr>
      </w:pPr>
      <w:r>
        <w:rPr>
          <w:rFonts w:ascii="Arial" w:cs="Arial" w:eastAsia="Arial" w:hAnsi="Arial"/>
          <w:sz w:val="16"/>
          <w:szCs w:val="16"/>
          <w:color w:val="auto"/>
        </w:rPr>
        <w:t>The Parties agree that bonus amounts owed to Employee for the fiscal year ended February 1, 2020 (the “2019 Bonus”) under this Agreement and pursuant to the Build-A-Bear Workshop, Inc. Fiscal 2019 Bonus Plan shall be paid by Company in a lump sum on December 31, 2020 or, if approved by the Compensation Committee, in one or more installments on or prior to December 31, 2020. In the event of termination of this Agreement prior to payment of Employee’s 2019 Bonus in full because of Employee’s death or disability (as defined by Section 4.1(b)), termination by Company without Cause pursuant to Section 4.1(c) of the Agreement, or pursuant to Employee’s right to terminate the Agreement for Good Reason under Section 4.1(d) of the Agreement, as modified by this Amendment, (1) the 2019 Bonus shall be paid at the time and in the form such bonus would have been paid pursuant to this Amendment had Employee’s employment continued until the payment date and (2) the bonus for the fiscal year in which such termination occurs shall be pro-rated based on the number of full calendar weeks during the applicable fiscal year during which Employee was employed hereunder, based on the bonus amount that Employee would have earned based on actual performance for the fiscal year had Employee’s employment not terminated, and shall be paid at the time and in the form such bonus would have been paid had Employee’s employment continued; provided, however, in the event of termination of this Agreement because of Employee’s termination by Company without Cause pursuant to Section 4.1(c) or pursuant to Employee’s right to terminate this Agreement for Good Reason under Section 4.1(d) and such termination is on the date of a Change in Control or during a period of twenty-four (24) months after a Change in Control, Employee’s target bonus for the fiscal year in which such termination occurs shall be prorated based on the number of full calendar weeks during the applicable fiscal year during which Employee was employed hereunder and shall be paid within thirty (30) days of such termination (subject to any delay in payout required under Section 4.2(b)). Notwithstanding anything herein to the contrary, no bonus (including, without limitation, the 2019 Bonus) shall be payable hereunder in the event that Employee’s employment terminates for any other reason prior to the date on which any bonus is actually paid.</w:t>
      </w:r>
    </w:p>
    <w:p>
      <w:pPr>
        <w:spacing w:after="0" w:line="181" w:lineRule="exact"/>
        <w:rPr>
          <w:rFonts w:ascii="Arial" w:cs="Arial" w:eastAsia="Arial" w:hAnsi="Arial"/>
          <w:sz w:val="16"/>
          <w:szCs w:val="16"/>
          <w:color w:val="auto"/>
        </w:rPr>
      </w:pPr>
    </w:p>
    <w:p>
      <w:pPr>
        <w:jc w:val="both"/>
        <w:ind w:left="1960" w:firstLine="640"/>
        <w:spacing w:after="0" w:line="286" w:lineRule="auto"/>
        <w:tabs>
          <w:tab w:leader="none" w:pos="2948" w:val="left"/>
        </w:tabs>
        <w:numPr>
          <w:ilvl w:val="3"/>
          <w:numId w:val="26"/>
        </w:numPr>
        <w:rPr>
          <w:rFonts w:ascii="Arial" w:cs="Arial" w:eastAsia="Arial" w:hAnsi="Arial"/>
          <w:sz w:val="17"/>
          <w:szCs w:val="17"/>
          <w:color w:val="auto"/>
        </w:rPr>
      </w:pPr>
      <w:r>
        <w:rPr>
          <w:rFonts w:ascii="Arial" w:cs="Arial" w:eastAsia="Arial" w:hAnsi="Arial"/>
          <w:sz w:val="17"/>
          <w:szCs w:val="17"/>
          <w:color w:val="auto"/>
        </w:rPr>
        <w:t>At all times until Employee’s base salary has been returned to at or above Employee’s base salary level as of immediately prior to the Amendment Effective Date and Employee’s 2019 Bonus has been paid in full, this Section 3(g) shall be in lieu of, and not in addition to, any rights and obligations under Section 3(a) and 3(b), as applicable.</w:t>
      </w:r>
    </w:p>
    <w:p>
      <w:pPr>
        <w:spacing w:after="0" w:line="165" w:lineRule="exact"/>
        <w:rPr>
          <w:rFonts w:ascii="Arial" w:cs="Arial" w:eastAsia="Arial" w:hAnsi="Arial"/>
          <w:sz w:val="17"/>
          <w:szCs w:val="17"/>
          <w:color w:val="auto"/>
        </w:rPr>
      </w:pPr>
    </w:p>
    <w:p>
      <w:pPr>
        <w:jc w:val="both"/>
        <w:ind w:firstLine="1304"/>
        <w:spacing w:after="0" w:line="263" w:lineRule="auto"/>
        <w:tabs>
          <w:tab w:leader="none" w:pos="1791"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Affirmation of Agreement</w:t>
      </w:r>
      <w:r>
        <w:rPr>
          <w:rFonts w:ascii="Arial" w:cs="Arial" w:eastAsia="Arial" w:hAnsi="Arial"/>
          <w:sz w:val="18"/>
          <w:szCs w:val="18"/>
          <w:color w:val="auto"/>
        </w:rPr>
        <w:t>. The Agreement, as amended hereby, is reaffirmed in all respects. For the avoidance of doubt, the Employee agrees that the amendments contained herein do not constitute a “Good Reason”, with or without the giving of notice, under the Agreement. In the event of any conflict between this Amendment and the Agreement, this Amendment shall govern.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line="277" w:lineRule="auto"/>
        <w:rPr>
          <w:sz w:val="20"/>
          <w:szCs w:val="20"/>
          <w:color w:val="auto"/>
        </w:rPr>
      </w:pPr>
      <w:r>
        <w:rPr>
          <w:rFonts w:ascii="Arial" w:cs="Arial" w:eastAsia="Arial" w:hAnsi="Arial"/>
          <w:sz w:val="18"/>
          <w:szCs w:val="18"/>
          <w:color w:val="auto"/>
        </w:rPr>
        <w:t>IN WITNESS WHEREOF, the parties hereto have caused this Amendment to be executed as of April 14, 2020, to be effective as of the Amendment Effective Date.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 Vojin Todorovic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-10160</wp:posOffset>
            </wp:positionV>
            <wp:extent cx="10210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102108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Vojin Todorovic</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BUILD-A-BEAR WORKSHOP,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Sharon Price John</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Sharon Price John</w:t>
      </w:r>
    </w:p>
    <w:p>
      <w:pPr>
        <w:spacing w:after="0" w:line="225" w:lineRule="exact"/>
        <w:rPr>
          <w:sz w:val="20"/>
          <w:szCs w:val="20"/>
          <w:color w:val="auto"/>
        </w:rPr>
      </w:pPr>
    </w:p>
    <w:p>
      <w:pPr>
        <w:jc w:val="center"/>
        <w:ind w:left="3780"/>
        <w:spacing w:after="0"/>
        <w:tabs>
          <w:tab w:leader="none" w:pos="200" w:val="left"/>
        </w:tabs>
        <w:rPr>
          <w:sz w:val="20"/>
          <w:szCs w:val="20"/>
          <w:color w:val="auto"/>
        </w:rPr>
      </w:pPr>
      <w:r>
        <w:rPr>
          <w:rFonts w:ascii="Arial" w:cs="Arial" w:eastAsia="Arial" w:hAnsi="Arial"/>
          <w:sz w:val="18"/>
          <w:szCs w:val="18"/>
          <w:color w:val="auto"/>
        </w:rPr>
        <w:t>Title:</w:t>
        <w:tab/>
        <w:t>President and Chief Executive Officer</w:t>
      </w:r>
    </w:p>
    <w:p>
      <w:pPr>
        <w:sectPr>
          <w:pgSz w:w="11900" w:h="16838" w:orient="portrait"/>
          <w:cols w:equalWidth="0" w:num="1">
            <w:col w:w="11220"/>
          </w:cols>
          <w:pgMar w:left="320" w:top="584" w:right="35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RULE 13a-14(a)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Sharon John, certify that:</w:t>
      </w:r>
    </w:p>
    <w:p>
      <w:pPr>
        <w:spacing w:after="0" w:line="225" w:lineRule="exact"/>
        <w:rPr>
          <w:sz w:val="20"/>
          <w:szCs w:val="20"/>
          <w:color w:val="auto"/>
        </w:rPr>
      </w:pPr>
    </w:p>
    <w:p>
      <w:pPr>
        <w:ind w:left="760" w:hanging="374"/>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Build-A-Bear Workshop, Inc.;</w:t>
      </w:r>
    </w:p>
    <w:p>
      <w:pPr>
        <w:spacing w:after="0" w:line="225" w:lineRule="exact"/>
        <w:rPr>
          <w:rFonts w:ascii="Arial" w:cs="Arial" w:eastAsia="Arial" w:hAnsi="Arial"/>
          <w:sz w:val="18"/>
          <w:szCs w:val="18"/>
          <w:color w:val="auto"/>
        </w:rPr>
      </w:pPr>
    </w:p>
    <w:p>
      <w:pPr>
        <w:jc w:val="both"/>
        <w:ind w:left="760" w:right="20" w:hanging="374"/>
        <w:spacing w:after="0" w:line="263"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760" w:right="260" w:hanging="374"/>
        <w:spacing w:after="0" w:line="308" w:lineRule="auto"/>
        <w:tabs>
          <w:tab w:leader="none" w:pos="7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760" w:right="20" w:hanging="374"/>
        <w:spacing w:after="0" w:line="263"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140" w:right="80" w:hanging="376"/>
        <w:spacing w:after="0" w:line="263" w:lineRule="auto"/>
        <w:tabs>
          <w:tab w:leader="none" w:pos="11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140" w:right="200" w:hanging="376"/>
        <w:spacing w:after="0" w:line="263" w:lineRule="auto"/>
        <w:tabs>
          <w:tab w:leader="none" w:pos="11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140" w:right="380" w:hanging="376"/>
        <w:spacing w:after="0" w:line="342" w:lineRule="auto"/>
        <w:tabs>
          <w:tab w:leader="none" w:pos="114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140" w:right="80" w:hanging="376"/>
        <w:spacing w:after="0" w:line="263" w:lineRule="auto"/>
        <w:tabs>
          <w:tab w:leader="none" w:pos="11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760" w:right="180" w:hanging="374"/>
        <w:spacing w:after="0" w:line="342" w:lineRule="auto"/>
        <w:tabs>
          <w:tab w:leader="none" w:pos="7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680" w:right="80" w:hanging="498"/>
        <w:spacing w:after="0" w:line="342" w:lineRule="auto"/>
        <w:tabs>
          <w:tab w:leader="none" w:pos="1680" w:val="left"/>
        </w:tabs>
        <w:numPr>
          <w:ilvl w:val="2"/>
          <w:numId w:val="2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680" w:right="360" w:hanging="498"/>
        <w:spacing w:after="0" w:line="277" w:lineRule="auto"/>
        <w:tabs>
          <w:tab w:leader="none" w:pos="1680" w:val="left"/>
        </w:tabs>
        <w:numPr>
          <w:ilvl w:val="2"/>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Sharon John</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Build-A-Bear Workshop, Inc.</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June 11, 2020</w:t>
      </w:r>
    </w:p>
    <w:p>
      <w:pPr>
        <w:sectPr>
          <w:pgSz w:w="11900" w:h="16838" w:orient="portrait"/>
          <w:cols w:equalWidth="0" w:num="1">
            <w:col w:w="11240"/>
          </w:cols>
          <w:pgMar w:left="320" w:top="121"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RULE 13a-14(a)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Voin Todorovic, certify that:</w:t>
      </w:r>
    </w:p>
    <w:p>
      <w:pPr>
        <w:spacing w:after="0" w:line="225" w:lineRule="exact"/>
        <w:rPr>
          <w:sz w:val="20"/>
          <w:szCs w:val="20"/>
          <w:color w:val="auto"/>
        </w:rPr>
      </w:pPr>
    </w:p>
    <w:p>
      <w:pPr>
        <w:ind w:left="760" w:hanging="374"/>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Build-A-Bear Workshop, Inc.;</w:t>
      </w:r>
    </w:p>
    <w:p>
      <w:pPr>
        <w:spacing w:after="0" w:line="225" w:lineRule="exact"/>
        <w:rPr>
          <w:rFonts w:ascii="Arial" w:cs="Arial" w:eastAsia="Arial" w:hAnsi="Arial"/>
          <w:sz w:val="18"/>
          <w:szCs w:val="18"/>
          <w:color w:val="auto"/>
        </w:rPr>
      </w:pPr>
    </w:p>
    <w:p>
      <w:pPr>
        <w:jc w:val="both"/>
        <w:ind w:left="760" w:right="20" w:hanging="374"/>
        <w:spacing w:after="0" w:line="263" w:lineRule="auto"/>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760" w:right="260" w:hanging="374"/>
        <w:spacing w:after="0" w:line="308" w:lineRule="auto"/>
        <w:tabs>
          <w:tab w:leader="none" w:pos="7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760" w:right="20" w:hanging="374"/>
        <w:spacing w:after="0" w:line="263" w:lineRule="auto"/>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140" w:right="80" w:hanging="376"/>
        <w:spacing w:after="0" w:line="263" w:lineRule="auto"/>
        <w:tabs>
          <w:tab w:leader="none" w:pos="11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140" w:right="200" w:hanging="376"/>
        <w:spacing w:after="0" w:line="263" w:lineRule="auto"/>
        <w:tabs>
          <w:tab w:leader="none" w:pos="11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140" w:right="380" w:hanging="376"/>
        <w:spacing w:after="0" w:line="342" w:lineRule="auto"/>
        <w:tabs>
          <w:tab w:leader="none" w:pos="1140"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140" w:right="80" w:hanging="376"/>
        <w:spacing w:after="0" w:line="263" w:lineRule="auto"/>
        <w:tabs>
          <w:tab w:leader="none" w:pos="11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760" w:right="180" w:hanging="374"/>
        <w:spacing w:after="0" w:line="342" w:lineRule="auto"/>
        <w:tabs>
          <w:tab w:leader="none" w:pos="7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140" w:right="620" w:hanging="376"/>
        <w:spacing w:after="0" w:line="342" w:lineRule="auto"/>
        <w:tabs>
          <w:tab w:leader="none" w:pos="1140" w:val="left"/>
        </w:tabs>
        <w:numPr>
          <w:ilvl w:val="1"/>
          <w:numId w:val="2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40" w:right="300" w:hanging="376"/>
        <w:spacing w:after="0" w:line="277" w:lineRule="auto"/>
        <w:tabs>
          <w:tab w:leader="none" w:pos="11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Voin Todorovic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Voin Todorovic</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Build-A-Bear Workshop, Inc.</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June 11, 2020</w:t>
      </w:r>
    </w:p>
    <w:p>
      <w:pPr>
        <w:sectPr>
          <w:pgSz w:w="11900" w:h="16838" w:orient="portrait"/>
          <w:cols w:equalWidth="0" w:num="1">
            <w:col w:w="11240"/>
          </w:cols>
          <w:pgMar w:left="320" w:top="121"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connection with the quarterly report of Build-A-Bear Workshop, Inc. (the “Company”) on Form 10-Q for the period ended May 2, 2020 filed with the Securities and Exchange Commission on the date hereof (the “Report”), I, Sharon John, President and Chief Executive Officer of the Company, certify, to the best of my knowledge, pursuant to Rule 13a-14(b) and Section 1350 of Chapter 63 of Title 18 of the United States Code, as adopted pursuant to Section 906 of the Sarbanes-Oxley Act of 2002, that:</w:t>
      </w:r>
    </w:p>
    <w:p>
      <w:pPr>
        <w:spacing w:after="0" w:line="187" w:lineRule="exact"/>
        <w:rPr>
          <w:sz w:val="20"/>
          <w:szCs w:val="20"/>
          <w:color w:val="auto"/>
        </w:rPr>
      </w:pPr>
    </w:p>
    <w:p>
      <w:pPr>
        <w:ind w:left="920" w:hanging="264"/>
        <w:spacing w:after="0"/>
        <w:tabs>
          <w:tab w:leader="none" w:pos="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00" w:lineRule="exact"/>
        <w:rPr>
          <w:sz w:val="20"/>
          <w:szCs w:val="20"/>
          <w:color w:val="auto"/>
        </w:rPr>
      </w:pPr>
    </w:p>
    <w:p>
      <w:pPr>
        <w:spacing w:after="0" w:line="22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Sharon John</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Build-A-Bear Workshop, Inc.</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June 11, 2020</w:t>
      </w:r>
    </w:p>
    <w:p>
      <w:pPr>
        <w:sectPr>
          <w:pgSz w:w="11900" w:h="16838" w:orient="portrait"/>
          <w:cols w:equalWidth="0" w:num="1">
            <w:col w:w="11240"/>
          </w:cols>
          <w:pgMar w:left="320" w:top="121"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the quarterly report of Build-A-Bear Workshop, Inc. (the “Company”) on Form 10-Q for the period ended May 2, 2020 as filed with the Securities and Exchange Commission on the date hereof (the “Report”), I, Voin Todorovic, Chief Financial Officer of the Company, certify, to the best of my knowledge, pursuant to Rule 13a-14(b) and Section 1350 of Chapter 63 of Title 18 of the United States Code, as adopted pursuant to Section 906 of the Sarbanes-Oxley Act of 2002, that:</w:t>
      </w:r>
    </w:p>
    <w:p>
      <w:pPr>
        <w:spacing w:after="0" w:line="187" w:lineRule="exact"/>
        <w:rPr>
          <w:sz w:val="20"/>
          <w:szCs w:val="20"/>
          <w:color w:val="auto"/>
        </w:rPr>
      </w:pPr>
    </w:p>
    <w:p>
      <w:pPr>
        <w:ind w:left="920" w:hanging="264"/>
        <w:spacing w:after="0"/>
        <w:tabs>
          <w:tab w:leader="none" w:pos="9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00" w:lineRule="exact"/>
        <w:rPr>
          <w:sz w:val="20"/>
          <w:szCs w:val="20"/>
          <w:color w:val="auto"/>
        </w:rPr>
      </w:pPr>
    </w:p>
    <w:p>
      <w:pPr>
        <w:spacing w:after="0" w:line="22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Voin Todorovic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Voin Todorovic</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Build-A-Bear Workshop, Inc</w:t>
      </w:r>
      <w:r>
        <w:rPr>
          <w:rFonts w:ascii="Arial" w:cs="Arial" w:eastAsia="Arial" w:hAnsi="Arial"/>
          <w:sz w:val="18"/>
          <w:szCs w:val="18"/>
          <w:i w:val="1"/>
          <w:iCs w:val="1"/>
          <w:color w:val="auto"/>
        </w:rPr>
        <w:t>.</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June 11, 2020</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lvl w:ilvl="1">
      <w:lvlJc w:val="left"/>
      <w:lvlText w:val="•"/>
      <w:numFmt w:val="bullet"/>
      <w:start w:val="1"/>
    </w:lvl>
  </w:abstractNum>
  <w:abstractNum w:abstractNumId="3">
    <w:nsid w:val="519B500D"/>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4">
    <w:nsid w:val="431BD7B7"/>
    <w:multiLevelType w:val="hybridMultilevel"/>
    <w:lvl w:ilvl="0">
      <w:lvlJc w:val="left"/>
      <w:lvlText w:val="%1"/>
      <w:numFmt w:val="decimal"/>
      <w:start w:val="1"/>
    </w:lvl>
    <w:lvl w:ilvl="1">
      <w:lvlJc w:val="left"/>
      <w:lvlText w:val="(%2)"/>
      <w:numFmt w:val="decimal"/>
      <w:start w:val="1"/>
    </w:lvl>
  </w:abstractNum>
  <w:abstractNum w:abstractNumId="5">
    <w:nsid w:val="3F2DBA31"/>
    <w:multiLevelType w:val="hybridMultilevel"/>
    <w:lvl w:ilvl="0">
      <w:lvlJc w:val="left"/>
      <w:lvlText w:val="%1."/>
      <w:numFmt w:val="decimal"/>
      <w:start w:val="5"/>
    </w:lvl>
    <w:lvl w:ilvl="1">
      <w:lvlJc w:val="left"/>
      <w:lvlText w:val="%2"/>
      <w:numFmt w:val="decimal"/>
      <w:start w:val="1"/>
    </w:lvl>
  </w:abstractNum>
  <w:abstractNum w:abstractNumId="6">
    <w:nsid w:val="7C83E458"/>
    <w:multiLevelType w:val="hybridMultilevel"/>
    <w:lvl w:ilvl="0">
      <w:lvlJc w:val="left"/>
      <w:lvlText w:val="%1"/>
      <w:numFmt w:val="decimal"/>
      <w:start w:val="1"/>
    </w:lvl>
    <w:lvl w:ilvl="1">
      <w:lvlJc w:val="left"/>
      <w:lvlText w:val="(%2)"/>
      <w:numFmt w:val="decimal"/>
      <w:start w:val="1"/>
    </w:lvl>
  </w:abstractNum>
  <w:abstractNum w:abstractNumId="7">
    <w:nsid w:val="257130A3"/>
    <w:multiLevelType w:val="hybridMultilevel"/>
    <w:lvl w:ilvl="0">
      <w:lvlJc w:val="left"/>
      <w:lvlText w:val="%1."/>
      <w:numFmt w:val="decimal"/>
      <w:start w:val="6"/>
    </w:lvl>
    <w:lvl w:ilvl="1">
      <w:lvlJc w:val="left"/>
      <w:lvlText w:val="%2"/>
      <w:numFmt w:val="decimal"/>
      <w:start w:val="1"/>
    </w:lvl>
  </w:abstractNum>
  <w:abstractNum w:abstractNumId="8">
    <w:nsid w:val="62BBD95A"/>
    <w:multiLevelType w:val="hybridMultilevel"/>
    <w:lvl w:ilvl="0">
      <w:lvlJc w:val="left"/>
      <w:lvlText w:val="(%1)"/>
      <w:numFmt w:val="decimal"/>
      <w:start w:val="1"/>
    </w:lvl>
  </w:abstractNum>
  <w:abstractNum w:abstractNumId="9">
    <w:nsid w:val="436C6125"/>
    <w:multiLevelType w:val="hybridMultilevel"/>
    <w:lvl w:ilvl="0">
      <w:lvlJc w:val="left"/>
      <w:lvlText w:val="(%1)"/>
      <w:numFmt w:val="decimal"/>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lvl w:ilvl="1">
      <w:lvlJc w:val="left"/>
      <w:lvlText w:val="•"/>
      <w:numFmt w:val="bullet"/>
      <w:start w:val="1"/>
    </w:lvl>
  </w:abstractNum>
  <w:abstractNum w:abstractNumId="14">
    <w:nsid w:val="2D1D5AE9"/>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5">
    <w:nsid w:val="6763845E"/>
    <w:multiLevelType w:val="hybridMultilevel"/>
    <w:lvl w:ilvl="0">
      <w:lvlJc w:val="left"/>
      <w:lvlText w:val="(%1)"/>
      <w:numFmt w:val="decimal"/>
      <w:start w:val="1"/>
    </w:lvl>
  </w:abstractNum>
  <w:abstractNum w:abstractNumId="16">
    <w:nsid w:val="75A2A8D4"/>
    <w:multiLevelType w:val="hybridMultilevel"/>
    <w:lvl w:ilvl="0">
      <w:lvlJc w:val="left"/>
      <w:lvlText w:val="(%1)"/>
      <w:numFmt w:val="decimal"/>
      <w:start w:val="1"/>
    </w:lvl>
  </w:abstractNum>
  <w:abstractNum w:abstractNumId="17">
    <w:nsid w:val="8EDBDAB"/>
    <w:multiLevelType w:val="hybridMultilevel"/>
    <w:lvl w:ilvl="0">
      <w:lvlJc w:val="left"/>
      <w:lvlText w:val="%1"/>
      <w:numFmt w:val="decimal"/>
      <w:start w:val="1"/>
    </w:lvl>
    <w:lvl w:ilvl="1">
      <w:lvlJc w:val="left"/>
      <w:lvlText w:val="%2."/>
      <w:numFmt w:val="decimal"/>
      <w:start w:val="1"/>
    </w:lvl>
    <w:lvl w:ilvl="2">
      <w:lvlJc w:val="left"/>
      <w:lvlText w:val="(%3)"/>
      <w:numFmt w:val="lowerLetter"/>
      <w:start w:val="7"/>
    </w:lvl>
    <w:lvl w:ilvl="3">
      <w:lvlJc w:val="left"/>
      <w:lvlText w:val="(%4)"/>
      <w:numFmt w:val="lowerRoman"/>
      <w:start w:val="1"/>
    </w:lvl>
  </w:abstractNum>
  <w:abstractNum w:abstractNumId="18">
    <w:nsid w:val="79838CB2"/>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19">
    <w:nsid w:val="4353D0CD"/>
    <w:multiLevelType w:val="hybridMultilevel"/>
    <w:lvl w:ilvl="0">
      <w:lvlJc w:val="left"/>
      <w:lvlText w:val="%1"/>
      <w:numFmt w:val="decimal"/>
      <w:start w:val="1"/>
    </w:lvl>
    <w:lvl w:ilvl="1">
      <w:lvlJc w:val="left"/>
      <w:lvlText w:val="%2."/>
      <w:numFmt w:val="decimal"/>
      <w:start w:val="1"/>
    </w:lvl>
    <w:lvl w:ilvl="2">
      <w:lvlJc w:val="left"/>
      <w:lvlText w:val="(%3)"/>
      <w:numFmt w:val="lowerLetter"/>
      <w:start w:val="7"/>
    </w:lvl>
    <w:lvl w:ilvl="3">
      <w:lvlJc w:val="left"/>
      <w:lvlText w:val="(%4)"/>
      <w:numFmt w:val="lowerRoman"/>
      <w:start w:val="1"/>
    </w:lvl>
  </w:abstractNum>
  <w:abstractNum w:abstractNumId="20">
    <w:nsid w:val="B03E0C6"/>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21">
    <w:nsid w:val="189A769B"/>
    <w:multiLevelType w:val="hybridMultilevel"/>
    <w:lvl w:ilvl="0">
      <w:lvlJc w:val="left"/>
      <w:lvlText w:val="%1"/>
      <w:numFmt w:val="decimal"/>
      <w:start w:val="1"/>
    </w:lvl>
    <w:lvl w:ilvl="1">
      <w:lvlJc w:val="left"/>
      <w:lvlText w:val="%2."/>
      <w:numFmt w:val="decimal"/>
      <w:start w:val="1"/>
    </w:lvl>
    <w:lvl w:ilvl="2">
      <w:lvlJc w:val="left"/>
      <w:lvlText w:val="(%3)"/>
      <w:numFmt w:val="lowerLetter"/>
      <w:start w:val="7"/>
    </w:lvl>
    <w:lvl w:ilvl="3">
      <w:lvlJc w:val="left"/>
      <w:lvlText w:val="(%4)"/>
      <w:numFmt w:val="lowerRoman"/>
      <w:start w:val="1"/>
    </w:lvl>
  </w:abstractNum>
  <w:abstractNum w:abstractNumId="22">
    <w:nsid w:val="54E49EB4"/>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23">
    <w:nsid w:val="71F32454"/>
    <w:multiLevelType w:val="hybridMultilevel"/>
    <w:lvl w:ilvl="0">
      <w:lvlJc w:val="left"/>
      <w:lvlText w:val="%1"/>
      <w:numFmt w:val="decimal"/>
      <w:start w:val="1"/>
    </w:lvl>
    <w:lvl w:ilvl="1">
      <w:lvlJc w:val="left"/>
      <w:lvlText w:val="%2."/>
      <w:numFmt w:val="decimal"/>
      <w:start w:val="1"/>
    </w:lvl>
    <w:lvl w:ilvl="2">
      <w:lvlJc w:val="left"/>
      <w:lvlText w:val="(%3)"/>
      <w:numFmt w:val="lowerLetter"/>
      <w:start w:val="7"/>
    </w:lvl>
    <w:lvl w:ilvl="3">
      <w:lvlJc w:val="left"/>
      <w:lvlText w:val="(%4)"/>
      <w:numFmt w:val="lowerRoman"/>
      <w:start w:val="1"/>
    </w:lvl>
  </w:abstractNum>
  <w:abstractNum w:abstractNumId="24">
    <w:nsid w:val="2CA88611"/>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25">
    <w:nsid w:val="836C40E"/>
    <w:multiLevelType w:val="hybridMultilevel"/>
    <w:lvl w:ilvl="0">
      <w:lvlJc w:val="left"/>
      <w:lvlText w:val="%1"/>
      <w:numFmt w:val="decimal"/>
      <w:start w:val="1"/>
    </w:lvl>
    <w:lvl w:ilvl="1">
      <w:lvlJc w:val="left"/>
      <w:lvlText w:val="%2."/>
      <w:numFmt w:val="decimal"/>
      <w:start w:val="1"/>
    </w:lvl>
    <w:lvl w:ilvl="2">
      <w:lvlJc w:val="left"/>
      <w:lvlText w:val="(%3)"/>
      <w:numFmt w:val="lowerLetter"/>
      <w:start w:val="7"/>
    </w:lvl>
    <w:lvl w:ilvl="3">
      <w:lvlJc w:val="left"/>
      <w:lvlText w:val="(%4)"/>
      <w:numFmt w:val="lowerRoman"/>
      <w:start w:val="1"/>
    </w:lvl>
  </w:abstractNum>
  <w:abstractNum w:abstractNumId="26">
    <w:nsid w:val="2901D82"/>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27">
    <w:nsid w:val="3A95F87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49" Type="http://schemas.openxmlformats.org/officeDocument/2006/relationships/hyperlink" Target="http://www.sec.gov/Archives/edgar/data/1113809/000095013704006634/c86750exv2w1.txt" TargetMode="External"/><Relationship Id="rId50" Type="http://schemas.openxmlformats.org/officeDocument/2006/relationships/hyperlink" Target="http://www.sec.gov/Archives/edgar/data/1113809/000095013804000748/exh3-1.htm" TargetMode="External"/><Relationship Id="rId51" Type="http://schemas.openxmlformats.org/officeDocument/2006/relationships/hyperlink" Target="http://www.sec.gov/Archives/edgar/data/1113809/000115752316004713/a51286063ex3_1.htm" TargetMode="External"/><Relationship Id="rId52" Type="http://schemas.openxmlformats.org/officeDocument/2006/relationships/hyperlink" Target="http://www.sec.gov/Archives/edgar/data/1113809/000095013704008227/c86750a3exv4w1.txt" TargetMode="External"/><Relationship Id="rId53" Type="http://schemas.openxmlformats.org/officeDocument/2006/relationships/hyperlink" Target="http://www.sec.gov/Archives/edgar/data/1113809/000143774920012202/ex_18860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2020-06-11T05:18:04Z</dcterms:created>
  <dcterms:modified xsi:type="dcterms:W3CDTF">2020-06-11T05:18:04Z</dcterms:modified>
</cp:coreProperties>
</file>