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273050</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160" w:hanging="432"/>
        <w:spacing w:after="0" w:line="253" w:lineRule="auto"/>
        <w:tabs>
          <w:tab w:leader="none" w:pos="4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2, 2016</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1790700</wp:posOffset>
            </wp:positionH>
            <wp:positionV relativeFrom="paragraph">
              <wp:posOffset>-20320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74295</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BUILD-A-BEAR WORKSHOP, INC.</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12"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580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790"/>
              <w:spacing w:after="0"/>
              <w:rPr>
                <w:sz w:val="20"/>
                <w:szCs w:val="20"/>
                <w:color w:val="auto"/>
              </w:rPr>
            </w:pPr>
            <w:r>
              <w:rPr>
                <w:rFonts w:ascii="Arial" w:cs="Arial" w:eastAsia="Arial" w:hAnsi="Arial"/>
                <w:sz w:val="18"/>
                <w:szCs w:val="18"/>
                <w:b w:val="1"/>
                <w:bCs w:val="1"/>
                <w:color w:val="auto"/>
              </w:rPr>
              <w:t>43-1883836</w:t>
            </w:r>
          </w:p>
        </w:tc>
      </w:tr>
      <w:tr>
        <w:trPr>
          <w:trHeight w:val="234"/>
        </w:trPr>
        <w:tc>
          <w:tcPr>
            <w:tcW w:w="580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(State or Other Jurisdiction of Incorporation or Organization)</w:t>
            </w:r>
          </w:p>
        </w:tc>
        <w:tc>
          <w:tcPr>
            <w:tcW w:w="362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80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3620" w:type="dxa"/>
            <w:vAlign w:val="bottom"/>
          </w:tcPr>
          <w:p>
            <w:pPr>
              <w:spacing w:after="0"/>
              <w:rPr>
                <w:sz w:val="24"/>
                <w:szCs w:val="24"/>
                <w:color w:val="auto"/>
              </w:rPr>
            </w:pPr>
          </w:p>
        </w:tc>
      </w:tr>
      <w:tr>
        <w:trPr>
          <w:trHeight w:val="216"/>
        </w:trPr>
        <w:tc>
          <w:tcPr>
            <w:tcW w:w="580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St. Louis, Missouri</w:t>
            </w:r>
          </w:p>
        </w:tc>
        <w:tc>
          <w:tcPr>
            <w:tcW w:w="3620" w:type="dxa"/>
            <w:vAlign w:val="bottom"/>
          </w:tcPr>
          <w:p>
            <w:pPr>
              <w:jc w:val="right"/>
              <w:ind w:right="990"/>
              <w:spacing w:after="0"/>
              <w:rPr>
                <w:sz w:val="20"/>
                <w:szCs w:val="20"/>
                <w:color w:val="auto"/>
              </w:rPr>
            </w:pPr>
            <w:r>
              <w:rPr>
                <w:rFonts w:ascii="Arial" w:cs="Arial" w:eastAsia="Arial" w:hAnsi="Arial"/>
                <w:sz w:val="18"/>
                <w:szCs w:val="18"/>
                <w:b w:val="1"/>
                <w:bCs w:val="1"/>
                <w:color w:val="auto"/>
              </w:rPr>
              <w:t>63114</w:t>
            </w:r>
          </w:p>
        </w:tc>
      </w:tr>
      <w:tr>
        <w:trPr>
          <w:trHeight w:val="234"/>
        </w:trPr>
        <w:tc>
          <w:tcPr>
            <w:tcW w:w="580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620" w:type="dxa"/>
            <w:vAlign w:val="bottom"/>
          </w:tcPr>
          <w:p>
            <w:pPr>
              <w:jc w:val="center"/>
              <w:ind w:left="910"/>
              <w:spacing w:after="0"/>
              <w:rPr>
                <w:sz w:val="20"/>
                <w:szCs w:val="20"/>
                <w:color w:val="auto"/>
              </w:rPr>
            </w:pPr>
            <w:r>
              <w:rPr>
                <w:rFonts w:ascii="Arial" w:cs="Arial" w:eastAsia="Arial" w:hAnsi="Arial"/>
                <w:sz w:val="18"/>
                <w:szCs w:val="18"/>
                <w:b w:val="1"/>
                <w:bCs w:val="1"/>
                <w:color w:val="auto"/>
                <w:w w:val="92"/>
              </w:rPr>
              <w:t>(Zip Code)</w:t>
            </w:r>
          </w:p>
        </w:tc>
      </w:tr>
    </w:tbl>
    <w:p>
      <w:pPr>
        <w:jc w:val="center"/>
        <w:ind w:right="-99"/>
        <w:spacing w:after="0"/>
        <w:rPr>
          <w:sz w:val="20"/>
          <w:szCs w:val="20"/>
          <w:color w:val="auto"/>
        </w:rPr>
      </w:pPr>
      <w:r>
        <w:rPr>
          <w:rFonts w:ascii="Arial" w:cs="Arial" w:eastAsia="Arial" w:hAnsi="Arial"/>
          <w:sz w:val="18"/>
          <w:szCs w:val="18"/>
          <w:b w:val="1"/>
          <w:bCs w:val="1"/>
          <w:color w:val="auto"/>
        </w:rPr>
        <w:t>(314) 423-8000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74295</wp:posOffset>
            </wp:positionV>
            <wp:extent cx="1089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18"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20"/>
          </w:cols>
          <w:pgMar w:left="240" w:top="395" w:right="339" w:bottom="1440" w:gutter="0" w:footer="0" w:header="0"/>
        </w:sectPr>
      </w:pPr>
    </w:p>
    <w:p>
      <w:pPr>
        <w:spacing w:after="0" w:line="124"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3060" w:space="80"/>
            <w:col w:w="3420" w:space="720"/>
            <w:col w:w="4040"/>
          </w:cols>
          <w:pgMar w:left="240" w:top="395" w:right="339" w:bottom="1440" w:gutter="0" w:footer="0" w:header="0"/>
          <w:type w:val="continuous"/>
        </w:sectPr>
      </w:pPr>
    </w:p>
    <w:p>
      <w:pPr>
        <w:spacing w:after="0" w:line="16" w:lineRule="exact"/>
        <w:rPr>
          <w:sz w:val="24"/>
          <w:szCs w:val="24"/>
          <w:color w:val="auto"/>
        </w:rPr>
      </w:pPr>
    </w:p>
    <w:p>
      <w:pPr>
        <w:ind w:left="14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6560" w:space="720"/>
            <w:col w:w="4040"/>
          </w:cols>
          <w:pgMar w:left="240" w:top="395" w:right="339" w:bottom="1440" w:gutter="0" w:footer="0" w:header="0"/>
          <w:type w:val="continuous"/>
        </w:sectPr>
      </w:pPr>
    </w:p>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5, 2016, there were 15,854,728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395"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2180" w:type="dxa"/>
            <w:vAlign w:val="bottom"/>
            <w:gridSpan w:val="4"/>
          </w:tcPr>
          <w:p>
            <w:pPr>
              <w:ind w:left="16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1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w:t>
            </w:r>
          </w:p>
        </w:tc>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 (Unaudited)</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ind w:left="560"/>
              <w:spacing w:after="0"/>
              <w:rPr>
                <w:sz w:val="20"/>
                <w:szCs w:val="20"/>
                <w:color w:val="auto"/>
              </w:rPr>
            </w:pPr>
            <w:r>
              <w:rPr>
                <w:rFonts w:ascii="Arial" w:cs="Arial" w:eastAsia="Arial" w:hAnsi="Arial"/>
                <w:sz w:val="18"/>
                <w:szCs w:val="18"/>
                <w:color w:val="auto"/>
              </w:rPr>
              <w:t>Consolidated Balance Sheets</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Consolidated Statements of Operations and Comprehensive (Loss) Income</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ind w:left="560"/>
              <w:spacing w:after="0"/>
              <w:rPr>
                <w:sz w:val="20"/>
                <w:szCs w:val="20"/>
                <w:color w:val="auto"/>
              </w:rPr>
            </w:pPr>
            <w:r>
              <w:rPr>
                <w:rFonts w:ascii="Arial" w:cs="Arial" w:eastAsia="Arial" w:hAnsi="Arial"/>
                <w:sz w:val="18"/>
                <w:szCs w:val="18"/>
                <w:color w:val="auto"/>
              </w:rPr>
              <w:t>Consolidated Statements of Cash Flows</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Notes to Consolidated Financial Statements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3.</w:t>
            </w:r>
          </w:p>
        </w:tc>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w:t>
            </w:r>
          </w:p>
        </w:tc>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1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1A.</w:t>
            </w:r>
          </w:p>
        </w:tc>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Factors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6.</w:t>
            </w:r>
          </w:p>
        </w:tc>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826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60" w:type="dxa"/>
            <w:vAlign w:val="bottom"/>
          </w:tcPr>
          <w:p>
            <w:pPr>
              <w:ind w:left="464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26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July 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January 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July 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45,196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55,463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53,877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13,817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16,312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Property and equipment, net of accumulated depreciation of $183,829; $183,686</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$191,103, respectively</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69,872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67,741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10,864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4,260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176,360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5"/>
            <w:shd w:val="clear" w:color="auto" w:fill="CCEEFF"/>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22,404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42,551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10,427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19,286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Gift cards and customer deposits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20"/>
              <w:spacing w:after="0" w:line="201" w:lineRule="exact"/>
              <w:rPr>
                <w:sz w:val="20"/>
                <w:szCs w:val="20"/>
                <w:color w:val="auto"/>
              </w:rPr>
            </w:pPr>
            <w:r>
              <w:rPr>
                <w:rFonts w:ascii="Arial" w:cs="Arial" w:eastAsia="Arial" w:hAnsi="Arial"/>
                <w:sz w:val="18"/>
                <w:szCs w:val="18"/>
                <w:color w:val="auto"/>
                <w:w w:val="91"/>
              </w:rPr>
              <w:t>Preferred stock, par value $0.01, Shares authorized: 15,000,000; No shares issued</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or outstanding at July 2, 2016, January 2, 2016 and July 4, 2015</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Common stock, par value $0.01, Shares authorized: 50,000,000; Issued and</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outstanding: 15,856,305; 15,795,891 and 16,950,205 shares, respectively</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66,455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66,009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41,522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43,218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96,440</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176,360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213,334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177,584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25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8"/>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0"/>
              </w:rPr>
              <w:t>July 2, 2016</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July 4, 2015</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July 2, 2016</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July 4, 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73,928</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80,279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167,984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Franchise fees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75,139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170,115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Cost of merchandise sold - retail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45,378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91,317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commercial</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35,691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76,731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Store preopening</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Interest expense (income),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costs and expenses</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81,382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171,086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income before income taxes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(loss) income</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(5,383)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(Loss) income per common share: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(0.28)</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(0.04)</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(0.05)</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15,486,462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16,861,458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15,448,580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16,917,272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15,486,462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16,861,458</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15,448,580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17,162,024</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8"/>
              </w:rPr>
              <w:t>July 2, 2016</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July 4, 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(783)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Impairment of store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credit utilization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assets and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(2,131)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Lease related liabilities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Gift cards and customer deposits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Purchases of other assets and other intangible assets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sale or maturitiy of short term investments</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120"/>
              <w:spacing w:after="0"/>
              <w:rPr>
                <w:sz w:val="20"/>
                <w:szCs w:val="20"/>
                <w:color w:val="auto"/>
              </w:rPr>
            </w:pPr>
            <w:r>
              <w:rPr>
                <w:rFonts w:ascii="Arial" w:cs="Arial" w:eastAsia="Arial" w:hAnsi="Arial"/>
                <w:sz w:val="18"/>
                <w:szCs w:val="18"/>
                <w:color w:val="auto"/>
              </w:rPr>
              <w:t>Cash used in investing activities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(10,421)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Company's common stock</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120"/>
              <w:spacing w:after="0"/>
              <w:rPr>
                <w:sz w:val="20"/>
                <w:szCs w:val="20"/>
                <w:color w:val="auto"/>
              </w:rPr>
            </w:pPr>
            <w:r>
              <w:rPr>
                <w:rFonts w:ascii="Arial" w:cs="Arial" w:eastAsia="Arial" w:hAnsi="Arial"/>
                <w:sz w:val="18"/>
                <w:szCs w:val="18"/>
                <w:color w:val="auto"/>
              </w:rPr>
              <w:t>Cash used in financing activities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(35,040)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10,156</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2, 2016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2, 2016, which were included in the Company’s annual report on Form 10-K filed with the SEC on March 17, 2016.</w:t>
      </w:r>
    </w:p>
    <w:p>
      <w:pPr>
        <w:spacing w:after="0" w:line="1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 reclassification was made in the current year presentation of the consolidated balance sheet as of July 4, 2015. The Company adjusted the classification of the impact of shares repurchased, which had previously been recorded as a deduction to additional paid-in capital, to a deduction which was allocated between additional paid-in capital and retained earnings. As a result of this reclassification, retained earnings were reduced by $9.1 million and additional paid-in capital was increased by the same amount.</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Additionally, the Company early adopted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effective January 2, 2016, retrospectively. Adoption resulted in a $1.7 million decrease in total current assets, a $2.8 million increase in non-current deferred tax assets and a $1.1 million decrease in non-current other assets, net on the Consolidated Balance Sheet as of July 4, 2015, compared to the prior period presentation. The adoption had no impact on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July 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2"/>
              </w:rPr>
              <w:t>January 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July 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Short-term investment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13,817</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16,312</w:t>
            </w: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14,173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Accrued Expenses</w:t>
            </w: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July 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January 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6"/>
              </w:rPr>
              <w:t>July 4,</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Sales tax payable</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6,374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2,893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4,307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3,675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Current income taxes payable</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613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10,427</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19,286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13,269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9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5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the thirteen and twenty-six weeks ended July 2, 2016, selling, general and administrative expense includes $0.8 million and $1.5 million, respectively, of stock-based compensation expense. For the thirteen and twenty-six weeks ended July 4, 2015, selling, general and administrative expense includes $0.5 million and $1.0 million, respectively, of stock-based compensation expense. As of July 2, 2016, there was $6.0 million of total unrecognized compensation expense related to unvested restricted stock and option awards which is expected to be recognized over a weighted-average period of 1.5 years.</w:t>
      </w:r>
    </w:p>
    <w:p>
      <w:pPr>
        <w:spacing w:after="0" w:line="15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is a summary of the balances and activity for the plan related to time-based and earned performance-based restricted stock for the thirteen weeks ended July 2, 2016:</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Restricted Stock</w:t>
            </w:r>
          </w:p>
        </w:tc>
        <w:tc>
          <w:tcPr>
            <w:tcW w:w="18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Performance Shares</w:t>
            </w: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Average Grant</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Average Grant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Date Fair Value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2, 2016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200,547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175,945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4,171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13.35</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680" w:type="dxa"/>
            <w:vAlign w:val="bottom"/>
            <w:gridSpan w:val="2"/>
          </w:tcPr>
          <w:p>
            <w:pPr>
              <w:spacing w:after="0"/>
              <w:rPr>
                <w:sz w:val="20"/>
                <w:szCs w:val="20"/>
                <w:color w:val="auto"/>
              </w:rPr>
            </w:pPr>
            <w:r>
              <w:rPr>
                <w:rFonts w:ascii="Arial" w:cs="Arial" w:eastAsia="Arial" w:hAnsi="Arial"/>
                <w:sz w:val="18"/>
                <w:szCs w:val="18"/>
                <w:color w:val="auto"/>
              </w:rPr>
              <w:t>Outstanding, July 2, 2016</w:t>
            </w:r>
          </w:p>
        </w:tc>
        <w:tc>
          <w:tcPr>
            <w:tcW w:w="1460" w:type="dxa"/>
            <w:vAlign w:val="bottom"/>
          </w:tcPr>
          <w:p>
            <w:pPr>
              <w:jc w:val="right"/>
              <w:spacing w:after="0"/>
              <w:rPr>
                <w:sz w:val="20"/>
                <w:szCs w:val="20"/>
                <w:color w:val="auto"/>
              </w:rPr>
            </w:pPr>
            <w:r>
              <w:rPr>
                <w:rFonts w:ascii="Arial" w:cs="Arial" w:eastAsia="Arial" w:hAnsi="Arial"/>
                <w:sz w:val="18"/>
                <w:szCs w:val="18"/>
                <w:color w:val="auto"/>
              </w:rPr>
              <w:t>326,538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240,475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March 2016, the Company awarded performance-based restricted stock subject to the achievement of pre-established net income objectives for fiscal 2016. Additionally, the Company awarded three-year performance-based restricted stock subject to the achievement of pre-established cumulative consolidated total net revenue goals for fiscal 2016, 2017 and 2018. These shares have a payout opportunity ranging from 50% to 200% of the target number of shares. In 2016, the number of shares earned relating to the performance shares issued in 2015 subject to the achievement of pre-established pre-tax income objectives for fiscal 2015 was 21,118.</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fair value of shares vested during the twenty-six weeks ended July 2, 2016 and July 4, 2015 was $1.6 million and $3.9 million, respectively.</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the balances and activity for stock options for the twenty-six weeks ended July 2, 2016:</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Options</w:t>
            </w:r>
          </w:p>
        </w:tc>
        <w:tc>
          <w:tcPr>
            <w:tcW w:w="1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 Exercise</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2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w w:val="93"/>
              </w:rPr>
              <w:t>Shares</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2, 2016</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574,851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211,995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340" w:type="dxa"/>
            <w:vAlign w:val="bottom"/>
            <w:gridSpan w:val="3"/>
          </w:tcPr>
          <w:p>
            <w:pPr>
              <w:spacing w:after="0"/>
              <w:rPr>
                <w:sz w:val="20"/>
                <w:szCs w:val="20"/>
                <w:color w:val="auto"/>
              </w:rPr>
            </w:pPr>
            <w:r>
              <w:rPr>
                <w:rFonts w:ascii="Arial" w:cs="Arial" w:eastAsia="Arial" w:hAnsi="Arial"/>
                <w:sz w:val="18"/>
                <w:szCs w:val="18"/>
                <w:color w:val="auto"/>
              </w:rPr>
              <w:t>Outstanding, July 2, 2016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763,535</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years prior to 2015, the Company recorded a valuation allowance on substantially all of its domestic deferred tax assets. The effective tax rate was 31.1% and 19.4% for the thirteen and twenty-six weeks ended July 2, 2016, respectively, compared to (43.4%) and 6.4% for the thirteen and twenty-six weeks ended July 4, 2015, respectively. The 2016 effective tax rate differed from the statutory rate of 34% primarily due to the effect of permanent differences and a discrete item. The 2015 effective tax rate differed from the statutory rate primarily attributable to the valuation allowance still recorded on its domestic deferred tax assets as of July 4, 2015.</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6. (Loss) Income per Share</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uses the two-class method to compute basic and diluted (loss) income per common share. In periods of loss, no effect is given to the Company’s participating securities as they do not contractually participate in the losses of the Company. The following table sets forth the computation of basic and diluted (loss) income per share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2580" w:type="dxa"/>
            <w:vAlign w:val="bottom"/>
            <w:gridSpan w:val="5"/>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July 2, 2016</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July 4, 2015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0"/>
              </w:rPr>
              <w:t>July 2, 2016</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July 4, 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160"/>
              <w:spacing w:after="0" w:line="201" w:lineRule="exact"/>
              <w:rPr>
                <w:sz w:val="20"/>
                <w:szCs w:val="20"/>
                <w:color w:val="auto"/>
              </w:rPr>
            </w:pPr>
            <w:r>
              <w:rPr>
                <w:rFonts w:ascii="Arial" w:cs="Arial" w:eastAsia="Arial" w:hAnsi="Arial"/>
                <w:sz w:val="18"/>
                <w:szCs w:val="18"/>
                <w:color w:val="auto"/>
              </w:rPr>
              <w:t>Net (loss) income before allocation of earnings to participating</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Earnings allocated to participating securities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ind w:left="320"/>
              <w:spacing w:after="0" w:line="195" w:lineRule="exact"/>
              <w:rPr>
                <w:sz w:val="20"/>
                <w:szCs w:val="20"/>
                <w:color w:val="auto"/>
              </w:rPr>
            </w:pPr>
            <w:r>
              <w:rPr>
                <w:rFonts w:ascii="Arial" w:cs="Arial" w:eastAsia="Arial" w:hAnsi="Arial"/>
                <w:sz w:val="18"/>
                <w:szCs w:val="18"/>
                <w:color w:val="auto"/>
              </w:rPr>
              <w:t>Net (loss) income after allocation of earnings to participating</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(4,301)</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(628)</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(783)</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00" w:type="dxa"/>
            <w:vAlign w:val="bottom"/>
          </w:tcPr>
          <w:p>
            <w:pPr>
              <w:ind w:left="480"/>
              <w:spacing w:after="0" w:line="190" w:lineRule="exact"/>
              <w:rPr>
                <w:sz w:val="20"/>
                <w:szCs w:val="20"/>
                <w:color w:val="auto"/>
              </w:rPr>
            </w:pPr>
            <w:r>
              <w:rPr>
                <w:rFonts w:ascii="Arial" w:cs="Arial" w:eastAsia="Arial" w:hAnsi="Arial"/>
                <w:sz w:val="18"/>
                <w:szCs w:val="18"/>
                <w:color w:val="auto"/>
              </w:rPr>
              <w:t>securities</w:t>
            </w:r>
          </w:p>
        </w:tc>
        <w:tc>
          <w:tcPr>
            <w:tcW w:w="1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Weighted average number of common shares outstanding - basic</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15,486,462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16,861,458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15,448,580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640"/>
              <w:spacing w:after="0"/>
              <w:rPr>
                <w:sz w:val="20"/>
                <w:szCs w:val="20"/>
                <w:color w:val="auto"/>
              </w:rPr>
            </w:pPr>
            <w:r>
              <w:rPr>
                <w:rFonts w:ascii="Arial" w:cs="Arial" w:eastAsia="Arial" w:hAnsi="Arial"/>
                <w:sz w:val="18"/>
                <w:szCs w:val="18"/>
                <w:color w:val="auto"/>
              </w:rPr>
              <w:t>Dilutive effect of share-based awards: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244,752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2"/>
              </w:rPr>
              <w:t>Weighted average number of common shares outstanding - dilutive</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15,486,462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16,861,458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15,448,580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17,162,024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00" w:type="dxa"/>
            <w:vAlign w:val="bottom"/>
          </w:tcPr>
          <w:p>
            <w:pPr>
              <w:spacing w:after="0" w:line="182" w:lineRule="exact"/>
              <w:rPr>
                <w:sz w:val="20"/>
                <w:szCs w:val="20"/>
                <w:color w:val="auto"/>
              </w:rPr>
            </w:pPr>
            <w:r>
              <w:rPr>
                <w:rFonts w:ascii="Arial" w:cs="Arial" w:eastAsia="Arial" w:hAnsi="Arial"/>
                <w:sz w:val="18"/>
                <w:szCs w:val="18"/>
                <w:color w:val="auto"/>
                <w:w w:val="99"/>
              </w:rPr>
              <w:t>Basic (loss) income per common share attributable to Build-A-Bear</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(0.28)</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(0.04)</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(0.05)</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00" w:type="dxa"/>
            <w:vAlign w:val="bottom"/>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1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Diluted (loss) income per common share attributable to Build-A-Bear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calculating diluted (loss) income per share for the thirteen and twenty-six week periods ended July 2, 2016, options to purchase 763,535 shares of common stock that were outstanding at the end of the period were not included in the computation of diluted net loss per share due to their anti-dilutive effect. For the thirteen and twenty-six week periods ended July 4, 2015, the number of options to purchase common shares that were excluded from the calculation was 609,043 and 69,114 shares, respectively.</w:t>
      </w:r>
    </w:p>
    <w:p>
      <w:pPr>
        <w:spacing w:after="0" w:line="18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Due to the net loss for the thirteen week periods ended July 2, 2016 and July 4, 2015 and in the twenty-six week period ended July 2, 2016, the denominator for diluted loss per common share is the same as the denominator for basic loss per common share for those periods because the inclusion of stock options and unvested restricted shares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(Loss) Income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July 2, 2016, January 2, 2016 and July 4, 2015 is comprised entirely of foreign currency translation. For the thirteen and twenty-six weeks ended July 2, 2016 and July 4, 2015, there were no reclassifications out of accumulated other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Company’s operations are conducted through three operating segments consisting of direct-to-consumer (DTC), formerly retail, international franchising, and commercial. The DTC segment includes the operating activities of company-owned stores in the United States, Canada, the United Kingdom, Ireland, Denmark and China and other retail delivery operations, including the Company’s e-commerce sites and temporary stores. The international franchising segment includes the licensing activities of the Company’s franchise agreements with store locations in Europe (outside of the United Kingdom, Ireland and Denmark), Asia (outside of China),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Direct-to-</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Consumer</w:t>
            </w: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Franchising</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July 2, 2016</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73,928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75,139</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(6,243)</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5,697</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July 4, 2015</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80,279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81,014</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3,202</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July 2, 2016</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167,984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170,115</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11,857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11,882</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July 4, 2015</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171,943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174,406</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6,048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6,080</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8,233</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July 2, 2016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168,827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5,377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176,360</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July 4, 2015</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177,584</w:t>
            </w:r>
          </w:p>
        </w:tc>
        <w:tc>
          <w:tcPr>
            <w:tcW w:w="300" w:type="dxa"/>
            <w:vAlign w:val="bottom"/>
          </w:tcPr>
          <w:p>
            <w:pPr>
              <w:spacing w:after="0"/>
              <w:rPr>
                <w:sz w:val="18"/>
                <w:szCs w:val="18"/>
                <w:color w:val="auto"/>
              </w:rPr>
            </w:pPr>
          </w:p>
        </w:tc>
      </w:tr>
      <w:tr>
        <w:trPr>
          <w:trHeight w:val="675"/>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9" w:name="page10"/>
    <w:bookmarkEnd w:id="9"/>
    <w:p>
      <w:pPr>
        <w:jc w:val="both"/>
        <w:ind w:right="20" w:firstLine="324"/>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ind w:right="220"/>
              <w:spacing w:after="0" w:line="258" w:lineRule="exact"/>
              <w:rPr>
                <w:sz w:val="20"/>
                <w:szCs w:val="20"/>
                <w:color w:val="auto"/>
              </w:rPr>
            </w:pPr>
            <w:r>
              <w:rPr>
                <w:rFonts w:ascii="Arial" w:cs="Arial" w:eastAsia="Arial" w:hAnsi="Arial"/>
                <w:sz w:val="18"/>
                <w:szCs w:val="18"/>
                <w:b w:val="1"/>
                <w:bCs w:val="1"/>
                <w:color w:val="auto"/>
                <w:w w:val="88"/>
              </w:rPr>
              <w:t xml:space="preserve">America </w:t>
            </w:r>
            <w:r>
              <w:rPr>
                <w:rFonts w:ascii="Arial" w:cs="Arial" w:eastAsia="Arial" w:hAnsi="Arial"/>
                <w:sz w:val="29"/>
                <w:szCs w:val="29"/>
                <w:b w:val="1"/>
                <w:bCs w:val="1"/>
                <w:color w:val="auto"/>
                <w:w w:val="88"/>
                <w:vertAlign w:val="superscript"/>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ind w:left="60"/>
              <w:spacing w:after="0" w:line="258" w:lineRule="exact"/>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29"/>
                <w:szCs w:val="29"/>
                <w:b w:val="1"/>
                <w:bCs w:val="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right"/>
              <w:ind w:right="320"/>
              <w:spacing w:after="0" w:line="258" w:lineRule="exact"/>
              <w:rPr>
                <w:sz w:val="20"/>
                <w:szCs w:val="20"/>
                <w:color w:val="auto"/>
              </w:rPr>
            </w:pPr>
            <w:r>
              <w:rPr>
                <w:rFonts w:ascii="Arial" w:cs="Arial" w:eastAsia="Arial" w:hAnsi="Arial"/>
                <w:sz w:val="18"/>
                <w:szCs w:val="18"/>
                <w:b w:val="1"/>
                <w:bCs w:val="1"/>
                <w:color w:val="auto"/>
                <w:w w:val="96"/>
              </w:rPr>
              <w:t xml:space="preserve">Other </w:t>
            </w:r>
            <w:r>
              <w:rPr>
                <w:rFonts w:ascii="Arial" w:cs="Arial" w:eastAsia="Arial" w:hAnsi="Arial"/>
                <w:sz w:val="29"/>
                <w:szCs w:val="29"/>
                <w:b w:val="1"/>
                <w:bCs w:val="1"/>
                <w:color w:val="auto"/>
                <w:w w:val="96"/>
                <w:vertAlign w:val="superscript"/>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July 2, 2016</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61,371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13,430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Thirteen weeks ended July 4, 2015</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52,604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5,835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Twenty-six weeks ended July 2, 2016</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140,878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July 4, 2015</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141,119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32,628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58,439</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and franchise businesses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beginning in 2016, a company-owned store in China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normal course of business, the Company is subject to regular examination by various taxing authorities for years not closed by the statute of limitations. If one or more of these examinations has an unfavorable resolution, it is possible that the results of operations, liquidity or financial position of the Company could be materially affected in any particular period. The Company accrues a liability for this type of contingency when it believes that it is both probable that a liability has been incurred and that it can reasonably estimate the amount of the loss. Assessments made by the United Kingdom customs authority in 2012 have been appealed by the Company, which has paid $3.4 million in disputed duty, strictly under protest, pending the outcome of the continuing dispute, and this is included in receivables in the DTC segment. The United Kingdom customs authority is contesting the Company's appeal. The Company maintains a provision against the related receivable for its best estimate of probable loss, based on the latest facts available in the dispute.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Recently Issued Accounting Pronouncements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(ASU 2014-09), which will replace most existing revenue recognition guidance in U.S. GAAP. The core principle of the ASU is that an entity should recognize revenue for the transfer of goods or services equal to the amount that it expects to be entitled to receive for those goods or services. ASU 2014-09 requires additional disclosure about the nature, amount, timing and uncertainty of revenue and cash flows arising from customer contracts, including significant judgments and changes in judgments. ASU 2014-09 will be effective for the Company beginning in fiscal 2018, and allows for both retrospective and modified retrospective methods of adoption. Early adoption beginning in fiscal 2017 is permitted. The Company is in the process of determining the method and timing of adoption and assessing the impact of ASU 2014-09 on its consolidated financial statements.</w:t>
      </w:r>
    </w:p>
    <w:p>
      <w:pPr>
        <w:spacing w:after="0" w:line="189" w:lineRule="exact"/>
        <w:rPr>
          <w:sz w:val="20"/>
          <w:szCs w:val="20"/>
          <w:color w:val="auto"/>
        </w:rPr>
      </w:pPr>
    </w:p>
    <w:p>
      <w:pPr>
        <w:ind w:right="380" w:firstLine="324"/>
        <w:spacing w:after="0" w:line="302" w:lineRule="auto"/>
        <w:rPr>
          <w:sz w:val="20"/>
          <w:szCs w:val="20"/>
          <w:color w:val="auto"/>
        </w:rPr>
      </w:pPr>
      <w:r>
        <w:rPr>
          <w:rFonts w:ascii="Arial" w:cs="Arial" w:eastAsia="Arial" w:hAnsi="Arial"/>
          <w:sz w:val="16"/>
          <w:szCs w:val="16"/>
          <w:color w:val="auto"/>
        </w:rPr>
        <w:t>In August 2014, the FASB issued disclosure guidance that requires the Company to evaluate, at each annual and interim period, whether substantial doubt exists about its ability to continue as a going concern, and if applicable, to provide related disclosures. The new guidance will be effective for the Company for the year ending December 31, 2016. This guidance is not currently expected to have a material effect on our financial statement disclosures upon adoption, although the ultimate impact will be dependent on our financial condition and expected operating outlook at such time.</w:t>
      </w:r>
    </w:p>
    <w:p>
      <w:pPr>
        <w:spacing w:after="0" w:line="15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will replace most existing lease accounting guidance in U.S. GAAP. The core principle of the ASU is that an entity should recognize the rights and obligations resulting from leases as assets and liabilities. ASU 2016-02 requires qualitative and specific quantitative disclosures to supplement the amounts recorded in the financial statements so that users can understand more about the nature of an entity’s leasing activities, including significant judgments and changes in judgments. ASU 2016-02 will be effective for the Company beginning in fiscal 2019, and requires the modified retrospective method of adoption. Early adoption is permitted. The Company is in the process of determining the method and timing of adoption and assessing the impact of ASU 2016-02 on its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firstLine="324"/>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No. 2016-09,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Stock Compensation: Improvements to Employee Share-Based Payment Accounting </w:t>
      </w:r>
      <w:r>
        <w:rPr>
          <w:rFonts w:ascii="Arial" w:cs="Arial" w:eastAsia="Arial" w:hAnsi="Arial"/>
          <w:sz w:val="18"/>
          <w:szCs w:val="18"/>
          <w:color w:val="auto"/>
        </w:rPr>
        <w:t>(ASU 2016-09). The standard is intended to simplify several areas of accounting for share based compensation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income tax impact, classification in the statement of cash flows and forfeitures. ASU 2016-09 will be effective for the Company beginning with the interim periods of fiscal 2017. Early adoption is permitted. The Company is in the process of determining the method and timing of adoption and assessing the impact of ASU 2016-09 on its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Cautionary Notice Regarding Forward-Looking Statements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January 2, 2016, as filed with the SEC, and the following:</w:t>
      </w:r>
    </w:p>
    <w:p>
      <w:pPr>
        <w:spacing w:after="0" w:line="208" w:lineRule="exact"/>
        <w:rPr>
          <w:sz w:val="20"/>
          <w:szCs w:val="20"/>
          <w:color w:val="auto"/>
        </w:rPr>
      </w:pPr>
    </w:p>
    <w:p>
      <w:pPr>
        <w:ind w:left="660" w:right="4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comparable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strategic alternatives evaluation process announced on May 3, 2016 is uncertain and the process may or may not result in any changes to the company’s business plan or lead to a specific action or transaction;</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improperly obtain or be unable to adequately protect customer information in violation of privacy or security laws or customer expectations;</w:t>
      </w:r>
    </w:p>
    <w:p>
      <w:pPr>
        <w:spacing w:after="0" w:line="32"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660" w:right="7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could become subject to recalls or product liability claims that could adversely impact our financial performance and harm our reputation among consumers;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company-owned stores profitably;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be sued due to violations of labor laws or unethical practices by manufacturers of our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unable to operate our company-owned distribution center efficiently or our third-party distribution center providers may perform poorly;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increase our inventory transportation costs and adversely affect our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leverage the Build-A-Bear brand to drive strategic expansion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repurchase shares of our common stock at optimal times or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July 2, 2016, we operated 263 stores in the United States, Canada and Puerto Rico (collectively, North America), 57 stores in the United Kingdom, Ireland and Denmark (collectively, Europe), one store in China and had 77 franchised stores operating internationally under the Build-A-Bear Workshop brand.</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May 2, 2016, the Company announced that its Board of Directors had authorized an exploration of a full range of strategic alternatives to enhance total shareholder value. The Company has retained Guggenheim Securities, LLC as its financial advisor and Bryan Cave LLP as its legal counsel to assist with the strategic review. No timetable has been set for the Company’s review process. The Company does not expect to comment further or update the market with any additional information on the process unless and until its Board of Directors deems disclosure appropriate or necessary. There is no assurance that this exploration will result in any strategic alternatives being announced or executed.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ind w:firstLine="324"/>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40" w:right="28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Direct-to-consumer (“DTC”) – Company-owned retail stores located in North America, Europe and, beginning in 2016, China and two e-commerce sites;</w:t>
      </w:r>
    </w:p>
    <w:p>
      <w:pPr>
        <w:spacing w:after="0" w:line="17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440" w:right="50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w:t>
      </w:r>
    </w:p>
    <w:p>
      <w:pPr>
        <w:spacing w:after="0" w:line="170"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Our company has been executing a multi-year turnaround plan since late 2012 to improve both consolidated comparable sales and profitability with an immediate goal of achieving sustained profitability. In 2015, we delivered our third consecutive year of consolidated comparable sales growth and improved profitability and believe that we are positioned to evolve our goal to one of sustained profitable growth.</w:t>
      </w:r>
    </w:p>
    <w:p>
      <w:pPr>
        <w:spacing w:after="0" w:line="16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fiscal 2016, we expect to continue to build on these successes to reach more people, in more places, with more products and do it more profitably as we deliver on our MORE strategy. To this end, we are refreshing our brand, updating our aging fleet with our Discovery store, expanding globally, securing new licensed programs and developing proprietary intellectual property to extend our core consumer business and expanding our wholesale and outbound licensing programs which we expect to drive incremental, margin-accretive business.</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twenty-six week periods ended July 2, 2016 and July 4, 2015 are set forth in the notes to our condensed consolidated financial statements included elsewhere in this quarterly report on Form 10-Q.</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use comparable sales as one of the performance measures for our business. Comparable sales percentage changes are based on net retail sales and exclude the impact of foreign exchange. Stores are considered comparable beginning in their thirteenth consecutive full month of operation. The percentage change in consolidated comparable sales for the periods presented below is as follows: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96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Thirteen Weeks Ended</w:t>
            </w:r>
          </w:p>
        </w:tc>
        <w:tc>
          <w:tcPr>
            <w:tcW w:w="288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Twenty-six Weeks Ended</w:t>
            </w:r>
          </w:p>
        </w:tc>
      </w:tr>
      <w:tr>
        <w:trPr>
          <w:trHeight w:val="210"/>
        </w:trPr>
        <w:tc>
          <w:tcPr>
            <w:tcW w:w="4420" w:type="dxa"/>
            <w:vAlign w:val="bottom"/>
          </w:tcPr>
          <w:p>
            <w:pPr>
              <w:spacing w:after="0"/>
              <w:rPr>
                <w:sz w:val="18"/>
                <w:szCs w:val="18"/>
                <w:color w:val="auto"/>
              </w:rPr>
            </w:pPr>
          </w:p>
        </w:tc>
        <w:tc>
          <w:tcPr>
            <w:tcW w:w="15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July 2, 2016</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July 4, 2015</w:t>
            </w:r>
          </w:p>
        </w:tc>
        <w:tc>
          <w:tcPr>
            <w:tcW w:w="260" w:type="dxa"/>
            <w:vAlign w:val="bottom"/>
          </w:tcPr>
          <w:p>
            <w:pPr>
              <w:spacing w:after="0"/>
              <w:rPr>
                <w:sz w:val="18"/>
                <w:szCs w:val="18"/>
                <w:color w:val="auto"/>
              </w:rPr>
            </w:pPr>
          </w:p>
        </w:tc>
        <w:tc>
          <w:tcPr>
            <w:tcW w:w="15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July 2, 2016</w:t>
            </w: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July 4, 2015</w:t>
            </w:r>
          </w:p>
        </w:tc>
        <w:tc>
          <w:tcPr>
            <w:tcW w:w="160" w:type="dxa"/>
            <w:vAlign w:val="bottom"/>
          </w:tcPr>
          <w:p>
            <w:pPr>
              <w:spacing w:after="0"/>
              <w:rPr>
                <w:sz w:val="18"/>
                <w:szCs w:val="18"/>
                <w:color w:val="auto"/>
              </w:rPr>
            </w:pPr>
          </w:p>
        </w:tc>
      </w:tr>
      <w:tr>
        <w:trPr>
          <w:trHeight w:val="210"/>
        </w:trPr>
        <w:tc>
          <w:tcPr>
            <w:tcW w:w="44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 change (%)</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44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42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4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Stores</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E-commerce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11.7%</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44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42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believe the decrease in consolidated comparable sales for the fiscal 2016 second quarter is primarily attributable to strong performance of last year’s Minion’s collection which had a peak in consumer interest fueling significant sales in last year’s second quarter. For the first half of 2016, we believe the decrease in consolidated comparable sales is primarily attributable to this second quarter decline, partially offset by the positive consolidated comparable store sales performance in North America in the first quarter of 2016. We believe the growth in North America in the first quarter was the result of our overall disciplined management of our business and the success of key initiatives of our strategic plan.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improve consolidated comparable sales through the following key initiatives:</w:t>
      </w:r>
    </w:p>
    <w:p>
      <w:pPr>
        <w:spacing w:after="0" w:line="221" w:lineRule="exact"/>
        <w:rPr>
          <w:sz w:val="20"/>
          <w:szCs w:val="20"/>
          <w:color w:val="auto"/>
        </w:rPr>
      </w:pPr>
    </w:p>
    <w:p>
      <w:pPr>
        <w:ind w:left="1000" w:right="380" w:hanging="290"/>
        <w:spacing w:after="0" w:line="270"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Expanding into more places: </w:t>
      </w:r>
      <w:r>
        <w:rPr>
          <w:rFonts w:ascii="Arial" w:cs="Arial" w:eastAsia="Arial" w:hAnsi="Arial"/>
          <w:sz w:val="17"/>
          <w:szCs w:val="17"/>
          <w:color w:val="auto"/>
        </w:rPr>
        <w:t>In the first half of 2016, our 31 Discovery stores continued to deliver positive results compared to our</w:t>
      </w:r>
      <w:r>
        <w:rPr>
          <w:rFonts w:ascii="Arial" w:cs="Arial" w:eastAsia="Arial" w:hAnsi="Arial"/>
          <w:sz w:val="17"/>
          <w:szCs w:val="17"/>
          <w:b w:val="1"/>
          <w:bCs w:val="1"/>
          <w:color w:val="auto"/>
        </w:rPr>
        <w:t xml:space="preserve"> </w:t>
      </w:r>
      <w:r>
        <w:rPr>
          <w:rFonts w:ascii="Arial" w:cs="Arial" w:eastAsia="Arial" w:hAnsi="Arial"/>
          <w:sz w:val="17"/>
          <w:szCs w:val="17"/>
          <w:color w:val="auto"/>
        </w:rPr>
        <w:t>heritage stores on key metrics including sales growth and contribution margin. Through a combination of remodels and new openings, we expect to end 2016 with between 50 and 55 stores in our Discovery format. We also expect to continue to diversify our real estate portfolio beyond traditional malls with the addition of outlet format stores, shop-in-shops and seasonal pop-up locations;</w:t>
      </w:r>
    </w:p>
    <w:p>
      <w:pPr>
        <w:spacing w:after="0" w:line="3" w:lineRule="exact"/>
        <w:rPr>
          <w:rFonts w:ascii="Arial" w:cs="Arial" w:eastAsia="Arial" w:hAnsi="Arial"/>
          <w:sz w:val="17"/>
          <w:szCs w:val="17"/>
          <w:color w:val="auto"/>
        </w:rPr>
      </w:pPr>
    </w:p>
    <w:p>
      <w:pPr>
        <w:ind w:left="1000" w:right="120" w:hanging="290"/>
        <w:spacing w:after="0" w:line="250"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Attracting more people: </w:t>
      </w:r>
      <w:r>
        <w:rPr>
          <w:rFonts w:ascii="Arial" w:cs="Arial" w:eastAsia="Arial" w:hAnsi="Arial"/>
          <w:sz w:val="18"/>
          <w:szCs w:val="18"/>
          <w:color w:val="auto"/>
        </w:rPr>
        <w:t>We expect to leverage our relationships with key licensors to reach more people, particularly with the teen-plus</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through a compelling offering of affinity, collectible, entertainment, sports and fashion properties. The teen-plus consumer segment over indexes for online purchases and we expect to build on the eight consecutive quarters of consolidated e-commerce growth that we have delivered as we roll out enhanced enterprise selling capabilities that allow consumers to order in store for home delivery in stores across the U.S. We also expect to attract new consumers with products tied to key entertainment properties including licensed products in a new Disney Princess collection, a product line tied to DreamWorks Animation’s upcoming film, Trolls, and the addition of updated products in our Star Wars collection; and</w:t>
      </w:r>
    </w:p>
    <w:p>
      <w:pPr>
        <w:spacing w:after="0" w:line="3" w:lineRule="exact"/>
        <w:rPr>
          <w:rFonts w:ascii="Arial" w:cs="Arial" w:eastAsia="Arial" w:hAnsi="Arial"/>
          <w:sz w:val="18"/>
          <w:szCs w:val="18"/>
          <w:color w:val="auto"/>
        </w:rPr>
      </w:pPr>
    </w:p>
    <w:p>
      <w:pPr>
        <w:ind w:left="1000" w:right="20" w:hanging="290"/>
        <w:spacing w:after="0" w:line="295"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Developing more products: </w:t>
      </w:r>
      <w:r>
        <w:rPr>
          <w:rFonts w:ascii="Arial" w:cs="Arial" w:eastAsia="Arial" w:hAnsi="Arial"/>
          <w:sz w:val="16"/>
          <w:szCs w:val="16"/>
          <w:color w:val="auto"/>
        </w:rPr>
        <w:t>In addition to our best in class licensing relationships, we plan to continue to develop and expand our offering of</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concepts such as Honey Girls, Promise Pets, the holiday-specific Merry Mission and Horses and Hearts collections that are supported by digital content including music, videos and games. By building the story-telling components of the collections, we expect to continue to build units and dollars per transaction as these properties have high attachment rates of accessories to plush.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and Europe for the periods presented:</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94"/>
              </w:rPr>
              <w:t>Twenty-six Weeks Ended</w:t>
            </w: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July 2, 2016</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8"/>
                <w:szCs w:val="18"/>
                <w:b w:val="1"/>
                <w:bCs w:val="1"/>
                <w:color w:val="auto"/>
              </w:rPr>
              <w:t>July 4, 2015</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420" w:type="dxa"/>
            <w:vAlign w:val="bottom"/>
          </w:tcPr>
          <w:p>
            <w:pPr>
              <w:spacing w:after="0"/>
              <w:rPr>
                <w:sz w:val="16"/>
                <w:szCs w:val="16"/>
                <w:color w:val="auto"/>
              </w:rPr>
            </w:pPr>
          </w:p>
        </w:tc>
        <w:tc>
          <w:tcPr>
            <w:tcW w:w="120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North</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North</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4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America</w:t>
            </w: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w w:val="90"/>
              </w:rPr>
              <w:t>Europe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Arial" w:cs="Arial" w:eastAsia="Arial" w:hAnsi="Arial"/>
                <w:sz w:val="18"/>
                <w:szCs w:val="18"/>
                <w:b w:val="1"/>
                <w:bCs w:val="1"/>
                <w:color w:val="auto"/>
              </w:rPr>
              <w:t>Asia</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America</w:t>
            </w: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Europe</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Asia</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195"/>
        </w:trPr>
        <w:tc>
          <w:tcPr>
            <w:tcW w:w="1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Beginning of</w:t>
            </w: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60</w:t>
            </w:r>
          </w:p>
        </w:tc>
        <w:tc>
          <w:tcPr>
            <w:tcW w:w="7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1420" w:type="dxa"/>
            <w:vAlign w:val="bottom"/>
          </w:tcPr>
          <w:p>
            <w:pPr>
              <w:ind w:left="160"/>
              <w:spacing w:after="0"/>
              <w:rPr>
                <w:sz w:val="20"/>
                <w:szCs w:val="20"/>
                <w:color w:val="auto"/>
              </w:rPr>
            </w:pPr>
            <w:r>
              <w:rPr>
                <w:rFonts w:ascii="Arial" w:cs="Arial" w:eastAsia="Arial" w:hAnsi="Arial"/>
                <w:sz w:val="18"/>
                <w:szCs w:val="18"/>
                <w:color w:val="auto"/>
              </w:rPr>
              <w:t>Opened</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0"/>
        </w:trPr>
        <w:tc>
          <w:tcPr>
            <w:tcW w:w="14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420" w:type="dxa"/>
            <w:vAlign w:val="bottom"/>
          </w:tcPr>
          <w:p>
            <w:pPr>
              <w:spacing w:after="0"/>
              <w:rPr>
                <w:sz w:val="20"/>
                <w:szCs w:val="20"/>
                <w:color w:val="auto"/>
              </w:rPr>
            </w:pPr>
            <w:r>
              <w:rPr>
                <w:rFonts w:ascii="Arial" w:cs="Arial" w:eastAsia="Arial" w:hAnsi="Arial"/>
                <w:sz w:val="18"/>
                <w:szCs w:val="18"/>
                <w:color w:val="auto"/>
              </w:rPr>
              <w:t>End of period</w:t>
            </w: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57</w:t>
            </w:r>
          </w:p>
        </w:tc>
        <w:tc>
          <w:tcPr>
            <w:tcW w:w="7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r>
      <w:tr>
        <w:trPr>
          <w:trHeight w:val="20"/>
        </w:trPr>
        <w:tc>
          <w:tcPr>
            <w:tcW w:w="1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2016, we expect to expand our owned and operated locations by adding approximately 15 to 20 stores, net of closures. Through a combination of remodels and new openings, we expect to end the year with between 50 and 55 stores in our Discovery format, including select flagship locations, both domestic and internationally. As of July 2, 2016, we operated 31 stores in our Discovery format and expect to open an additional 20 to 25 new or remodeled Discovery locations in the remainder of the year. We also expect to continue to diversify our real estate portfolio with the addition of more outlet format stores, shop-in-shops and seasonal pop-up locations. We plan to update stores primarily in conjunction with natural lease events including new store openings, relocations and lease required remodels. We also expect to close select stores in accordance with natural lease events as an ongoing part of our real estate management and day-to-day operational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first franchisee location was opened in November 2003. All franchised stores have similar signage, store layout, merchandise characteristics and guest experience as our company-owned stores. As of July 2, 2016, we had eight master franchise agreements, which typically grant franchise rights for a particular country or group of countries, covering an aggregate of 14 countries. The number of international franchised stores, inclusive of pop-up stores and shop-in-shop locations, that opened or closed in the periods presented below are summarized as follows:</w:t>
      </w:r>
    </w:p>
    <w:p>
      <w:pPr>
        <w:spacing w:after="0" w:line="167"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94"/>
              </w:rPr>
              <w:t>July 2, 2016</w:t>
            </w: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July 4, 2015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gridSpan w:val="3"/>
          </w:tcPr>
          <w:p>
            <w:pPr>
              <w:ind w:left="1140"/>
              <w:spacing w:after="0"/>
              <w:rPr>
                <w:sz w:val="20"/>
                <w:szCs w:val="20"/>
                <w:color w:val="auto"/>
              </w:rPr>
            </w:pPr>
            <w:r>
              <w:rPr>
                <w:rFonts w:ascii="Arial" w:cs="Arial" w:eastAsia="Arial" w:hAnsi="Arial"/>
                <w:sz w:val="18"/>
                <w:szCs w:val="18"/>
                <w:color w:val="auto"/>
              </w:rPr>
              <w:t>End of period</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1030"/>
              <w:spacing w:after="0"/>
              <w:rPr>
                <w:sz w:val="20"/>
                <w:szCs w:val="20"/>
                <w:color w:val="auto"/>
              </w:rPr>
            </w:pPr>
            <w:r>
              <w:rPr>
                <w:rFonts w:ascii="Arial" w:cs="Arial" w:eastAsia="Arial" w:hAnsi="Arial"/>
                <w:sz w:val="18"/>
                <w:szCs w:val="18"/>
                <w:color w:val="auto"/>
              </w:rPr>
              <w:t>14</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92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57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4" w:name="page15"/>
    <w:bookmarkEnd w:id="14"/>
    <w:p>
      <w:pPr>
        <w:ind w:firstLine="324"/>
        <w:spacing w:after="0" w:line="255"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In 2016, our international strategy is to leverage the improving strength in our company-owned stores to restructure and extend our international footprint. Key franchisees have started to apply our successful real estate strategies including opening pop-up stores to assess long-term potential and adding shop-in-shops with select partners. We expect to develop market expansion through both new and existing franchisees and a company-owned store model. We believe there is a market potential for approximately 300 international stores outside of the countries in North America and Europe where we currently have company-owned stores.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8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Thirteen weeks ended</w:t>
            </w:r>
          </w:p>
        </w:tc>
        <w:tc>
          <w:tcPr>
            <w:tcW w:w="278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Twenty-six weeks ended</w:t>
            </w:r>
          </w:p>
        </w:tc>
      </w:tr>
      <w:tr>
        <w:trPr>
          <w:trHeight w:val="191"/>
        </w:trPr>
        <w:tc>
          <w:tcPr>
            <w:tcW w:w="516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July 2,</w:t>
            </w:r>
          </w:p>
        </w:tc>
        <w:tc>
          <w:tcPr>
            <w:tcW w:w="118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July 4,</w:t>
            </w:r>
          </w:p>
        </w:tc>
        <w:tc>
          <w:tcPr>
            <w:tcW w:w="26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July 2,</w:t>
            </w:r>
          </w:p>
        </w:tc>
        <w:tc>
          <w:tcPr>
            <w:tcW w:w="118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4,</w:t>
            </w:r>
          </w:p>
        </w:tc>
        <w:tc>
          <w:tcPr>
            <w:tcW w:w="16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99.1%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98.7%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98.6%</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revenue</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Franchise fees</w:t>
            </w: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10"/>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0"/>
        </w:trPr>
        <w:tc>
          <w:tcPr>
            <w:tcW w:w="51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56.5</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54.4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54.8</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merchandise sold - commercial (1)</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97.9</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44.1</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45.1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Store preopening</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0"/>
        </w:trPr>
        <w:tc>
          <w:tcPr>
            <w:tcW w:w="5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income before income taxes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50"/>
        </w:trPr>
        <w:tc>
          <w:tcPr>
            <w:tcW w:w="5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(loss) income</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7"/>
        </w:trPr>
        <w:tc>
          <w:tcPr>
            <w:tcW w:w="516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r>
      <w:tr>
        <w:trPr>
          <w:trHeight w:val="23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Retail Gross Margin %</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80" w:right="4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merchandise sold – retail is expressed as a percentage of net retail sales. Cost of merchandise sold – commercial is expressed as a percentage of commercial revenue.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Thirteen weeks ended July 2, 2016 compared to thirteen weeks ended July 4, 2015</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Total revenues were $75.1 million for the thirteen weeks ended July 2, 2016 compared to $81.0 million for the thirteen weeks ended July 4,</w:t>
      </w:r>
      <w:r>
        <w:rPr>
          <w:rFonts w:ascii="Arial" w:cs="Arial" w:eastAsia="Arial" w:hAnsi="Arial"/>
          <w:sz w:val="17"/>
          <w:szCs w:val="17"/>
          <w:i w:val="1"/>
          <w:iCs w:val="1"/>
          <w:color w:val="auto"/>
        </w:rPr>
        <w:t xml:space="preserve"> </w:t>
      </w:r>
      <w:r>
        <w:rPr>
          <w:rFonts w:ascii="Arial" w:cs="Arial" w:eastAsia="Arial" w:hAnsi="Arial"/>
          <w:sz w:val="17"/>
          <w:szCs w:val="17"/>
          <w:color w:val="auto"/>
        </w:rPr>
        <w:t>2015, a decrease of $5.9 million, or 7.3%. Net retail sales were $73.9 million for the thirteen weeks ended July 2, 2016 as compared to $80.3 million for the thirteen weeks ended July 4, 2015, a decrease of $6.4 million, or 7.9%. The components of this decrease are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Thirteen weeks</w:t>
            </w:r>
          </w:p>
        </w:tc>
      </w:t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July 2,</w:t>
            </w:r>
          </w:p>
        </w:tc>
      </w:tr>
      <w:tr>
        <w:trPr>
          <w:trHeight w:val="234"/>
        </w:trPr>
        <w:tc>
          <w:tcPr>
            <w:tcW w:w="8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r>
      <w:tr>
        <w:trPr>
          <w:trHeight w:val="210"/>
        </w:trPr>
        <w:tc>
          <w:tcPr>
            <w:tcW w:w="86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Decrease in consolidated comparable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(6.2)</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gift card breakage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 from other retail</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r>
      <w:tr>
        <w:trPr>
          <w:trHeight w:val="20"/>
        </w:trPr>
        <w:tc>
          <w:tcPr>
            <w:tcW w:w="8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w:t>
            </w:r>
          </w:p>
        </w:tc>
      </w:tr>
      <w:tr>
        <w:trPr>
          <w:trHeight w:val="20"/>
        </w:trPr>
        <w:tc>
          <w:tcPr>
            <w:tcW w:w="8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believe the decrease in consolidated comparable sales for the thirteen weeks ended July 2, 2016 was primarily attributable to the strong performance of our Minion’s collection last year. Additionally, the strong performance of our new Discovery stores had a positive impact on cconsolidated omparable sales, particularly in North America. Commercial revenue was $0.8 million and $0.2 million for the thirteen weeks ended July 2, 2016 and July 4, 2015, respectively, primarily resulting from the timing of wholesale sales activities. Revenue from franchise fees was $0.4 million and $0.5 million for the thirteen weeks ended July 2, 2016 and July 4, 2015, respectively.</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Retail gross margin. </w:t>
      </w:r>
      <w:r>
        <w:rPr>
          <w:rFonts w:ascii="Arial" w:cs="Arial" w:eastAsia="Arial" w:hAnsi="Arial"/>
          <w:sz w:val="17"/>
          <w:szCs w:val="17"/>
          <w:color w:val="auto"/>
        </w:rPr>
        <w:t>Retail gross margin was $31.2 million for the thirteen weeks ended July 2, 2016, compared to $34.9 million for the thirteen weeks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July 4, 2015, a decrease of $3.7 million, or 10.4%. As a percentage of net retail sales, retail gross margin was 42.2% for the thirteen weeks ended July 2, 2016 compared to 43.5% for the thirteen weeks ended July 4, 2015. This decline of 130 basis points as a percentage of net retail sales was primarily driven by 140 basis points of deleverage of fixed occupancy cost offset by a 10 basis point expansion in merchandise margin.</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were $37.1 million for the thirteen weeks ended July 2, 2016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$35.7 million for the thirteen weeks ended July 4, 2015, an increase of $1.4 million, or 3.8%. As a percentage of total revenues, selling, general and administrative expenses increased to 49.3% for the thirteen weeks ended July 2, 2016 compared to 44.1% for the thirteen weeks ended July 4, 2015, an increase of 520 basis points. The dollar increase was primarily due to unrealized currency losses due to the re-measurement of the balance sheet driven by the significant movement in the British pound sterling, investments in new business initiatives and international expansion to support the execution of our stated strategies, the timing of marketing expenditures and the costs associated with the review of strategic alternatives.</w:t>
      </w:r>
    </w:p>
    <w:p>
      <w:pPr>
        <w:spacing w:after="0" w:line="17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i w:val="1"/>
          <w:iCs w:val="1"/>
          <w:color w:val="auto"/>
        </w:rPr>
        <w:t xml:space="preserve">Store preopening. </w:t>
      </w:r>
      <w:r>
        <w:rPr>
          <w:rFonts w:ascii="Arial" w:cs="Arial" w:eastAsia="Arial" w:hAnsi="Arial"/>
          <w:sz w:val="16"/>
          <w:szCs w:val="16"/>
          <w:color w:val="auto"/>
        </w:rPr>
        <w:t>Store preopening expenses were $1.2 million for the thirteen weeks ended July 2, 2016 as compared to $0.2 million for the thirteen weeks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4, 2015, an increase of $1.0 million. Store preopening expenses for the thirteen weeks ended July 2, 2016 were predominantly associated with openings of new and remodeled Discovery format stores in the first half of the year along with a portion of planned third quarter openings.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$11,000 for the thirteen weeks ended July 2, 2016, compared to $42,000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July 4, 2015.</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The income tax provision was a benefit of $1.9 million for the thirteen weeks ended July 2, 2016 as compared to an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$0.2 million for the thirteen weeks ended July 4, 2015. The effective tax rate was 31.1% for the thirteen weeks ended July 2, 2016 compared to (43.4)% for the thirteen weeks ended July 4, 2015. The 2015 effective tax rate fluctuation was attributable to the effect of the pretax book loss for the thirteen weeks ended July 4, 2015 and the valuation allowance still recorded on our domestic deferred tax assets as of that date.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Twenty-six weeks ended July 2, 2016 compared to twenty-six weeks ended July 4, 2015</w:t>
      </w:r>
    </w:p>
    <w:p>
      <w:pPr>
        <w:spacing w:after="0" w:line="225"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Total revenues were $170.1 million for the twenty-six weeks ended July 2, 2016 as compared to $174.4 million for the twenty-six weeks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4, 2015, a decrease of $4.3 million, or 2.5%. Net retail sales were $168.0 million for the twenty-six weeks ended July 2, 2016 as compared to $171.9 million for the twenty-six weeks ended July 4, 2015, a decrease of $3.9 million, or 2.3%. The components of this decrease are as follows: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Twenty-six weeks</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8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July 2, 2016</w:t>
            </w:r>
          </w:p>
        </w:tc>
      </w:tr>
      <w:tr>
        <w:trPr>
          <w:trHeight w:val="210"/>
        </w:trPr>
        <w:tc>
          <w:tcPr>
            <w:tcW w:w="8620" w:type="dxa"/>
            <w:vAlign w:val="bottom"/>
          </w:tcPr>
          <w:p>
            <w:pPr>
              <w:spacing w:after="0"/>
              <w:rPr>
                <w:sz w:val="18"/>
                <w:szCs w:val="18"/>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Decrease in consolidated comparable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1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gift card breakage</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 from other retail</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w:t>
            </w:r>
          </w:p>
        </w:tc>
      </w:tr>
      <w:tr>
        <w:trPr>
          <w:trHeight w:val="20"/>
        </w:trPr>
        <w:tc>
          <w:tcPr>
            <w:tcW w:w="8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believe the decrease in consolidated comparable sales for the twenty-six weeks ended July 2, 2016 was primarily attributable to the strong performance of our Minion’s collection in last year’s second quarter partially offset by the positive consolidated comparable store sales performance in North America in the first quarter of 2016 as an increase in average dollars per transaction was partially offset by a decline in transactions. We believe this was the result of our overall disciplined management of our business and the elevation of our product and marketing campaigns. Additionally, the strong performance of our new Discovery stores had a positive impact on comparable sales, particularly in North America.</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Commercial revenue was $1.3 million for the twenty-six weeks ended July 2, 2016 compared to $1.4 million for the twenty-six weeks ended July 4, 2015, a decrease of $0.1 million. Revenue from franchise fees was $0.9 million for the twenty-six weeks ended July 2, 2016 compared to $1.1 million for the twenty-six weeks ended July 4, 2015, a decrease of $0.2 million.</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Retail gross margin. </w:t>
      </w:r>
      <w:r>
        <w:rPr>
          <w:rFonts w:ascii="Arial" w:cs="Arial" w:eastAsia="Arial" w:hAnsi="Arial"/>
          <w:sz w:val="17"/>
          <w:szCs w:val="17"/>
          <w:color w:val="auto"/>
        </w:rPr>
        <w:t>Retail gross margin was $76.7 million for the twenty-six weeks ended July 2, 2016 compared to $77.8 million for the twenty-six weeks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July 4, 2015, a decrease of $1.1 million, or 1.4%. As a percentage of net retail sales, retail gross margin increased to 45.6% for the twenty-six weeks ended July 2, 2016 from 45.2% for the twenty-six weeks ended July 4, 2015. This 40 basis point improvement was primarily driven by expansion in merchandise margin and a decrease in overall occupancy costs partially offset by increases in warehousing and distribution costs.</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were $76.7 million for the twenty-six weeks ended July 2, 2016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$72.9 million for the twenty-six weeks ended July 4, 2015, an increase of $3.8 million, or 5.2%. As a percentage of total revenues, selling, general and administrative expenses increased to 45.1% for the twenty-six weeks ended July 2, 2016 as compared to 41.8% for the twenty-six weeks ended July 4, 2015, an increase of 330 basis points. The dollar increase was primarily due to investments in new business initiatives and international expansion to support the execution of our stated strategies, the timing of marketing expenditures and the costs associated with the review of strategic alternatives.</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Store preopening. </w:t>
      </w:r>
      <w:r>
        <w:rPr>
          <w:rFonts w:ascii="Arial" w:cs="Arial" w:eastAsia="Arial" w:hAnsi="Arial"/>
          <w:sz w:val="17"/>
          <w:szCs w:val="17"/>
          <w:color w:val="auto"/>
        </w:rPr>
        <w:t>Store preopening expenses were $2.4 million for the twenty-six weeks ended July 2, 2016 as compared to $0.3 million for the twenty-six</w:t>
      </w:r>
      <w:r>
        <w:rPr>
          <w:rFonts w:ascii="Arial" w:cs="Arial" w:eastAsia="Arial" w:hAnsi="Arial"/>
          <w:sz w:val="17"/>
          <w:szCs w:val="17"/>
          <w:i w:val="1"/>
          <w:iCs w:val="1"/>
          <w:color w:val="auto"/>
        </w:rPr>
        <w:t xml:space="preserve"> </w:t>
      </w:r>
      <w:r>
        <w:rPr>
          <w:rFonts w:ascii="Arial" w:cs="Arial" w:eastAsia="Arial" w:hAnsi="Arial"/>
          <w:sz w:val="17"/>
          <w:szCs w:val="17"/>
          <w:color w:val="auto"/>
        </w:rPr>
        <w:t>weeks ended July 4, 2015, an increase of $2.1 million. Store preopening expenses for the twenty-six weeks ended July 2, 2016 were predominantly associated with new and remodeled Discovery format stores in the first half of the year along with a portion of planned third quarter openings.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$38,000 for the twenty-six weeks ended July 2, 2016, compared to $93,000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July 4, 2015.</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The income tax provision was a benefit of $0.2 million for the twenty-six weeks ended July 2, 2016 as compared to an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expense of $0.4 million for the twenty-six weeks ended July 4, 2015. The effective tax rate was 19.4% for the twenty-six weeks ended July 2, 2016 compared to 6.4% for the twenty-six weeks ended July 4, 2015. The 2016 effective tax rate differed from the statutory rate of 34% primarily due to the effect of permanent differences and a discrete item. The fluctuation in the 2015 effective rate was primarily attributable to </w:t>
      </w:r>
      <w:r>
        <w:rPr>
          <w:rFonts w:ascii="Arial" w:cs="Arial" w:eastAsia="Arial" w:hAnsi="Arial"/>
          <w:sz w:val="17"/>
          <w:szCs w:val="17"/>
          <w:color w:val="auto"/>
          <w:strike w:val="1"/>
        </w:rPr>
        <w:t>the</w:t>
      </w:r>
      <w:r>
        <w:rPr>
          <w:rFonts w:ascii="Arial" w:cs="Arial" w:eastAsia="Arial" w:hAnsi="Arial"/>
          <w:sz w:val="17"/>
          <w:szCs w:val="17"/>
          <w:color w:val="auto"/>
        </w:rPr>
        <w:t xml:space="preserve"> a partial release of the valuation allowance on our domestic deferred tax assets due to the pretax book income earned through the twenty-six weeks ended July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6370320</wp:posOffset>
            </wp:positionH>
            <wp:positionV relativeFrom="paragraph">
              <wp:posOffset>-223520</wp:posOffset>
            </wp:positionV>
            <wp:extent cx="285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seasonal shopping patterns and holiday and vacation schedules; (2) the timing and frequency of our marketing initiatives, including national media and other public relations events; (3) the timing of our store openings and closings and related expenses; (4) changes in general economic conditions and consumer spending patterns; (5) increases or decreases in our comparable store sales; (6) fluctuations in the profitability of our stores; (7) changes in foreign currency exchange rates; (8) the actions of our competitors or mall anchors and co-tenants; (9) changes in consumer preferences; (10) the effectiveness of our inventory management; and (11) weather conditions.</w:t>
      </w:r>
    </w:p>
    <w:p>
      <w:pPr>
        <w:spacing w:after="0" w:line="17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when the closure is communicated to store associates; and at the time of closure. We typically incur most preopening costs for a new store in the three months immediately preceding the store’s opening.</w:t>
      </w:r>
    </w:p>
    <w:p>
      <w:pPr>
        <w:spacing w:after="0" w:line="187"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As an experiential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used in operating activities was $22.2 million for the twenty-six weeks ended July 2, 2016 compared to $7.6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twenty-six weeks ended July 4, 2015, an increase in cash used of $14.6 million. Generally, changes in cash from operating activities are driven by changes in net income or loss and changes in operating assets and liabilities. This increase in cash used in operating activities over the year ago period was primarily due to decreased store contribution, timing of inventory shipments and payments and gift card redemptions.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$10.4 million for the twenty-six weeks ended July 2, 2016 as compared to $6.1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July 4, 2015, an increase of $4.3 million. Cash used in investing activities during the twenty-six weeks ended July 2, 2016 primarily related to store construction and upgrades and purchases of information technology infrastructure, partially offset by the maturity of short-term investments. Cash used in investing activities during the twenty-six weeks ended July 4, 2015 primarily related to upgrades and purchases of central office information technology systems and equipment and store construction and maintenance.</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in the twenty-six weeks ended July 2, 2016 was $2.0 million as purchases of our stock used cash of</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and exercises of employee stock options, net of shares used for withholding tax payments used $0.5 million. Cash used in the twenty-six weeks ended July 4, 2015 was $9.8 million as purchases of our stock used cash of $9.2 million and exercises of employee stock options, net of shares used for withholding tax payments used $0.6 million. No borrowings were made under our line of credit in either the twenty-six weeks ended July 2, 2016 or July 4, 2015.</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of July 2, 2016, we had a consolidated cash balance of $10.2 million, over half of which was domiciled outside of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We also have a line of credit, which we can use to finance capital expenditures and working capital needs throughout the year. The bank line provides availability of $35 million. Borrowings under the credit agreement are secured by our assets and a pledge of 65% of our ownership interest in certain of our foreign subsidiaries. The credit agreement expires on December 31, 2017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July 2, 2016: (i) we were in compliance with these covenants; (ii) there were no borrowings under our line of credit; and (iii) there was approximately $35.0 million available for borrowing under the line of credit.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8" w:name="page19"/>
    <w:bookmarkEnd w:id="18"/>
    <w:p>
      <w:pPr>
        <w:ind w:right="100" w:firstLine="324"/>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9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relocate existing stores and open new stores. Real estate taxes also change according to government time schedules to reflect current market rental rates for the locations we lease. Rents are charged quarterly and paid in advance.</w:t>
      </w:r>
    </w:p>
    <w:p>
      <w:pPr>
        <w:spacing w:after="0" w:line="154"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 fiscal 2016, we expect to spend a total of $25 million to $30 million on capital expenditures. Capital spending through the twenty-six weeks ended July 2, 2016 totaled $11.9 million, on track with our full year plans. Capital spending in fiscal 2016 is expected to primarily support our store activity, including both remodels and new stores, and investment in IT infrastructure.</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2017.</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November 2015, the board adopted a share repurchase program authorizing the repurchase of up to $15 million of our common stock until March 31, 2016. This program authorized us to purchase our common stock in the open market (including through 10b5-1 trading plans), through privately negotiated transactions, or through an accelerated repurchase transaction. The primary source of funding was cash on hand. The timing and amount of share repurchases depended on price, market conditions, applicable regulatory requirements, and other factors. Shares repurchased under this program were subsequently retired. Under this program, we repurchased approximately 615,000 shares at an average price of $12.05 per share for an aggregate amount of $7.4 million. This program expired on March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17, 2016, which includes audited consolidated financial statements for our 2015, 2014 and 2013 fiscal years. There have been no material changes to the critical accounting estimates disclosed in the 2015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10 – Recently Issued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January 2, 2016 as filed with the SEC on March 17,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July 2, 2016, the end of the period covered by this Quarterly Report.</w:t>
      </w:r>
    </w:p>
    <w:p>
      <w:pPr>
        <w:spacing w:after="0" w:line="19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to our Risk Factors as disclosed in our Annual Report on Form 10-K for the year ended January 2, 2016 as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on March 17, 2016, except for the addition of the following risk factor:</w:t>
      </w:r>
    </w:p>
    <w:p>
      <w:pPr>
        <w:spacing w:after="0" w:line="21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outcome of the strategic alternatives evaluation process announced on May 3, 2016 is uncertain and the process may or may not result in any changes to the Company’s business plan or lead to a specific action or transaction.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720" w:type="dxa"/>
            <w:vAlign w:val="bottom"/>
          </w:tcPr>
          <w:p>
            <w:pPr>
              <w:spacing w:after="0"/>
              <w:rPr>
                <w:sz w:val="24"/>
                <w:szCs w:val="24"/>
                <w:color w:val="auto"/>
              </w:rPr>
            </w:pPr>
          </w:p>
        </w:tc>
        <w:tc>
          <w:tcPr>
            <w:tcW w:w="442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8"/>
              </w:rPr>
              <w:t>ISSUER PURCHASES OF EQUITY SECURITIES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37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(or</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Dollar Value)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Units)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of Shares (or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2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Units) the May</w:t>
            </w: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Yet Be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of Shares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(b) Average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Under 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3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gridSpan w:val="2"/>
          </w:tcPr>
          <w:p>
            <w:pPr>
              <w:jc w:val="center"/>
              <w:ind w:right="100"/>
              <w:spacing w:after="0" w:line="193" w:lineRule="exact"/>
              <w:rPr>
                <w:sz w:val="20"/>
                <w:szCs w:val="20"/>
                <w:color w:val="auto"/>
              </w:rPr>
            </w:pPr>
            <w:r>
              <w:rPr>
                <w:rFonts w:ascii="Arial" w:cs="Arial" w:eastAsia="Arial" w:hAnsi="Arial"/>
                <w:sz w:val="18"/>
                <w:szCs w:val="18"/>
                <w:b w:val="1"/>
                <w:bCs w:val="1"/>
                <w:color w:val="auto"/>
                <w:w w:val="94"/>
              </w:rPr>
              <w:t>Units)</w:t>
            </w:r>
          </w:p>
        </w:tc>
        <w:tc>
          <w:tcPr>
            <w:tcW w:w="120" w:type="dxa"/>
            <w:vAlign w:val="bottom"/>
          </w:tcPr>
          <w:p>
            <w:pPr>
              <w:spacing w:after="0"/>
              <w:rPr>
                <w:sz w:val="16"/>
                <w:szCs w:val="16"/>
                <w:color w:val="auto"/>
              </w:rPr>
            </w:pPr>
          </w:p>
        </w:tc>
        <w:tc>
          <w:tcPr>
            <w:tcW w:w="1400" w:type="dxa"/>
            <w:vAlign w:val="bottom"/>
            <w:gridSpan w:val="4"/>
          </w:tcPr>
          <w:p>
            <w:pPr>
              <w:jc w:val="right"/>
              <w:ind w:right="260"/>
              <w:spacing w:after="0" w:line="193" w:lineRule="exact"/>
              <w:rPr>
                <w:sz w:val="20"/>
                <w:szCs w:val="20"/>
                <w:color w:val="auto"/>
              </w:rPr>
            </w:pPr>
            <w:r>
              <w:rPr>
                <w:rFonts w:ascii="Arial" w:cs="Arial" w:eastAsia="Arial" w:hAnsi="Arial"/>
                <w:sz w:val="18"/>
                <w:szCs w:val="18"/>
                <w:b w:val="1"/>
                <w:bCs w:val="1"/>
                <w:color w:val="auto"/>
                <w:w w:val="92"/>
              </w:rPr>
              <w:t>Price Paid Per</w:t>
            </w:r>
          </w:p>
        </w:tc>
        <w:tc>
          <w:tcPr>
            <w:tcW w:w="118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87"/>
              </w:rPr>
              <w:t>Plans or</w:t>
            </w:r>
          </w:p>
        </w:tc>
        <w:tc>
          <w:tcPr>
            <w:tcW w:w="220" w:type="dxa"/>
            <w:vAlign w:val="bottom"/>
          </w:tcPr>
          <w:p>
            <w:pPr>
              <w:spacing w:after="0"/>
              <w:rPr>
                <w:sz w:val="16"/>
                <w:szCs w:val="16"/>
                <w:color w:val="auto"/>
              </w:rPr>
            </w:pPr>
          </w:p>
        </w:tc>
        <w:tc>
          <w:tcPr>
            <w:tcW w:w="11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0"/>
              </w:rPr>
              <w:t>Plans or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8"/>
        </w:trPr>
        <w:tc>
          <w:tcPr>
            <w:tcW w:w="37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00" w:type="dxa"/>
            <w:vAlign w:val="bottom"/>
          </w:tcPr>
          <w:p>
            <w:pPr>
              <w:spacing w:after="0"/>
              <w:rPr>
                <w:sz w:val="22"/>
                <w:szCs w:val="22"/>
                <w:color w:val="auto"/>
              </w:rPr>
            </w:pPr>
          </w:p>
        </w:tc>
        <w:tc>
          <w:tcPr>
            <w:tcW w:w="1300" w:type="dxa"/>
            <w:vAlign w:val="bottom"/>
            <w:gridSpan w:val="2"/>
          </w:tcPr>
          <w:p>
            <w:pPr>
              <w:jc w:val="center"/>
              <w:ind w:right="80"/>
              <w:spacing w:after="0" w:line="258"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9"/>
                <w:szCs w:val="29"/>
                <w:b w:val="1"/>
                <w:bCs w:val="1"/>
                <w:color w:val="auto"/>
                <w:w w:val="84"/>
                <w:vertAlign w:val="superscript"/>
              </w:rPr>
              <w:t>(1)</w:t>
            </w:r>
          </w:p>
        </w:tc>
        <w:tc>
          <w:tcPr>
            <w:tcW w:w="120" w:type="dxa"/>
            <w:vAlign w:val="bottom"/>
          </w:tcPr>
          <w:p>
            <w:pPr>
              <w:spacing w:after="0"/>
              <w:rPr>
                <w:sz w:val="22"/>
                <w:szCs w:val="22"/>
                <w:color w:val="auto"/>
              </w:rPr>
            </w:pPr>
          </w:p>
        </w:tc>
        <w:tc>
          <w:tcPr>
            <w:tcW w:w="1400" w:type="dxa"/>
            <w:vAlign w:val="bottom"/>
            <w:gridSpan w:val="4"/>
          </w:tcPr>
          <w:p>
            <w:pPr>
              <w:spacing w:after="0"/>
              <w:rPr>
                <w:sz w:val="20"/>
                <w:szCs w:val="20"/>
                <w:color w:val="auto"/>
              </w:rPr>
            </w:pPr>
            <w:r>
              <w:rPr>
                <w:rFonts w:ascii="Arial" w:cs="Arial" w:eastAsia="Arial" w:hAnsi="Arial"/>
                <w:sz w:val="18"/>
                <w:szCs w:val="18"/>
                <w:b w:val="1"/>
                <w:bCs w:val="1"/>
                <w:color w:val="auto"/>
              </w:rPr>
              <w:t>Share (or Unit)</w:t>
            </w:r>
          </w:p>
        </w:tc>
        <w:tc>
          <w:tcPr>
            <w:tcW w:w="1180" w:type="dxa"/>
            <w:vAlign w:val="bottom"/>
          </w:tcPr>
          <w:p>
            <w:pPr>
              <w:jc w:val="center"/>
              <w:spacing w:after="0" w:line="258"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9"/>
                <w:szCs w:val="29"/>
                <w:b w:val="1"/>
                <w:bCs w:val="1"/>
                <w:color w:val="auto"/>
                <w:w w:val="86"/>
                <w:vertAlign w:val="superscript"/>
              </w:rPr>
              <w:t>(2)</w:t>
            </w:r>
          </w:p>
        </w:tc>
        <w:tc>
          <w:tcPr>
            <w:tcW w:w="220" w:type="dxa"/>
            <w:vAlign w:val="bottom"/>
          </w:tcPr>
          <w:p>
            <w:pPr>
              <w:spacing w:after="0"/>
              <w:rPr>
                <w:sz w:val="22"/>
                <w:szCs w:val="22"/>
                <w:color w:val="auto"/>
              </w:rPr>
            </w:pPr>
          </w:p>
        </w:tc>
        <w:tc>
          <w:tcPr>
            <w:tcW w:w="1120" w:type="dxa"/>
            <w:vAlign w:val="bottom"/>
          </w:tcPr>
          <w:p>
            <w:pPr>
              <w:jc w:val="center"/>
              <w:spacing w:after="0" w:line="258"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9"/>
                <w:szCs w:val="29"/>
                <w:b w:val="1"/>
                <w:bCs w:val="1"/>
                <w:color w:val="auto"/>
                <w:w w:val="86"/>
                <w:vertAlign w:val="superscript"/>
              </w:rPr>
              <w:t>(2)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Apr. 3, 2016 – Apr. 30, 2016</w:t>
            </w:r>
          </w:p>
        </w:tc>
        <w:tc>
          <w:tcPr>
            <w:tcW w:w="16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May 1, 2016 – May 28, 2016</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13.35</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May 29, 2016 – Jul. 2, 2016</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14.06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r>
      <w:tr>
        <w:trPr>
          <w:trHeight w:val="20"/>
        </w:trPr>
        <w:tc>
          <w:tcPr>
            <w:tcW w:w="37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11,659</w:t>
            </w: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13.97</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181" w:lineRule="exact"/>
        <w:rPr>
          <w:rFonts w:ascii="Arial" w:cs="Arial" w:eastAsia="Arial" w:hAnsi="Arial"/>
          <w:sz w:val="18"/>
          <w:szCs w:val="18"/>
          <w:color w:val="auto"/>
        </w:rPr>
      </w:pPr>
    </w:p>
    <w:p>
      <w:pPr>
        <w:ind w:left="540" w:right="480" w:hanging="53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2015, the board adopted a share repurchase program authorizing the repurchase of up to $15 million of our common stock. Shares repurchased under this program were subsequently retired. This program expired on March 31,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jc w:val="right"/>
              <w:ind w:right="455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Agreement and Plan of Merger dated April 3, 2000 between Build-A-Bear Workshop, L.L.C. and the Registrant (incorporated by reference</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Third Amended and Restated Certificate of Incorporation (incorporated by reference from Exhibit 3.1 of our Current Report on Form 8-K,</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November 11, 2004)</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Amended and Restated Bylaws (incorporated by reference from Exhibit 3.4 to our Registration Statement on Form S-1, filed on August 12,</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October 1, 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Rule 13a-14(a)/15d-14(a) certification (pursuant to Section 302 of the Sarbanes-Oxley Act of 2002, executed by the President and Chief</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Executive Officer)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 Financial Officer)</w:t>
            </w:r>
          </w:p>
        </w:tc>
        <w:tc>
          <w:tcPr>
            <w:tcW w:w="4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Section 1350 Certification (pursuant to Section 906 of the Sarbanes-Oxley Act of 2002, executed by the President and Chief Executive</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Financial Officer)</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Schema</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Calculation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Definition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Label</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Presentation</w:t>
            </w:r>
          </w:p>
        </w:tc>
        <w:tc>
          <w:tcPr>
            <w:tcW w:w="40" w:type="dxa"/>
            <w:vAlign w:val="bottom"/>
          </w:tcPr>
          <w:p>
            <w:pPr>
              <w:spacing w:after="0"/>
              <w:rPr>
                <w:sz w:val="24"/>
                <w:szCs w:val="24"/>
                <w:color w:val="auto"/>
              </w:rPr>
            </w:pPr>
          </w:p>
        </w:tc>
      </w:tr>
      <w:tr>
        <w:trPr>
          <w:trHeight w:val="891"/>
        </w:trPr>
        <w:tc>
          <w:tcPr>
            <w:tcW w:w="1160" w:type="dxa"/>
            <w:vAlign w:val="bottom"/>
          </w:tcPr>
          <w:p>
            <w:pPr>
              <w:spacing w:after="0"/>
              <w:rPr>
                <w:sz w:val="24"/>
                <w:szCs w:val="24"/>
                <w:color w:val="auto"/>
              </w:rPr>
            </w:pPr>
          </w:p>
        </w:tc>
        <w:tc>
          <w:tcPr>
            <w:tcW w:w="10260" w:type="dxa"/>
            <w:vAlign w:val="bottom"/>
            <w:gridSpan w:val="2"/>
          </w:tcPr>
          <w:p>
            <w:pPr>
              <w:jc w:val="right"/>
              <w:ind w:right="553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1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3413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(on behalf of the registrant and as principal executive officer)</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Voin Todorovic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3413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(on behalf of the registrant and as principal financial officer)</w:t>
      </w:r>
    </w:p>
    <w:p>
      <w:pPr>
        <w:spacing w:after="0" w:line="200" w:lineRule="exact"/>
        <w:rPr>
          <w:sz w:val="20"/>
          <w:szCs w:val="20"/>
          <w:color w:val="auto"/>
        </w:rPr>
      </w:pPr>
    </w:p>
    <w:p>
      <w:pPr>
        <w:spacing w:after="0" w:line="29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600"/>
          </w:cols>
          <w:pgMar w:left="240" w:top="580" w:right="10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2016</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495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2016</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July 2, 2016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2016</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July 2, 2016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2019-12-07T07:54:12Z</dcterms:created>
  <dcterms:modified xsi:type="dcterms:W3CDTF">2019-12-07T07:54:12Z</dcterms:modified>
</cp:coreProperties>
</file>