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245110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238125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060" w:hanging="432"/>
        <w:spacing w:after="0" w:line="493" w:lineRule="auto"/>
        <w:tabs>
          <w:tab w:leader="none" w:pos="59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1, 2017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223520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BUILD-A-BEAR WORKSHOP, INC.</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2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0"/>
              </w:rPr>
              <w:t>(State or Other Jurisdiction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2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93"/>
              </w:rPr>
              <w:t>Incorporation or Organization)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52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40" w:type="dxa"/>
            <w:vAlign w:val="bottom"/>
          </w:tcPr>
          <w:p>
            <w:pPr>
              <w:spacing w:after="0"/>
              <w:rPr>
                <w:sz w:val="24"/>
                <w:szCs w:val="24"/>
                <w:color w:val="auto"/>
              </w:rPr>
            </w:pPr>
          </w:p>
        </w:tc>
      </w:tr>
      <w:tr>
        <w:trPr>
          <w:trHeight w:val="216"/>
        </w:trPr>
        <w:tc>
          <w:tcPr>
            <w:tcW w:w="652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89"/>
              </w:rPr>
              <w:t>St. Louis, Missouri</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5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(314) 423-8000</w:t>
            </w: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6520" w:type="dxa"/>
            <w:vAlign w:val="bottom"/>
            <w:gridSpan w:val="3"/>
          </w:tcPr>
          <w:p>
            <w:pPr>
              <w:jc w:val="center"/>
              <w:ind w:left="213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40" w:type="dxa"/>
            <w:vAlign w:val="bottom"/>
          </w:tcPr>
          <w:p>
            <w:pPr>
              <w:spacing w:after="0"/>
              <w:rPr>
                <w:sz w:val="20"/>
                <w:szCs w:val="20"/>
                <w:color w:val="auto"/>
              </w:rPr>
            </w:pPr>
          </w:p>
        </w:tc>
      </w:tr>
      <w:tr>
        <w:trPr>
          <w:trHeight w:val="108"/>
        </w:trPr>
        <w:tc>
          <w:tcPr>
            <w:tcW w:w="354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440" w:type="dxa"/>
            <w:vAlign w:val="bottom"/>
          </w:tcPr>
          <w:p>
            <w:pPr>
              <w:spacing w:after="0"/>
              <w:rPr>
                <w:sz w:val="9"/>
                <w:szCs w:val="9"/>
                <w:color w:val="auto"/>
              </w:rPr>
            </w:pPr>
          </w:p>
        </w:tc>
      </w:tr>
    </w:tbl>
    <w:p>
      <w:pPr>
        <w:spacing w:after="0" w:line="310"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2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4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84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840"/>
              <w:spacing w:after="0"/>
              <w:rPr>
                <w:sz w:val="20"/>
                <w:szCs w:val="20"/>
                <w:color w:val="auto"/>
              </w:rPr>
            </w:pPr>
            <w:r>
              <w:rPr>
                <w:rFonts w:ascii="Arial" w:cs="Arial" w:eastAsia="Arial" w:hAnsi="Arial"/>
                <w:sz w:val="18"/>
                <w:szCs w:val="18"/>
                <w:color w:val="auto"/>
              </w:rPr>
              <w:t>(Do not check if a smaller reporting company)</w:t>
            </w:r>
          </w:p>
        </w:tc>
        <w:tc>
          <w:tcPr>
            <w:tcW w:w="4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500" w:type="dxa"/>
            <w:vAlign w:val="bottom"/>
          </w:tcPr>
          <w:p>
            <w:pPr>
              <w:ind w:left="840"/>
              <w:spacing w:after="0" w:line="183" w:lineRule="exact"/>
              <w:rPr>
                <w:sz w:val="20"/>
                <w:szCs w:val="20"/>
                <w:color w:val="auto"/>
              </w:rPr>
            </w:pPr>
            <w:r>
              <w:rPr>
                <w:rFonts w:ascii="Arial" w:cs="Arial" w:eastAsia="Arial" w:hAnsi="Arial"/>
                <w:sz w:val="18"/>
                <w:szCs w:val="18"/>
                <w:color w:val="auto"/>
              </w:rPr>
              <w:t>Smaller reporting company</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500" w:type="dxa"/>
            <w:vAlign w:val="bottom"/>
          </w:tcPr>
          <w:p>
            <w:pPr>
              <w:ind w:left="8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4, 2017, there were 16,033,667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395" w:right="279" w:bottom="39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95" w:right="279" w:bottom="39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9860" w:type="dxa"/>
            <w:vAlign w:val="bottom"/>
          </w:tcPr>
          <w:p>
            <w:pPr>
              <w:spacing w:after="0"/>
              <w:rPr>
                <w:sz w:val="17"/>
                <w:szCs w:val="17"/>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w w:val="99"/>
              </w:rPr>
              <w:t>Page</w:t>
            </w:r>
          </w:p>
        </w:tc>
        <w:tc>
          <w:tcPr>
            <w:tcW w:w="40" w:type="dxa"/>
            <w:vAlign w:val="bottom"/>
          </w:tcPr>
          <w:p>
            <w:pPr>
              <w:spacing w:after="0"/>
              <w:rPr>
                <w:sz w:val="17"/>
                <w:szCs w:val="17"/>
                <w:color w:val="auto"/>
              </w:rPr>
            </w:pPr>
          </w:p>
        </w:tc>
      </w:tr>
      <w:tr>
        <w:trPr>
          <w:trHeight w:val="21"/>
        </w:trPr>
        <w:tc>
          <w:tcPr>
            <w:tcW w:w="1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0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 I Financial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Consolidated Balance Sheets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9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Consolidated Statements of Operations and Comprehensive (Loss) Income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Consolidated Statements of Cash Flows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9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 II Other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Signatures</w:t>
            </w:r>
          </w:p>
        </w:tc>
        <w:tc>
          <w:tcPr>
            <w:tcW w:w="98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891"/>
        </w:trPr>
        <w:tc>
          <w:tcPr>
            <w:tcW w:w="1120" w:type="dxa"/>
            <w:vAlign w:val="bottom"/>
          </w:tcPr>
          <w:p>
            <w:pPr>
              <w:spacing w:after="0"/>
              <w:rPr>
                <w:sz w:val="24"/>
                <w:szCs w:val="24"/>
                <w:color w:val="auto"/>
              </w:rPr>
            </w:pPr>
          </w:p>
        </w:tc>
        <w:tc>
          <w:tcPr>
            <w:tcW w:w="9860" w:type="dxa"/>
            <w:vAlign w:val="bottom"/>
          </w:tcPr>
          <w:p>
            <w:pPr>
              <w:ind w:left="45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1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20" w:type="dxa"/>
            <w:vAlign w:val="bottom"/>
            <w:shd w:val="clear" w:color="auto" w:fill="808080"/>
          </w:tcPr>
          <w:p>
            <w:pPr>
              <w:spacing w:after="0"/>
              <w:rPr>
                <w:sz w:val="5"/>
                <w:szCs w:val="5"/>
                <w:color w:val="auto"/>
              </w:rPr>
            </w:pPr>
          </w:p>
        </w:tc>
        <w:tc>
          <w:tcPr>
            <w:tcW w:w="9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July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July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51,885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12,737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$170,785; $172,333 and</w:t>
            </w: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$183,829, respectively</w:t>
            </w:r>
          </w:p>
        </w:tc>
        <w:tc>
          <w:tcPr>
            <w:tcW w:w="2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82,857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63,945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15,438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July 1, 2017, December 31, 2016 and July 2, 2016</w:t>
            </w:r>
          </w:p>
        </w:tc>
        <w:tc>
          <w:tcPr>
            <w:tcW w:w="2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16,034,437; 15,856,927 and 15,856,305 shares,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103,327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96,440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July 1, 2017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July 2, 2016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July 1, 2017</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July 2,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74,422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73,928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163,007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77,226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Cost of merchandise sold - retail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42,760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merchandise sold - commercial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37,050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preopening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income before income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(loss) income</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income per common share: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(0.10)</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(0.28)</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0.08</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15,627,324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15,486,462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15,583,631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15,448,580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15,627,324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15,486,462</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15,773,051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15,448,580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8"/>
              </w:rPr>
              <w:t>July 1, 2017</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July 2,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Impairment of store assets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(15,675)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related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(11,103)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(22,237)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(7,896)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sale or maturitiy of short term investments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made under capital leases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Company's common stock</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used in financing activities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(19,915)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12,568</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31, 2016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31, 2016, which were included in the Company’s annual report on Form 10-K filed with the SEC on March 16, 2017.</w:t>
      </w:r>
    </w:p>
    <w:p>
      <w:pPr>
        <w:spacing w:after="0" w:line="17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 xml:space="preserve">The Company adopted Accounting Standards Update (ASU) No. 2016-09, </w:t>
      </w:r>
      <w:r>
        <w:rPr>
          <w:rFonts w:ascii="Arial" w:cs="Arial" w:eastAsia="Arial" w:hAnsi="Arial"/>
          <w:sz w:val="16"/>
          <w:szCs w:val="16"/>
          <w:i w:val="1"/>
          <w:iCs w:val="1"/>
          <w:color w:val="auto"/>
        </w:rPr>
        <w:t xml:space="preserve">Compensation – Stock Compensation: Improvements to Employee Share-Based Payment Accounting, </w:t>
      </w:r>
      <w:r>
        <w:rPr>
          <w:rFonts w:ascii="Arial" w:cs="Arial" w:eastAsia="Arial" w:hAnsi="Arial"/>
          <w:sz w:val="16"/>
          <w:szCs w:val="16"/>
          <w:color w:val="auto"/>
        </w:rPr>
        <w:t>effective January 1, 2017. The Company made an accounting policy election to account for forfeitures as they occur. The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election, along with the adoption of the other provisions of the standard in the first quarter of 2017, was to increase deferred tax assets by $1.6 million, increase additional paid-in-capital by $0.3 million, increase retained earnings by $1.9 million and decrease taxes payable by $0.6 million.</w:t>
      </w:r>
    </w:p>
    <w:p>
      <w:pPr>
        <w:spacing w:after="0" w:line="15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Additionally, the Company early adopted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xml:space="preserve"> effective January 1, 2017. Using the modified retrospective method, the impact of the adoption of the standard in the first quarter of 2017 was to increase deferred tax assets by $1.0 million, decrease other assets, net by $2.3 million and decrease retained earnings by $1.3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18"/>
                <w:szCs w:val="18"/>
                <w:color w:val="auto"/>
              </w:rPr>
            </w:pPr>
          </w:p>
        </w:tc>
        <w:tc>
          <w:tcPr>
            <w:tcW w:w="15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July 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5,294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13,817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13"/>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3. Accrued Expenses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51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6"/>
              </w:rPr>
              <w:t>July 2,</w:t>
            </w:r>
          </w:p>
        </w:tc>
        <w:tc>
          <w:tcPr>
            <w:tcW w:w="6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1,816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1,284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Current income taxes payable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294</w:t>
            </w:r>
          </w:p>
        </w:tc>
        <w:tc>
          <w:tcPr>
            <w:tcW w:w="6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11,285</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15,897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92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9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14, 2017, the Company’s Board of Directors (the Board) adopted, subject to stockholder approval, the Build-A-Bear Workshop, Inc. 2017 Omnibus Incentive Plan (the Incentive Plan). On May 11, 2017, at the Company’s 2017 Annual Meeting of Stockholders, the Company’s stockholders approved the Incentive Plan. The Incentive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Incentive Plan. The Board may amend, modify or terminate the Incentive Plan at any time, except as provided in the Incentive Plan. The Incentive Plan will terminate on March 14, 2027, unless earlier terminated by the Board. The number of shares of the Company’s common stock authorized for issuance under the Incentive Plan is 1,000,000, plus shares of stock subject to outstanding awards made under the Company’s Third Amended and Restated 2004 Stock Incentive Plan that on or after March 21, 2017 may be forfeited, expire or be settled for cash.</w:t>
      </w:r>
    </w:p>
    <w:p>
      <w:pPr>
        <w:spacing w:after="0" w:line="16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For the thirteen and twenty-six weeks ended July 1, 2017, selling, general and administrative expense includes $0.9 million and $1.9 million, respectively, of stock-based compensation expense. For the thirteen and twenty-six weeks ended July 2, 2016, selling, general and administrative expense includes $0.8 million and $1.5 million, respectively, of stock-based compensation expense. As of July 1, 2017, there was $5.4 million of total unrecognized compensation expense related to unvested restricted stock and option awards which is expected to be recognized over a weighted-average period of 1.6 years.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the balances and activity for stock options for the twenty-six weeks ended July 1,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125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 Exercise</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72,051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26,795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July 1, 2017</w:t>
            </w:r>
          </w:p>
        </w:tc>
        <w:tc>
          <w:tcPr>
            <w:tcW w:w="1560" w:type="dxa"/>
            <w:vAlign w:val="bottom"/>
          </w:tcPr>
          <w:p>
            <w:pPr>
              <w:jc w:val="right"/>
              <w:spacing w:after="0"/>
              <w:rPr>
                <w:sz w:val="20"/>
                <w:szCs w:val="20"/>
                <w:color w:val="auto"/>
              </w:rPr>
            </w:pPr>
            <w:r>
              <w:rPr>
                <w:rFonts w:ascii="Arial" w:cs="Arial" w:eastAsia="Arial" w:hAnsi="Arial"/>
                <w:sz w:val="18"/>
                <w:szCs w:val="18"/>
                <w:color w:val="auto"/>
              </w:rPr>
              <w:t>793,451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 related to time-based and performance-based restricted stock for the twenty-six weeks ended July 1, 2017:</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8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Restricted Stock</w:t>
            </w:r>
          </w:p>
        </w:tc>
        <w:tc>
          <w:tcPr>
            <w:tcW w:w="2700" w:type="dxa"/>
            <w:vAlign w:val="bottom"/>
            <w:gridSpan w:val="5"/>
          </w:tcPr>
          <w:p>
            <w:pPr>
              <w:ind w:left="520"/>
              <w:spacing w:after="0"/>
              <w:rPr>
                <w:sz w:val="20"/>
                <w:szCs w:val="20"/>
                <w:color w:val="auto"/>
              </w:rPr>
            </w:pPr>
            <w:r>
              <w:rPr>
                <w:rFonts w:ascii="Arial" w:cs="Arial" w:eastAsia="Arial" w:hAnsi="Arial"/>
                <w:sz w:val="18"/>
                <w:szCs w:val="18"/>
                <w:b w:val="1"/>
                <w:bCs w:val="1"/>
                <w:color w:val="auto"/>
              </w:rPr>
              <w:t>Performance Shares</w:t>
            </w:r>
          </w:p>
        </w:tc>
      </w:tr>
      <w:tr>
        <w:trPr>
          <w:trHeight w:val="191"/>
        </w:trPr>
        <w:tc>
          <w:tcPr>
            <w:tcW w:w="53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Date Fair</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53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316,116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241,141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252,121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83,897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tcPr>
          <w:p>
            <w:pPr>
              <w:jc w:val="right"/>
              <w:spacing w:after="0"/>
              <w:rPr>
                <w:sz w:val="20"/>
                <w:szCs w:val="20"/>
                <w:color w:val="auto"/>
              </w:rPr>
            </w:pPr>
            <w:r>
              <w:rPr>
                <w:rFonts w:ascii="Arial" w:cs="Arial" w:eastAsia="Arial" w:hAnsi="Arial"/>
                <w:sz w:val="18"/>
                <w:szCs w:val="18"/>
                <w:color w:val="auto"/>
              </w:rPr>
              <w:t>24,331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15,247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13,704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r>
      <w:tr>
        <w:trPr>
          <w:trHeight w:val="20"/>
        </w:trPr>
        <w:tc>
          <w:tcPr>
            <w:tcW w:w="5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Outstanding, July 1, 2017</w:t>
            </w:r>
          </w:p>
        </w:tc>
        <w:tc>
          <w:tcPr>
            <w:tcW w:w="1180" w:type="dxa"/>
            <w:vAlign w:val="bottom"/>
          </w:tcPr>
          <w:p>
            <w:pPr>
              <w:jc w:val="right"/>
              <w:spacing w:after="0"/>
              <w:rPr>
                <w:sz w:val="20"/>
                <w:szCs w:val="20"/>
                <w:color w:val="auto"/>
              </w:rPr>
            </w:pPr>
            <w:r>
              <w:rPr>
                <w:rFonts w:ascii="Arial" w:cs="Arial" w:eastAsia="Arial" w:hAnsi="Arial"/>
                <w:sz w:val="18"/>
                <w:szCs w:val="18"/>
                <w:color w:val="auto"/>
              </w:rPr>
              <w:t>369,874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289,615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r>
      <w:tr>
        <w:trPr>
          <w:trHeight w:val="20"/>
        </w:trPr>
        <w:tc>
          <w:tcPr>
            <w:tcW w:w="5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shares vested during the twenty-six weeks ended July 1, 2017 and July 2, 2016 was $2.2 million and $1.6 million, respectively.</w:t>
      </w:r>
    </w:p>
    <w:p>
      <w:pPr>
        <w:spacing w:after="0" w:line="24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March 2017, the Company awarded three-year performance-based restricted stock subject to the achievement of pre-established consolidated total pre-tax income goals for fiscal 2017, 2018 and 2019. These shares have a payout opportunity ranging from 25% to 200% of the target number of shares. In 2017, 13,704 performance shares issued in fiscal 2016 were canceled as the pre-established pre-tax income objectives for 2016 were not achieved.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The outstanding performance shares as of July 1, 2017 consist of the following:</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5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Earned shares subject to time-based restrictions at actual</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- 2017 consolidated total revenues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2016</w:t>
            </w:r>
          </w:p>
        </w:tc>
        <w:tc>
          <w:tcPr>
            <w:tcW w:w="8080" w:type="dxa"/>
            <w:vAlign w:val="bottom"/>
          </w:tcPr>
          <w:p>
            <w:pPr>
              <w:ind w:left="20"/>
              <w:spacing w:after="0"/>
              <w:rPr>
                <w:sz w:val="20"/>
                <w:szCs w:val="20"/>
                <w:color w:val="auto"/>
              </w:rPr>
            </w:pPr>
            <w:r>
              <w:rPr>
                <w:rFonts w:ascii="Arial" w:cs="Arial" w:eastAsia="Arial" w:hAnsi="Arial"/>
                <w:sz w:val="18"/>
                <w:szCs w:val="18"/>
                <w:color w:val="auto"/>
              </w:rPr>
              <w:t>- 2018 consolidated total revenues</w:t>
            </w:r>
          </w:p>
        </w:tc>
        <w:tc>
          <w:tcPr>
            <w:tcW w:w="1540" w:type="dxa"/>
            <w:vAlign w:val="bottom"/>
          </w:tcPr>
          <w:p>
            <w:pPr>
              <w:jc w:val="right"/>
              <w:spacing w:after="0"/>
              <w:rPr>
                <w:sz w:val="20"/>
                <w:szCs w:val="20"/>
                <w:color w:val="auto"/>
              </w:rPr>
            </w:pPr>
            <w:r>
              <w:rPr>
                <w:rFonts w:ascii="Arial" w:cs="Arial" w:eastAsia="Arial" w:hAnsi="Arial"/>
                <w:sz w:val="18"/>
                <w:szCs w:val="18"/>
                <w:color w:val="auto"/>
              </w:rPr>
              <w:t>149,393</w:t>
            </w:r>
          </w:p>
        </w:tc>
        <w:tc>
          <w:tcPr>
            <w:tcW w:w="100" w:type="dxa"/>
            <w:vAlign w:val="bottom"/>
          </w:tcPr>
          <w:p>
            <w:pPr>
              <w:spacing w:after="0"/>
              <w:rPr>
                <w:sz w:val="18"/>
                <w:szCs w:val="18"/>
                <w:color w:val="auto"/>
              </w:rPr>
            </w:pPr>
          </w:p>
        </w:tc>
      </w:tr>
      <w:tr>
        <w:trPr>
          <w:trHeight w:val="216"/>
        </w:trPr>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- 2019 consolidated pre-tax income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20" w:type="dxa"/>
            <w:vAlign w:val="bottom"/>
            <w:gridSpan w:val="2"/>
          </w:tcPr>
          <w:p>
            <w:pPr>
              <w:spacing w:after="0"/>
              <w:rPr>
                <w:sz w:val="20"/>
                <w:szCs w:val="20"/>
                <w:color w:val="auto"/>
              </w:rPr>
            </w:pPr>
            <w:r>
              <w:rPr>
                <w:rFonts w:ascii="Arial" w:cs="Arial" w:eastAsia="Arial" w:hAnsi="Arial"/>
                <w:sz w:val="18"/>
                <w:szCs w:val="18"/>
                <w:color w:val="auto"/>
              </w:rPr>
              <w:t>Performance shares outstanding, July 1, 2017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289,615</w:t>
            </w:r>
          </w:p>
        </w:tc>
        <w:tc>
          <w:tcPr>
            <w:tcW w:w="10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was 41.4% and 37.7% for the thirteen and twenty-six weeks ended July 1, 2017, respectively, compared to 31.1% and 19.4% for the thirteen and twenty-six weeks ended July 2, 2016, respectively. The 2017 effective tax rate differed from the statutory rate of 34% primarily due to the implementation of the new accounting standard related to the accounting for the tax impact of equity awards vesting and other discrete items. The fluctuation in the 2016 effective tax rate was primarily due to the effect of permanent items and a discrete item.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changes in stockholders’ equity for the twenty-six weeks ended July 1, 2017 and July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Twenty-six weeks ended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July 1, 2017</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July 2, 2016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6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Adoption of new accounting standards</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repurchase and retirement</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Ending balance</w:t>
            </w:r>
          </w:p>
        </w:tc>
        <w:tc>
          <w:tcPr>
            <w:tcW w:w="2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103,327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96,440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40" w:type="dxa"/>
            <w:vAlign w:val="bottom"/>
            <w:vMerge w:val="restart"/>
          </w:tcPr>
          <w:p>
            <w:pPr>
              <w:jc w:val="right"/>
              <w:ind w:right="161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414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7. (Loss) Income per Share</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uses the two-class method to compute basic and diluted (loss) income per common share. In periods of loss, no effect is given to the Company’s participating securities as they do not contractually participate in the losses of the Company. The following table sets forth the computation of basic and diluted (loss) income per share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July 1, 2017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July 2, 2016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0"/>
              </w:rPr>
              <w:t>July 1, 2017</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July 2,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(loss) income before allocation of earnings to participating securities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Net (loss) income after allocation of earnings to participating securities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15,627,324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15,486,462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15,583,631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15,627,324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15,486,462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15,773,051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15,448,580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line="182" w:lineRule="exact"/>
              <w:rPr>
                <w:sz w:val="20"/>
                <w:szCs w:val="20"/>
                <w:color w:val="auto"/>
              </w:rPr>
            </w:pPr>
            <w:r>
              <w:rPr>
                <w:rFonts w:ascii="Arial" w:cs="Arial" w:eastAsia="Arial" w:hAnsi="Arial"/>
                <w:sz w:val="18"/>
                <w:szCs w:val="18"/>
                <w:color w:val="auto"/>
                <w:w w:val="94"/>
              </w:rPr>
              <w:t>Basic (loss) income per common share attributable to Build-A-Bear Workshop,</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(0.10)</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(0.28)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0.08</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40" w:type="dxa"/>
            <w:vAlign w:val="bottom"/>
          </w:tcPr>
          <w:p>
            <w:pPr>
              <w:ind w:left="160"/>
              <w:spacing w:after="0" w:line="190" w:lineRule="exact"/>
              <w:rPr>
                <w:sz w:val="20"/>
                <w:szCs w:val="20"/>
                <w:color w:val="auto"/>
              </w:rPr>
            </w:pPr>
            <w:r>
              <w:rPr>
                <w:rFonts w:ascii="Arial" w:cs="Arial" w:eastAsia="Arial" w:hAnsi="Arial"/>
                <w:sz w:val="18"/>
                <w:szCs w:val="18"/>
                <w:color w:val="auto"/>
              </w:rPr>
              <w:t>Inc. stockholders:</w:t>
            </w:r>
          </w:p>
        </w:tc>
        <w:tc>
          <w:tcPr>
            <w:tcW w:w="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Diluted (loss) income per common share attributable to Build-A-Bear Workshop,</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Inc. stockholders</w:t>
            </w:r>
          </w:p>
        </w:tc>
        <w:tc>
          <w:tcPr>
            <w:tcW w:w="2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calculating diluted income per share for the twenty-six weeks ended July 1, 2017, options to purchase 314,231 shares of common stock that were outstanding at the end of the period were not included in the computation of diluted net loss per share due to their anti-dilutive effect. Due to the net loss for the thirteen week periods ended July 1, 2017 and July 2, 2016 and in the twenty-six week period ended July 2, 2016, the denominator for diluted loss per common share is the same as the denominator for basic loss per common share for those periods because the inclusion of stock options and unvested restricted shares would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(Loss) Income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July 1, 2017, December 31, 2016 and July 2, 2016 is comprised entirely of foreign currency translation. For the thirteen and twenty-six weeks ended July 1, 2017 and July 2, 2016,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company-owned stores in the United States, Canada, the United Kingdom, Ireland, Denmark and China and other retail delivery operations, including the Company’s e-commerce sites and temporary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Direct-to-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International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Consumer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Franchising</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1, 2017</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74,422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2, 2016</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73,928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1, 2017</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163,007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3,733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2, 2016</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167,984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July 1, 2017</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173,369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2,309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July 2, 2016</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168,827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14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0" w:name="page11"/>
    <w:bookmarkEnd w:id="10"/>
    <w:p>
      <w:pPr>
        <w:jc w:val="both"/>
        <w:ind w:right="60" w:firstLine="324"/>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60"/>
              <w:spacing w:after="0" w:line="258"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29"/>
                <w:szCs w:val="29"/>
                <w:b w:val="1"/>
                <w:bCs w:val="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right"/>
              <w:ind w:right="320"/>
              <w:spacing w:after="0" w:line="258" w:lineRule="exact"/>
              <w:rPr>
                <w:sz w:val="20"/>
                <w:szCs w:val="20"/>
                <w:color w:val="auto"/>
              </w:rPr>
            </w:pPr>
            <w:r>
              <w:rPr>
                <w:rFonts w:ascii="Arial" w:cs="Arial" w:eastAsia="Arial" w:hAnsi="Arial"/>
                <w:sz w:val="18"/>
                <w:szCs w:val="18"/>
                <w:b w:val="1"/>
                <w:bCs w:val="1"/>
                <w:color w:val="auto"/>
                <w:w w:val="96"/>
              </w:rPr>
              <w:t xml:space="preserve">Other </w:t>
            </w:r>
            <w:r>
              <w:rPr>
                <w:rFonts w:ascii="Arial" w:cs="Arial" w:eastAsia="Arial" w:hAnsi="Arial"/>
                <w:sz w:val="29"/>
                <w:szCs w:val="29"/>
                <w:b w:val="1"/>
                <w:bCs w:val="1"/>
                <w:color w:val="auto"/>
                <w:w w:val="96"/>
                <w:vertAlign w:val="superscript"/>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July 1, 2017</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64,102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12,654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Thirteen weeks ended July 2, 2016</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Twenty-six weeks ended July 1, 2017</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9,545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July 2, 2016</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140,878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28,638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69,872</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beginning in 2016, a company-owned store in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Gain contingencies are recorded when the underlying uncertainty has been settled. 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collectability, using the latest facts available in the dispute. As of July 1, 2017, the Company had a gross receivable balance of $3.3 million and a reserve of $2.6 million, leaving a net receivable of $0.7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Recently Issued Accounting Pronouncements</w:t>
      </w:r>
    </w:p>
    <w:p>
      <w:pPr>
        <w:spacing w:after="0" w:line="22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will replace most existing revenue recognition guidance in U.S.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in fiscal 2017 is permitted. In 2016, the Company established a cross-functional team to use a bottom-up approach to assess the impact of the new standard. The team is in the process of reviewing current accounting policies and practices to identify potential differences that would result from applying the provisions of the new standard to our existing revenue contracts. To date, management has reviewed substantially all of the Company’s revenue sources, with the focus on net retail sales which represented over 98% of total revenues in 2016, and is finalizing the review of contracts. While the team continues to assess all potential impacts of the new standard, the Company expects the most significant impact to result from changes to the accounting for deferred revenue, specifically related to gift cards and the Company’s loyalty program. Currently, the Company expects to adopt ASU 2014-09 effective the first day of fiscal 2018 using the modified retrospective method.</w:t>
      </w:r>
    </w:p>
    <w:p>
      <w:pPr>
        <w:spacing w:after="0" w:line="169"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timing of adoption and assessing the impact of ASU 2016-02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Cautionary Notice Regarding Forward-Looking Statements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31, 2016, as filed with the SEC, and the following:</w:t>
      </w:r>
    </w:p>
    <w:p>
      <w:pPr>
        <w:spacing w:after="0" w:line="2" w:lineRule="exact"/>
        <w:rPr>
          <w:sz w:val="20"/>
          <w:szCs w:val="20"/>
          <w:color w:val="auto"/>
        </w:rPr>
      </w:pPr>
    </w:p>
    <w:p>
      <w:pPr>
        <w:ind w:left="660" w:right="4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660" w:right="5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disruptions, failures or security breaches of our information technology infrastructure or may improperly obtain or be unable to adequately protect customer information in violation of privacy or security laws or customer expectations;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660" w:right="4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products or Build-A-Bear branded products sold by our licensees could fail to meet current safety standards or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July 1, 2017, we operated 293 stores in the United States, Canada and Puerto Rico (collectively, North America), 59 stores in the United Kingdom, Ireland and Denmark (collectively, Europe), one store in China and had 88 franchised stores operating internationally under the Build-A-Bear Workshop brand.</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May 2, 2016, we announced that our Board of Directors had authorized an exploration of a full range of strategic alternatives to enhance total shareholder value. No timetable has been set for the review process. We do not expect to comment further or update the market with any additional information on the process unless and until the Board of Directors deems disclosure appropriate or necessary. There is no assurance that this exploration will result in any strategic alternatives being announced or executed.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p>
      <w:pPr>
        <w:ind w:right="100" w:firstLine="324"/>
        <w:spacing w:after="0" w:line="297" w:lineRule="auto"/>
        <w:rPr>
          <w:sz w:val="20"/>
          <w:szCs w:val="20"/>
          <w:color w:val="auto"/>
        </w:rPr>
      </w:pPr>
      <w:r>
        <w:rPr>
          <w:rFonts w:ascii="Arial" w:cs="Arial" w:eastAsia="Arial" w:hAnsi="Arial"/>
          <w:sz w:val="16"/>
          <w:szCs w:val="16"/>
          <w:color w:val="auto"/>
        </w:rPr>
        <w:t>Our Company has been executing a multi-year turnaround plan that was initiated in 2013 to improve both sales and profitability. We are evolving our strategic plan in 2017 to better align with shifts that have been occurring in consumer shopping trends which accelerated in the fourth quarter of 2016 while building on the actions that we have taken over the last few years to return the Company to sustained profitability and prepare for growth. Our focus in 2017 is concentrated in four key areas: channel evolution, product expansion, brand and experience amplification and profitability improvement. We operate in three segments that share the same infrastructure, including management, systems, merchandising and marketing, and generate revenues as follows:</w:t>
      </w:r>
    </w:p>
    <w:p>
      <w:pPr>
        <w:spacing w:after="0" w:line="158" w:lineRule="exact"/>
        <w:rPr>
          <w:sz w:val="20"/>
          <w:szCs w:val="20"/>
          <w:color w:val="auto"/>
        </w:rPr>
      </w:pPr>
    </w:p>
    <w:p>
      <w:pPr>
        <w:ind w:left="440" w:right="2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Direct-to-consumer (“DTC”) – Company-owned retail stores located in the United States, Canada, Puerto Rico, the United Kingdom, Ireland, Denmark and China and two e-commerce sites;</w:t>
      </w:r>
    </w:p>
    <w:p>
      <w:pPr>
        <w:spacing w:after="0" w:line="170" w:lineRule="exact"/>
        <w:rPr>
          <w:rFonts w:ascii="Arial" w:cs="Arial" w:eastAsia="Arial" w:hAnsi="Arial"/>
          <w:sz w:val="18"/>
          <w:szCs w:val="18"/>
          <w:color w:val="auto"/>
        </w:rPr>
      </w:pPr>
    </w:p>
    <w:p>
      <w:pPr>
        <w:ind w:left="440" w:right="50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 periods ended July 1, 2017 and July 2, 2016 are set forth in the notes to our condensed consolidated financial statements included elsewhere in this Quarterly Report on Form 10-Q.</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use comparable sales as one of the performance measures for our business. Comparable sales percentage changes are based on net retail sales and exclude the impact of foreign exchange. Stores are considered comparable beginning in their thirteenth consecutive full month of operation. The percentage change in consolidated comparable sales for the periods presented below is as follows:</w:t>
      </w:r>
    </w:p>
    <w:p>
      <w:pPr>
        <w:sectPr>
          <w:pgSz w:w="11900" w:h="16838" w:orient="portrait"/>
          <w:cols w:equalWidth="0" w:num="1">
            <w:col w:w="11380"/>
          </w:cols>
          <w:pgMar w:left="240" w:top="584" w:right="279" w:bottom="1440" w:gutter="0" w:footer="0" w:header="0"/>
        </w:sectPr>
      </w:pPr>
    </w:p>
    <w:p>
      <w:pPr>
        <w:spacing w:after="0" w:line="177"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p>
      <w:pPr>
        <w:ind w:left="5420"/>
        <w:spacing w:after="0"/>
        <w:tabs>
          <w:tab w:leader="none" w:pos="6860" w:val="left"/>
        </w:tabs>
        <w:rPr>
          <w:sz w:val="20"/>
          <w:szCs w:val="20"/>
          <w:color w:val="auto"/>
        </w:rPr>
      </w:pPr>
      <w:r>
        <w:rPr>
          <w:rFonts w:ascii="Arial" w:cs="Arial" w:eastAsia="Arial" w:hAnsi="Arial"/>
          <w:sz w:val="18"/>
          <w:szCs w:val="18"/>
          <w:b w:val="1"/>
          <w:bCs w:val="1"/>
          <w:color w:val="auto"/>
        </w:rPr>
        <w:t>July 1, 2017</w:t>
      </w:r>
      <w:r>
        <w:rPr>
          <w:sz w:val="20"/>
          <w:szCs w:val="20"/>
          <w:color w:val="auto"/>
        </w:rPr>
        <w:tab/>
      </w:r>
      <w:r>
        <w:rPr>
          <w:rFonts w:ascii="Arial" w:cs="Arial" w:eastAsia="Arial" w:hAnsi="Arial"/>
          <w:sz w:val="16"/>
          <w:szCs w:val="16"/>
          <w:b w:val="1"/>
          <w:bCs w:val="1"/>
          <w:color w:val="auto"/>
        </w:rPr>
        <w:t>July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-130810</wp:posOffset>
            </wp:positionV>
            <wp:extent cx="17837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14605</wp:posOffset>
            </wp:positionV>
            <wp:extent cx="17837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July 1, 2017</w:t>
      </w:r>
      <w:r>
        <w:rPr>
          <w:sz w:val="20"/>
          <w:szCs w:val="20"/>
          <w:color w:val="auto"/>
        </w:rPr>
        <w:tab/>
      </w:r>
      <w:r>
        <w:rPr>
          <w:rFonts w:ascii="Arial" w:cs="Arial" w:eastAsia="Arial" w:hAnsi="Arial"/>
          <w:sz w:val="16"/>
          <w:szCs w:val="16"/>
          <w:b w:val="1"/>
          <w:bCs w:val="1"/>
          <w:color w:val="auto"/>
        </w:rPr>
        <w:t>July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-130810</wp:posOffset>
            </wp:positionV>
            <wp:extent cx="1724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14605</wp:posOffset>
            </wp:positionV>
            <wp:extent cx="1724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520"/>
            <w:col w:w="3060"/>
          </w:cols>
          <w:pgMar w:left="240" w:top="584" w:right="279" w:bottom="1440" w:gutter="0" w:footer="0" w:header="0"/>
          <w:type w:val="continuous"/>
        </w:sectPr>
      </w:pPr>
    </w:p>
    <w:p>
      <w:pPr>
        <w:spacing w:after="0" w:line="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 change (%)</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(1.5)%</w:t>
            </w:r>
          </w:p>
        </w:tc>
        <w:tc>
          <w:tcPr>
            <w:tcW w:w="1460" w:type="dxa"/>
            <w:vAlign w:val="bottom"/>
            <w:gridSpan w:val="3"/>
          </w:tcPr>
          <w:p>
            <w:pPr>
              <w:jc w:val="right"/>
              <w:ind w:right="330"/>
              <w:spacing w:after="0"/>
              <w:rPr>
                <w:sz w:val="20"/>
                <w:szCs w:val="20"/>
                <w:color w:val="auto"/>
              </w:rPr>
            </w:pPr>
            <w:r>
              <w:rPr>
                <w:rFonts w:ascii="Arial" w:cs="Arial" w:eastAsia="Arial" w:hAnsi="Arial"/>
                <w:sz w:val="18"/>
                <w:szCs w:val="18"/>
                <w:color w:val="auto"/>
              </w:rPr>
              <w:t>(8.3)%</w:t>
            </w:r>
          </w:p>
        </w:tc>
        <w:tc>
          <w:tcPr>
            <w:tcW w:w="14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(5.8)%</w:t>
            </w:r>
          </w:p>
        </w:tc>
        <w:tc>
          <w:tcPr>
            <w:tcW w:w="1400" w:type="dxa"/>
            <w:vAlign w:val="bottom"/>
            <w:gridSpan w:val="2"/>
          </w:tcPr>
          <w:p>
            <w:pPr>
              <w:jc w:val="right"/>
              <w:ind w:right="3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2"/>
        </w:trPr>
        <w:tc>
          <w:tcPr>
            <w:tcW w:w="46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20" w:type="dxa"/>
            <w:vAlign w:val="bottom"/>
            <w:shd w:val="clear" w:color="auto" w:fill="CCEEFF"/>
          </w:tcPr>
          <w:p>
            <w:pPr>
              <w:jc w:val="right"/>
              <w:ind w:right="350"/>
              <w:spacing w:after="0" w:line="162" w:lineRule="exact"/>
              <w:rPr>
                <w:sz w:val="20"/>
                <w:szCs w:val="20"/>
                <w:color w:val="auto"/>
              </w:rPr>
            </w:pPr>
            <w:r>
              <w:rPr>
                <w:rFonts w:ascii="Arial" w:cs="Arial" w:eastAsia="Arial" w:hAnsi="Arial"/>
                <w:sz w:val="18"/>
                <w:szCs w:val="18"/>
                <w:b w:val="1"/>
                <w:bCs w:val="1"/>
                <w:color w:val="auto"/>
                <w:w w:val="99"/>
              </w:rPr>
              <w:t>%</w:t>
            </w:r>
          </w:p>
        </w:tc>
        <w:tc>
          <w:tcPr>
            <w:tcW w:w="100" w:type="dxa"/>
            <w:vAlign w:val="bottom"/>
            <w:vMerge w:val="restart"/>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60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ind w:left="8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620" w:type="dxa"/>
            <w:vAlign w:val="bottom"/>
            <w:tcBorders>
              <w:bottom w:val="single" w:sz="8" w:color="CCEEFF"/>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jc w:val="right"/>
              <w:ind w:right="551"/>
              <w:spacing w:after="0" w:line="68" w:lineRule="exact"/>
              <w:rPr>
                <w:sz w:val="20"/>
                <w:szCs w:val="20"/>
                <w:color w:val="auto"/>
              </w:rPr>
            </w:pPr>
            <w:r>
              <w:rPr>
                <w:rFonts w:ascii="Arial" w:cs="Arial" w:eastAsia="Arial" w:hAnsi="Arial"/>
                <w:sz w:val="7"/>
                <w:szCs w:val="7"/>
                <w:color w:val="auto"/>
              </w:rPr>
              <w:t>(5.9</w:t>
            </w:r>
          </w:p>
        </w:tc>
        <w:tc>
          <w:tcPr>
            <w:tcW w:w="0" w:type="dxa"/>
            <w:vAlign w:val="bottom"/>
          </w:tcPr>
          <w:p>
            <w:pPr>
              <w:spacing w:after="0"/>
              <w:rPr>
                <w:sz w:val="1"/>
                <w:szCs w:val="1"/>
                <w:color w:val="auto"/>
              </w:rPr>
            </w:pPr>
          </w:p>
        </w:tc>
      </w:tr>
      <w:tr>
        <w:trPr>
          <w:trHeight w:val="250"/>
        </w:trPr>
        <w:tc>
          <w:tcPr>
            <w:tcW w:w="462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360" w:type="dxa"/>
            <w:vAlign w:val="bottom"/>
            <w:tcBorders>
              <w:bottom w:val="single" w:sz="8" w:color="auto"/>
            </w:tcBorders>
            <w:gridSpan w:val="2"/>
          </w:tcPr>
          <w:p>
            <w:pPr>
              <w:jc w:val="right"/>
              <w:ind w:right="290"/>
              <w:spacing w:after="0" w:line="250" w:lineRule="exact"/>
              <w:rPr>
                <w:sz w:val="20"/>
                <w:szCs w:val="20"/>
                <w:color w:val="auto"/>
              </w:rPr>
            </w:pPr>
            <w:r>
              <w:rPr>
                <w:rFonts w:ascii="Arial" w:cs="Arial" w:eastAsia="Arial" w:hAnsi="Arial"/>
                <w:sz w:val="15"/>
                <w:szCs w:val="15"/>
                <w:b w:val="1"/>
                <w:bCs w:val="1"/>
                <w:color w:val="auto"/>
              </w:rPr>
              <w:t>(0.9</w:t>
            </w:r>
            <w:r>
              <w:rPr>
                <w:rFonts w:ascii="Arial" w:cs="Arial" w:eastAsia="Arial" w:hAnsi="Arial"/>
                <w:sz w:val="28"/>
                <w:szCs w:val="28"/>
                <w:b w:val="1"/>
                <w:bCs w:val="1"/>
                <w:color w:val="auto"/>
                <w:vertAlign w:val="superscript"/>
              </w:rPr>
              <w:t>)%</w:t>
            </w:r>
          </w:p>
        </w:tc>
        <w:tc>
          <w:tcPr>
            <w:tcW w:w="100" w:type="dxa"/>
            <w:vAlign w:val="bottom"/>
          </w:tcPr>
          <w:p>
            <w:pPr>
              <w:spacing w:after="0"/>
              <w:rPr>
                <w:sz w:val="21"/>
                <w:szCs w:val="21"/>
                <w:color w:val="auto"/>
              </w:rPr>
            </w:pPr>
          </w:p>
        </w:tc>
        <w:tc>
          <w:tcPr>
            <w:tcW w:w="1360" w:type="dxa"/>
            <w:vAlign w:val="bottom"/>
            <w:tcBorders>
              <w:bottom w:val="single" w:sz="8" w:color="auto"/>
            </w:tcBorders>
            <w:gridSpan w:val="2"/>
          </w:tcPr>
          <w:p>
            <w:pPr>
              <w:jc w:val="right"/>
              <w:ind w:right="330"/>
              <w:spacing w:after="0" w:line="250" w:lineRule="exact"/>
              <w:rPr>
                <w:sz w:val="20"/>
                <w:szCs w:val="20"/>
                <w:color w:val="auto"/>
              </w:rPr>
            </w:pPr>
            <w:r>
              <w:rPr>
                <w:rFonts w:ascii="Arial" w:cs="Arial" w:eastAsia="Arial" w:hAnsi="Arial"/>
                <w:sz w:val="15"/>
                <w:szCs w:val="15"/>
                <w:color w:val="auto"/>
              </w:rPr>
              <w:t>(8.6</w:t>
            </w:r>
            <w:r>
              <w:rPr>
                <w:rFonts w:ascii="Arial" w:cs="Arial" w:eastAsia="Arial" w:hAnsi="Arial"/>
                <w:sz w:val="28"/>
                <w:szCs w:val="28"/>
                <w:color w:val="auto"/>
                <w:vertAlign w:val="superscript"/>
              </w:rPr>
              <w:t>)%</w:t>
            </w:r>
          </w:p>
        </w:tc>
        <w:tc>
          <w:tcPr>
            <w:tcW w:w="10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270"/>
              <w:spacing w:after="0" w:line="250" w:lineRule="exact"/>
              <w:rPr>
                <w:sz w:val="20"/>
                <w:szCs w:val="20"/>
                <w:color w:val="auto"/>
              </w:rPr>
            </w:pPr>
            <w:r>
              <w:rPr>
                <w:rFonts w:ascii="Arial" w:cs="Arial" w:eastAsia="Arial" w:hAnsi="Arial"/>
                <w:sz w:val="15"/>
                <w:szCs w:val="15"/>
                <w:b w:val="1"/>
                <w:bCs w:val="1"/>
                <w:color w:val="auto"/>
              </w:rPr>
              <w:t>(5.0</w:t>
            </w:r>
            <w:r>
              <w:rPr>
                <w:rFonts w:ascii="Arial" w:cs="Arial" w:eastAsia="Arial" w:hAnsi="Arial"/>
                <w:sz w:val="28"/>
                <w:szCs w:val="28"/>
                <w:b w:val="1"/>
                <w:bCs w:val="1"/>
                <w:color w:val="auto"/>
                <w:vertAlign w:val="superscript"/>
              </w:rPr>
              <w:t>)%</w:t>
            </w:r>
          </w:p>
        </w:tc>
        <w:tc>
          <w:tcPr>
            <w:tcW w:w="80" w:type="dxa"/>
            <w:vAlign w:val="bottom"/>
          </w:tcPr>
          <w:p>
            <w:pPr>
              <w:spacing w:after="0"/>
              <w:rPr>
                <w:sz w:val="21"/>
                <w:szCs w:val="21"/>
                <w:color w:val="auto"/>
              </w:rPr>
            </w:pPr>
          </w:p>
        </w:tc>
        <w:tc>
          <w:tcPr>
            <w:tcW w:w="1320" w:type="dxa"/>
            <w:vAlign w:val="bottom"/>
            <w:tcBorders>
              <w:bottom w:val="single" w:sz="8" w:color="auto"/>
            </w:tcBorders>
          </w:tcPr>
          <w:p>
            <w:pPr>
              <w:jc w:val="right"/>
              <w:ind w:right="351"/>
              <w:spacing w:after="0" w:line="250" w:lineRule="exact"/>
              <w:rPr>
                <w:sz w:val="20"/>
                <w:szCs w:val="20"/>
                <w:color w:val="auto"/>
              </w:rPr>
            </w:pPr>
            <w:r>
              <w:rPr>
                <w:rFonts w:ascii="Arial" w:cs="Arial" w:eastAsia="Arial" w:hAnsi="Arial"/>
                <w:sz w:val="15"/>
                <w:szCs w:val="15"/>
                <w:color w:val="auto"/>
              </w:rPr>
              <w:t>(2.8</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460" w:type="dxa"/>
            <w:vAlign w:val="bottom"/>
            <w:gridSpan w:val="3"/>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Stores</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(1.4)%</w:t>
            </w:r>
          </w:p>
        </w:tc>
        <w:tc>
          <w:tcPr>
            <w:tcW w:w="1460" w:type="dxa"/>
            <w:vAlign w:val="bottom"/>
            <w:gridSpan w:val="3"/>
          </w:tcPr>
          <w:p>
            <w:pPr>
              <w:jc w:val="right"/>
              <w:ind w:right="330"/>
              <w:spacing w:after="0"/>
              <w:rPr>
                <w:sz w:val="20"/>
                <w:szCs w:val="20"/>
                <w:color w:val="auto"/>
              </w:rPr>
            </w:pPr>
            <w:r>
              <w:rPr>
                <w:rFonts w:ascii="Arial" w:cs="Arial" w:eastAsia="Arial" w:hAnsi="Arial"/>
                <w:sz w:val="18"/>
                <w:szCs w:val="18"/>
                <w:color w:val="auto"/>
              </w:rPr>
              <w:t>(9.3)%</w:t>
            </w:r>
          </w:p>
        </w:tc>
        <w:tc>
          <w:tcPr>
            <w:tcW w:w="14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(5.3)%</w:t>
            </w:r>
          </w:p>
        </w:tc>
        <w:tc>
          <w:tcPr>
            <w:tcW w:w="1400" w:type="dxa"/>
            <w:vAlign w:val="bottom"/>
            <w:gridSpan w:val="2"/>
          </w:tcPr>
          <w:p>
            <w:pPr>
              <w:jc w:val="right"/>
              <w:ind w:right="35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62"/>
        </w:trPr>
        <w:tc>
          <w:tcPr>
            <w:tcW w:w="46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E-commerce</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620" w:type="dxa"/>
            <w:vAlign w:val="bottom"/>
            <w:shd w:val="clear" w:color="auto" w:fill="CCEEFF"/>
          </w:tcPr>
          <w:p>
            <w:pPr>
              <w:jc w:val="right"/>
              <w:ind w:right="350"/>
              <w:spacing w:after="0" w:line="162" w:lineRule="exact"/>
              <w:rPr>
                <w:sz w:val="20"/>
                <w:szCs w:val="20"/>
                <w:color w:val="auto"/>
              </w:rPr>
            </w:pPr>
            <w:r>
              <w:rPr>
                <w:rFonts w:ascii="Arial" w:cs="Arial" w:eastAsia="Arial" w:hAnsi="Arial"/>
                <w:sz w:val="18"/>
                <w:szCs w:val="18"/>
                <w:b w:val="1"/>
                <w:bCs w:val="1"/>
                <w:color w:val="auto"/>
                <w:w w:val="99"/>
              </w:rPr>
              <w:t>%</w:t>
            </w:r>
          </w:p>
        </w:tc>
        <w:tc>
          <w:tcPr>
            <w:tcW w:w="100" w:type="dxa"/>
            <w:vAlign w:val="bottom"/>
            <w:vMerge w:val="restart"/>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0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ind w:left="80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620" w:type="dxa"/>
            <w:vAlign w:val="bottom"/>
            <w:tcBorders>
              <w:bottom w:val="single" w:sz="8" w:color="CCEEFF"/>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jc w:val="right"/>
              <w:ind w:right="551"/>
              <w:spacing w:after="0" w:line="68" w:lineRule="exact"/>
              <w:rPr>
                <w:sz w:val="20"/>
                <w:szCs w:val="20"/>
                <w:color w:val="auto"/>
              </w:rPr>
            </w:pPr>
            <w:r>
              <w:rPr>
                <w:rFonts w:ascii="Arial" w:cs="Arial" w:eastAsia="Arial" w:hAnsi="Arial"/>
                <w:sz w:val="7"/>
                <w:szCs w:val="7"/>
                <w:color w:val="auto"/>
              </w:rPr>
              <w:t>5.6</w:t>
            </w:r>
          </w:p>
        </w:tc>
        <w:tc>
          <w:tcPr>
            <w:tcW w:w="0" w:type="dxa"/>
            <w:vAlign w:val="bottom"/>
          </w:tcPr>
          <w:p>
            <w:pPr>
              <w:spacing w:after="0"/>
              <w:rPr>
                <w:sz w:val="1"/>
                <w:szCs w:val="1"/>
                <w:color w:val="auto"/>
              </w:rPr>
            </w:pPr>
          </w:p>
        </w:tc>
      </w:tr>
      <w:tr>
        <w:trPr>
          <w:trHeight w:val="250"/>
        </w:trPr>
        <w:tc>
          <w:tcPr>
            <w:tcW w:w="462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360" w:type="dxa"/>
            <w:vAlign w:val="bottom"/>
            <w:gridSpan w:val="2"/>
          </w:tcPr>
          <w:p>
            <w:pPr>
              <w:jc w:val="right"/>
              <w:ind w:right="290"/>
              <w:spacing w:after="0" w:line="250" w:lineRule="exact"/>
              <w:rPr>
                <w:sz w:val="20"/>
                <w:szCs w:val="20"/>
                <w:color w:val="auto"/>
              </w:rPr>
            </w:pPr>
            <w:r>
              <w:rPr>
                <w:rFonts w:ascii="Arial" w:cs="Arial" w:eastAsia="Arial" w:hAnsi="Arial"/>
                <w:sz w:val="15"/>
                <w:szCs w:val="15"/>
                <w:b w:val="1"/>
                <w:bCs w:val="1"/>
                <w:color w:val="auto"/>
              </w:rPr>
              <w:t>(0.9</w:t>
            </w:r>
            <w:r>
              <w:rPr>
                <w:rFonts w:ascii="Arial" w:cs="Arial" w:eastAsia="Arial" w:hAnsi="Arial"/>
                <w:sz w:val="28"/>
                <w:szCs w:val="28"/>
                <w:b w:val="1"/>
                <w:bCs w:val="1"/>
                <w:color w:val="auto"/>
                <w:vertAlign w:val="superscript"/>
              </w:rPr>
              <w:t>)%</w:t>
            </w:r>
          </w:p>
        </w:tc>
        <w:tc>
          <w:tcPr>
            <w:tcW w:w="1460" w:type="dxa"/>
            <w:vAlign w:val="bottom"/>
            <w:gridSpan w:val="3"/>
          </w:tcPr>
          <w:p>
            <w:pPr>
              <w:jc w:val="right"/>
              <w:ind w:right="330"/>
              <w:spacing w:after="0" w:line="250" w:lineRule="exact"/>
              <w:rPr>
                <w:sz w:val="20"/>
                <w:szCs w:val="20"/>
                <w:color w:val="auto"/>
              </w:rPr>
            </w:pPr>
            <w:r>
              <w:rPr>
                <w:rFonts w:ascii="Arial" w:cs="Arial" w:eastAsia="Arial" w:hAnsi="Arial"/>
                <w:sz w:val="15"/>
                <w:szCs w:val="15"/>
                <w:color w:val="auto"/>
              </w:rPr>
              <w:t>(8.6</w:t>
            </w:r>
            <w:r>
              <w:rPr>
                <w:rFonts w:ascii="Arial" w:cs="Arial" w:eastAsia="Arial" w:hAnsi="Arial"/>
                <w:sz w:val="28"/>
                <w:szCs w:val="28"/>
                <w:color w:val="auto"/>
                <w:vertAlign w:val="superscript"/>
              </w:rPr>
              <w:t>)%</w:t>
            </w:r>
          </w:p>
        </w:tc>
        <w:tc>
          <w:tcPr>
            <w:tcW w:w="1420" w:type="dxa"/>
            <w:vAlign w:val="bottom"/>
            <w:gridSpan w:val="3"/>
          </w:tcPr>
          <w:p>
            <w:pPr>
              <w:jc w:val="right"/>
              <w:ind w:right="270"/>
              <w:spacing w:after="0" w:line="250" w:lineRule="exact"/>
              <w:rPr>
                <w:sz w:val="20"/>
                <w:szCs w:val="20"/>
                <w:color w:val="auto"/>
              </w:rPr>
            </w:pPr>
            <w:r>
              <w:rPr>
                <w:rFonts w:ascii="Arial" w:cs="Arial" w:eastAsia="Arial" w:hAnsi="Arial"/>
                <w:sz w:val="15"/>
                <w:szCs w:val="15"/>
                <w:b w:val="1"/>
                <w:bCs w:val="1"/>
                <w:color w:val="auto"/>
              </w:rPr>
              <w:t>(5.0</w:t>
            </w:r>
            <w:r>
              <w:rPr>
                <w:rFonts w:ascii="Arial" w:cs="Arial" w:eastAsia="Arial" w:hAnsi="Arial"/>
                <w:sz w:val="28"/>
                <w:szCs w:val="28"/>
                <w:b w:val="1"/>
                <w:bCs w:val="1"/>
                <w:color w:val="auto"/>
                <w:vertAlign w:val="superscript"/>
              </w:rPr>
              <w:t>)%</w:t>
            </w:r>
          </w:p>
        </w:tc>
        <w:tc>
          <w:tcPr>
            <w:tcW w:w="1400" w:type="dxa"/>
            <w:vAlign w:val="bottom"/>
            <w:gridSpan w:val="2"/>
          </w:tcPr>
          <w:p>
            <w:pPr>
              <w:jc w:val="right"/>
              <w:ind w:right="351"/>
              <w:spacing w:after="0" w:line="250" w:lineRule="exact"/>
              <w:rPr>
                <w:sz w:val="20"/>
                <w:szCs w:val="20"/>
                <w:color w:val="auto"/>
              </w:rPr>
            </w:pPr>
            <w:r>
              <w:rPr>
                <w:rFonts w:ascii="Arial" w:cs="Arial" w:eastAsia="Arial" w:hAnsi="Arial"/>
                <w:sz w:val="15"/>
                <w:szCs w:val="15"/>
                <w:color w:val="auto"/>
              </w:rPr>
              <w:t>(2.8</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believe the negative consolidated comparable sales performance for the 2017 second quarter was primarily attributable to an overall decline in store traffic partially offset by improvements in conversion, units per transaction and average transaction value. In Europe, a positive comparable sales trend early in the quarter was partially reversed after multiple terrorist attacks in the United Kingdom in May and June. The comparable sales in the first half of 2017 were also negatively impacted by the shift in timing of Valentine’s Day from a weekend to a weekday. Additionally, we believe that changes made to marketing tactics beginning in the 2017 first quarter, including media shifts and the addition of direct mail and in-store events, had a positive impact on comparable sales starting in late February and carrying into the second quarter.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to improve consolidated comparable sales through the following key initiatives:</w:t>
      </w:r>
    </w:p>
    <w:p>
      <w:pPr>
        <w:spacing w:after="0" w:line="225" w:lineRule="exact"/>
        <w:rPr>
          <w:sz w:val="20"/>
          <w:szCs w:val="20"/>
          <w:color w:val="auto"/>
        </w:rPr>
      </w:pPr>
    </w:p>
    <w:p>
      <w:pPr>
        <w:ind w:left="1040" w:hanging="316"/>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Channel Evolution:</w:t>
      </w:r>
      <w:r>
        <w:rPr>
          <w:rFonts w:ascii="Arial" w:cs="Arial" w:eastAsia="Arial" w:hAnsi="Arial"/>
          <w:sz w:val="18"/>
          <w:szCs w:val="18"/>
          <w:color w:val="auto"/>
        </w:rPr>
        <w:t xml:space="preserve"> We expect to continue to evolve our aged store fleet into new Discovery format stores, leveraging natural lease events. Overall, these locations continue to perform ahead of heritage locations in both sales and profitability. We also expect to continue to diversify our real estate portfolio to include more non-traditional locations inclusive of our new retail model referred to as a “concourse shop” which requires less capital, has shorter-term leases and offers a solution for a wide range of settings. Separately, we are on track to upgrade our web platform ahead of the fourth quarter holiday season. The reinvention of the website platform and e-commerce systems is expected to enable our guests to experience Build-A-Bear online in new ways.</w:t>
      </w:r>
    </w:p>
    <w:p>
      <w:pPr>
        <w:spacing w:after="0" w:line="193" w:lineRule="exact"/>
        <w:rPr>
          <w:rFonts w:ascii="Arial" w:cs="Arial" w:eastAsia="Arial" w:hAnsi="Arial"/>
          <w:sz w:val="18"/>
          <w:szCs w:val="18"/>
          <w:color w:val="auto"/>
        </w:rPr>
      </w:pPr>
    </w:p>
    <w:p>
      <w:pPr>
        <w:ind w:left="1040" w:hanging="316"/>
        <w:spacing w:after="0" w:line="25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Product Expansion:</w:t>
      </w:r>
      <w:r>
        <w:rPr>
          <w:rFonts w:ascii="Arial" w:cs="Arial" w:eastAsia="Arial" w:hAnsi="Arial"/>
          <w:sz w:val="18"/>
          <w:szCs w:val="18"/>
          <w:color w:val="auto"/>
        </w:rPr>
        <w:t xml:space="preserve"> To meet the needs of our core consumer base (boys and girls ages 3 to 12) while systematically building secondary consumer segments (including affinity, gift-giver and teen-plus), we plan to continue to balance our offering of core products with a comprehensive program of key licensed properties including products with tie-ins to major movie releases throughout 2017 while continuing to develop and expand offerings of our successful owned intellectual property stories, such as Promise Pets, Honey Girls and the holiday-specific Merry Mission collections.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13" w:name="page14"/>
    <w:bookmarkEnd w:id="13"/>
    <w:p>
      <w:pPr>
        <w:ind w:left="1040" w:right="20" w:hanging="316"/>
        <w:spacing w:after="0" w:line="255"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Brand and Experience Amplification:</w:t>
      </w:r>
      <w:r>
        <w:rPr>
          <w:rFonts w:ascii="Arial" w:cs="Arial" w:eastAsia="Arial" w:hAnsi="Arial"/>
          <w:sz w:val="18"/>
          <w:szCs w:val="18"/>
          <w:color w:val="auto"/>
        </w:rPr>
        <w:t xml:space="preserve"> In addition to creating sharable, emotional content that more authentically communicates the heart of the brand, we are making adjustments to marketing programs to create synergy across channels. These include shifts in media to better reach moms and kids while leveraging the competitive advantage of our entertainment retail experience by adding in-store events such as story readings, movie release celebrations and appearances by our iconic mascots. We plan to continue to develop entertainment content, including mobile apps, music videos and other opportunities that increase engagement and are designed to improve efficiency, drive traffic and lead to profitable sales growth.</w:t>
      </w:r>
    </w:p>
    <w:p>
      <w:pPr>
        <w:spacing w:after="0" w:line="193" w:lineRule="exact"/>
        <w:rPr>
          <w:rFonts w:ascii="Arial" w:cs="Arial" w:eastAsia="Arial" w:hAnsi="Arial"/>
          <w:sz w:val="18"/>
          <w:szCs w:val="18"/>
          <w:color w:val="auto"/>
        </w:rPr>
      </w:pPr>
    </w:p>
    <w:p>
      <w:pPr>
        <w:ind w:left="1040" w:right="120" w:hanging="316"/>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Long-Term Profitability Improvement:</w:t>
      </w:r>
      <w:r>
        <w:rPr>
          <w:rFonts w:ascii="Arial" w:cs="Arial" w:eastAsia="Arial" w:hAnsi="Arial"/>
          <w:sz w:val="18"/>
          <w:szCs w:val="18"/>
          <w:color w:val="auto"/>
        </w:rPr>
        <w:t xml:space="preserve"> We are focused on improving profitability through the execution of our stated strategies detailed above as well as disciplined expense management and on-going efforts in process and systems upgrades.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Europe and Asia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3"/>
              </w:rPr>
              <w:t>Twenty-six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July 1, 2017</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July 2, 2016</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4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North</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America</w:t>
            </w:r>
          </w:p>
        </w:tc>
        <w:tc>
          <w:tcPr>
            <w:tcW w:w="760" w:type="dxa"/>
            <w:vAlign w:val="bottom"/>
          </w:tcPr>
          <w:p>
            <w:pPr>
              <w:ind w:left="18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ind w:left="300"/>
              <w:spacing w:after="0"/>
              <w:rPr>
                <w:sz w:val="20"/>
                <w:szCs w:val="20"/>
                <w:color w:val="auto"/>
              </w:rPr>
            </w:pPr>
            <w:r>
              <w:rPr>
                <w:rFonts w:ascii="Arial" w:cs="Arial" w:eastAsia="Arial" w:hAnsi="Arial"/>
                <w:sz w:val="18"/>
                <w:szCs w:val="18"/>
                <w:b w:val="1"/>
                <w:bCs w:val="1"/>
                <w:color w:val="auto"/>
              </w:rPr>
              <w:t>Asia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America</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Europe</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Asia</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60</w:t>
            </w: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Opened</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End of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During 2017, we expect to continue to make improvements to an aged store fleet by leveraging the new Discovery format in conjunction with select natural lease events. We also expect to close certain stores in accordance with natural lease events as an ongoing part of our real estate management and day-to-day operational plans. Current plans include expansion into more non-traditional locations, made possible by a new, lower capital, more flexible “concourse shop” model. Concourse shops are stand-alone shops that occupy approximately 200 square feet designed to be operated in open, concourse areas of malls or other covered pedestrian areas. We currently expect to remodel approximately 20 locations into our Discovery format in 2017 and to have 20 to 25 new stores, inclusive of concourse shops, open by the end of the fiscal year. Thus far in 2017, we have remodeled 19 locations, including 2 in our concourse model, and opened 17 new stores, including 15 in our concourse model. We ended the 2017 second quarter with a total of 93 discovery format stores, including 20 in our concourse model.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company-owned stores. As of July 1, 2017, we had eight master franchise agreements, which typically grant franchise rights for a particular country or group of countries, covering an aggregate of 14 countries. The number of international franchised stores opened and closed for the periods presented below are summarized as follows:</w:t>
      </w:r>
    </w:p>
    <w:p>
      <w:pPr>
        <w:spacing w:after="0" w:line="183"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0"/>
              </w:rPr>
              <w:t>July 1, 2017</w:t>
            </w:r>
          </w:p>
        </w:tc>
        <w:tc>
          <w:tcPr>
            <w:tcW w:w="2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July 2, 2016</w:t>
            </w:r>
          </w:p>
        </w:tc>
        <w:tc>
          <w:tcPr>
            <w:tcW w:w="60" w:type="dxa"/>
            <w:vAlign w:val="bottom"/>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(10)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1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top w:val="single" w:sz="8" w:color="CCEEFF"/>
            </w:tcBorders>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believe there is a market potential for approximately 300 international stores outside of the United States, Canada, the United Kingdom, Ireland and Denmark. We continue to expect franchisees to open approximately 10 stores in 2017, leveraging new formats that have been developed for our company-owned operations and sourcing changes that have significantly reduced the capital and expenses required to open stores. We expect to develop market expansion through both new and existing franchisees in 2017 and beyond.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3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c>
          <w:tcPr>
            <w:tcW w:w="13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6"/>
                <w:szCs w:val="16"/>
                <w:color w:val="auto"/>
              </w:rPr>
            </w:pPr>
          </w:p>
        </w:tc>
        <w:tc>
          <w:tcPr>
            <w:tcW w:w="13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July 1,</w:t>
            </w:r>
          </w:p>
        </w:tc>
        <w:tc>
          <w:tcPr>
            <w:tcW w:w="80" w:type="dxa"/>
            <w:vAlign w:val="bottom"/>
          </w:tcPr>
          <w:p>
            <w:pPr>
              <w:spacing w:after="0"/>
              <w:rPr>
                <w:sz w:val="16"/>
                <w:szCs w:val="16"/>
                <w:color w:val="auto"/>
              </w:rPr>
            </w:pPr>
          </w:p>
        </w:tc>
        <w:tc>
          <w:tcPr>
            <w:tcW w:w="1320" w:type="dxa"/>
            <w:vAlign w:val="bottom"/>
          </w:tcPr>
          <w:p>
            <w:pPr>
              <w:jc w:val="right"/>
              <w:ind w:right="324"/>
              <w:spacing w:after="0" w:line="191" w:lineRule="exact"/>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2017</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2016</w:t>
            </w:r>
          </w:p>
        </w:tc>
        <w:tc>
          <w:tcPr>
            <w:tcW w:w="14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400" w:type="dxa"/>
            <w:vAlign w:val="bottom"/>
            <w:gridSpan w:val="2"/>
          </w:tcPr>
          <w:p>
            <w:pPr>
              <w:jc w:val="right"/>
              <w:ind w:right="404"/>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96.4%</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98.4%</w:t>
            </w:r>
          </w:p>
        </w:tc>
        <w:tc>
          <w:tcPr>
            <w:tcW w:w="1420" w:type="dxa"/>
            <w:vAlign w:val="bottom"/>
            <w:gridSpan w:val="2"/>
          </w:tcPr>
          <w:p>
            <w:pPr>
              <w:jc w:val="right"/>
              <w:ind w:right="370"/>
              <w:spacing w:after="0"/>
              <w:rPr>
                <w:sz w:val="20"/>
                <w:szCs w:val="20"/>
                <w:color w:val="auto"/>
              </w:rPr>
            </w:pPr>
            <w:r>
              <w:rPr>
                <w:rFonts w:ascii="Arial" w:cs="Arial" w:eastAsia="Arial" w:hAnsi="Arial"/>
                <w:sz w:val="18"/>
                <w:szCs w:val="18"/>
                <w:color w:val="auto"/>
              </w:rPr>
              <w:t>97.1%</w:t>
            </w:r>
          </w:p>
        </w:tc>
        <w:tc>
          <w:tcPr>
            <w:tcW w:w="1400" w:type="dxa"/>
            <w:vAlign w:val="bottom"/>
            <w:gridSpan w:val="2"/>
          </w:tcPr>
          <w:p>
            <w:pPr>
              <w:jc w:val="right"/>
              <w:ind w:right="384"/>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620" w:type="dxa"/>
            <w:vAlign w:val="bottom"/>
          </w:tcPr>
          <w:p>
            <w:pPr>
              <w:ind w:left="320"/>
              <w:spacing w:after="0"/>
              <w:rPr>
                <w:sz w:val="20"/>
                <w:szCs w:val="20"/>
                <w:color w:val="auto"/>
              </w:rPr>
            </w:pPr>
            <w:r>
              <w:rPr>
                <w:rFonts w:ascii="Arial" w:cs="Arial" w:eastAsia="Arial" w:hAnsi="Arial"/>
                <w:sz w:val="18"/>
                <w:szCs w:val="18"/>
                <w:color w:val="auto"/>
              </w:rPr>
              <w:t>Franchise fees</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52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620" w:type="dxa"/>
            <w:vAlign w:val="bottom"/>
          </w:tcPr>
          <w:p>
            <w:pPr>
              <w:spacing w:after="0"/>
              <w:rPr>
                <w:sz w:val="18"/>
                <w:szCs w:val="18"/>
                <w:color w:val="auto"/>
              </w:rPr>
            </w:pP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54.5</w:t>
            </w:r>
          </w:p>
        </w:tc>
        <w:tc>
          <w:tcPr>
            <w:tcW w:w="1400" w:type="dxa"/>
            <w:vAlign w:val="bottom"/>
            <w:gridSpan w:val="2"/>
          </w:tcPr>
          <w:p>
            <w:pPr>
              <w:jc w:val="right"/>
              <w:ind w:right="524"/>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56.8</w:t>
            </w:r>
          </w:p>
        </w:tc>
        <w:tc>
          <w:tcPr>
            <w:tcW w:w="14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620" w:type="dxa"/>
            <w:vAlign w:val="bottom"/>
          </w:tcPr>
          <w:p>
            <w:pPr>
              <w:spacing w:after="0"/>
              <w:rPr>
                <w:sz w:val="18"/>
                <w:szCs w:val="18"/>
                <w:color w:val="auto"/>
              </w:rPr>
            </w:pP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43.8</w:t>
            </w:r>
          </w:p>
        </w:tc>
        <w:tc>
          <w:tcPr>
            <w:tcW w:w="1400" w:type="dxa"/>
            <w:vAlign w:val="bottom"/>
            <w:gridSpan w:val="2"/>
          </w:tcPr>
          <w:p>
            <w:pPr>
              <w:jc w:val="right"/>
              <w:ind w:right="524"/>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Store preopening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4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62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45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46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98.8</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4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income before income taxes</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4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1.2</w:t>
            </w:r>
          </w:p>
        </w:tc>
        <w:tc>
          <w:tcPr>
            <w:tcW w:w="140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62"/>
        </w:trPr>
        <w:tc>
          <w:tcPr>
            <w:tcW w:w="4620" w:type="dxa"/>
            <w:vAlign w:val="bottom"/>
            <w:vMerge w:val="restart"/>
          </w:tcPr>
          <w:p>
            <w:pPr>
              <w:spacing w:after="0"/>
              <w:rPr>
                <w:sz w:val="20"/>
                <w:szCs w:val="20"/>
                <w:color w:val="auto"/>
              </w:rPr>
            </w:pPr>
            <w:r>
              <w:rPr>
                <w:rFonts w:ascii="Arial" w:cs="Arial" w:eastAsia="Arial" w:hAnsi="Arial"/>
                <w:sz w:val="18"/>
                <w:szCs w:val="18"/>
                <w:color w:val="auto"/>
              </w:rPr>
              <w:t>Income tax (benefit) expense</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jc w:val="right"/>
              <w:ind w:right="480"/>
              <w:spacing w:after="0" w:line="162" w:lineRule="exact"/>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jc w:val="right"/>
              <w:ind w:right="480"/>
              <w:spacing w:after="0" w:line="162" w:lineRule="exact"/>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rPr>
                <w:sz w:val="14"/>
                <w:szCs w:val="14"/>
                <w:color w:val="auto"/>
              </w:rPr>
            </w:pPr>
          </w:p>
        </w:tc>
        <w:tc>
          <w:tcPr>
            <w:tcW w:w="1320" w:type="dxa"/>
            <w:vAlign w:val="bottom"/>
            <w:vMerge w:val="restart"/>
          </w:tcPr>
          <w:p>
            <w:pPr>
              <w:jc w:val="right"/>
              <w:ind w:right="51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464"/>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620" w:type="dxa"/>
            <w:vAlign w:val="bottom"/>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Borders>
              <w:bottom w:val="single" w:sz="8" w:color="auto"/>
            </w:tcBorders>
          </w:tcPr>
          <w:p>
            <w:pPr>
              <w:jc w:val="right"/>
              <w:ind w:right="524"/>
              <w:spacing w:after="0" w:line="68" w:lineRule="exact"/>
              <w:rPr>
                <w:sz w:val="20"/>
                <w:szCs w:val="20"/>
                <w:color w:val="auto"/>
              </w:rPr>
            </w:pPr>
            <w:r>
              <w:rPr>
                <w:rFonts w:ascii="Arial" w:cs="Arial" w:eastAsia="Arial" w:hAnsi="Arial"/>
                <w:sz w:val="7"/>
                <w:szCs w:val="7"/>
                <w:color w:val="auto"/>
              </w:rPr>
              <w:t>(0.1</w:t>
            </w:r>
          </w:p>
        </w:tc>
        <w:tc>
          <w:tcPr>
            <w:tcW w:w="0" w:type="dxa"/>
            <w:vAlign w:val="bottom"/>
          </w:tcPr>
          <w:p>
            <w:pPr>
              <w:spacing w:after="0"/>
              <w:rPr>
                <w:sz w:val="1"/>
                <w:szCs w:val="1"/>
                <w:color w:val="auto"/>
              </w:rPr>
            </w:pPr>
          </w:p>
        </w:tc>
      </w:tr>
      <w:tr>
        <w:trPr>
          <w:trHeight w:val="290"/>
        </w:trPr>
        <w:tc>
          <w:tcPr>
            <w:tcW w:w="4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(loss) income</w:t>
            </w:r>
          </w:p>
        </w:tc>
        <w:tc>
          <w:tcPr>
            <w:tcW w:w="1360" w:type="dxa"/>
            <w:vAlign w:val="bottom"/>
            <w:tcBorders>
              <w:bottom w:val="single" w:sz="8" w:color="auto"/>
            </w:tcBorders>
            <w:gridSpan w:val="2"/>
            <w:shd w:val="clear" w:color="auto" w:fill="CCEEFF"/>
          </w:tcPr>
          <w:p>
            <w:pPr>
              <w:jc w:val="right"/>
              <w:ind w:right="480"/>
              <w:spacing w:after="0" w:line="250" w:lineRule="exact"/>
              <w:rPr>
                <w:sz w:val="20"/>
                <w:szCs w:val="20"/>
                <w:color w:val="auto"/>
              </w:rPr>
            </w:pPr>
            <w:r>
              <w:rPr>
                <w:rFonts w:ascii="Arial" w:cs="Arial" w:eastAsia="Arial" w:hAnsi="Arial"/>
                <w:sz w:val="15"/>
                <w:szCs w:val="15"/>
                <w:color w:val="auto"/>
              </w:rPr>
              <w:t>(2.0</w:t>
            </w:r>
            <w:r>
              <w:rPr>
                <w:rFonts w:ascii="Arial" w:cs="Arial" w:eastAsia="Arial" w:hAnsi="Arial"/>
                <w:sz w:val="28"/>
                <w:szCs w:val="28"/>
                <w:color w:val="auto"/>
                <w:vertAlign w:val="superscript"/>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gridSpan w:val="2"/>
            <w:shd w:val="clear" w:color="auto" w:fill="CCEEFF"/>
          </w:tcPr>
          <w:p>
            <w:pPr>
              <w:jc w:val="right"/>
              <w:ind w:right="480"/>
              <w:spacing w:after="0" w:line="250" w:lineRule="exact"/>
              <w:rPr>
                <w:sz w:val="20"/>
                <w:szCs w:val="20"/>
                <w:color w:val="auto"/>
              </w:rPr>
            </w:pPr>
            <w:r>
              <w:rPr>
                <w:rFonts w:ascii="Arial" w:cs="Arial" w:eastAsia="Arial" w:hAnsi="Arial"/>
                <w:sz w:val="15"/>
                <w:szCs w:val="15"/>
                <w:color w:val="auto"/>
              </w:rPr>
              <w:t>(5.7</w:t>
            </w:r>
            <w:r>
              <w:rPr>
                <w:rFonts w:ascii="Arial" w:cs="Arial" w:eastAsia="Arial" w:hAnsi="Arial"/>
                <w:sz w:val="28"/>
                <w:szCs w:val="28"/>
                <w:color w:val="auto"/>
                <w:vertAlign w:val="superscript"/>
              </w:rPr>
              <w:t>)</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64"/>
              <w:spacing w:after="0" w:line="250" w:lineRule="exact"/>
              <w:rPr>
                <w:sz w:val="20"/>
                <w:szCs w:val="20"/>
                <w:color w:val="auto"/>
              </w:rPr>
            </w:pPr>
            <w:r>
              <w:rPr>
                <w:rFonts w:ascii="Arial" w:cs="Arial" w:eastAsia="Arial" w:hAnsi="Arial"/>
                <w:sz w:val="15"/>
                <w:szCs w:val="15"/>
                <w:color w:val="auto"/>
              </w:rPr>
              <w:t>(0.5</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460" w:type="dxa"/>
            <w:vAlign w:val="bottom"/>
            <w:gridSpan w:val="3"/>
          </w:tcPr>
          <w:p>
            <w:pPr>
              <w:spacing w:after="0"/>
              <w:rPr>
                <w:sz w:val="17"/>
                <w:szCs w:val="17"/>
                <w:color w:val="auto"/>
              </w:rPr>
            </w:pPr>
          </w:p>
        </w:tc>
        <w:tc>
          <w:tcPr>
            <w:tcW w:w="142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Retail Gross Margin %</w:t>
            </w:r>
          </w:p>
        </w:tc>
        <w:tc>
          <w:tcPr>
            <w:tcW w:w="1360" w:type="dxa"/>
            <w:vAlign w:val="bottom"/>
            <w:gridSpan w:val="2"/>
          </w:tcPr>
          <w:p>
            <w:pPr>
              <w:jc w:val="right"/>
              <w:ind w:right="380"/>
              <w:spacing w:after="0" w:line="256" w:lineRule="exact"/>
              <w:rPr>
                <w:sz w:val="20"/>
                <w:szCs w:val="20"/>
                <w:color w:val="auto"/>
              </w:rPr>
            </w:pPr>
            <w:r>
              <w:rPr>
                <w:rFonts w:ascii="Arial" w:cs="Arial" w:eastAsia="Arial" w:hAnsi="Arial"/>
                <w:sz w:val="16"/>
                <w:szCs w:val="16"/>
                <w:color w:val="auto"/>
              </w:rPr>
              <w:t>43.7</w:t>
            </w:r>
            <w:r>
              <w:rPr>
                <w:rFonts w:ascii="Arial" w:cs="Arial" w:eastAsia="Arial" w:hAnsi="Arial"/>
                <w:sz w:val="29"/>
                <w:szCs w:val="29"/>
                <w:color w:val="auto"/>
                <w:vertAlign w:val="superscript"/>
              </w:rPr>
              <w:t>%</w:t>
            </w:r>
          </w:p>
        </w:tc>
        <w:tc>
          <w:tcPr>
            <w:tcW w:w="1460" w:type="dxa"/>
            <w:vAlign w:val="bottom"/>
            <w:gridSpan w:val="3"/>
          </w:tcPr>
          <w:p>
            <w:pPr>
              <w:jc w:val="right"/>
              <w:ind w:right="400"/>
              <w:spacing w:after="0" w:line="256" w:lineRule="exact"/>
              <w:rPr>
                <w:sz w:val="20"/>
                <w:szCs w:val="20"/>
                <w:color w:val="auto"/>
              </w:rPr>
            </w:pPr>
            <w:r>
              <w:rPr>
                <w:rFonts w:ascii="Arial" w:cs="Arial" w:eastAsia="Arial" w:hAnsi="Arial"/>
                <w:sz w:val="16"/>
                <w:szCs w:val="16"/>
                <w:color w:val="auto"/>
              </w:rPr>
              <w:t>42.2</w:t>
            </w:r>
            <w:r>
              <w:rPr>
                <w:rFonts w:ascii="Arial" w:cs="Arial" w:eastAsia="Arial" w:hAnsi="Arial"/>
                <w:sz w:val="29"/>
                <w:szCs w:val="29"/>
                <w:color w:val="auto"/>
                <w:vertAlign w:val="superscript"/>
              </w:rPr>
              <w:t>%</w:t>
            </w:r>
          </w:p>
        </w:tc>
        <w:tc>
          <w:tcPr>
            <w:tcW w:w="1420" w:type="dxa"/>
            <w:vAlign w:val="bottom"/>
            <w:gridSpan w:val="2"/>
          </w:tcPr>
          <w:p>
            <w:pPr>
              <w:jc w:val="right"/>
              <w:ind w:right="370"/>
              <w:spacing w:after="0" w:line="256" w:lineRule="exact"/>
              <w:rPr>
                <w:sz w:val="20"/>
                <w:szCs w:val="20"/>
                <w:color w:val="auto"/>
              </w:rPr>
            </w:pPr>
            <w:r>
              <w:rPr>
                <w:rFonts w:ascii="Arial" w:cs="Arial" w:eastAsia="Arial" w:hAnsi="Arial"/>
                <w:sz w:val="16"/>
                <w:szCs w:val="16"/>
                <w:color w:val="auto"/>
              </w:rPr>
              <w:t>45.5</w:t>
            </w:r>
            <w:r>
              <w:rPr>
                <w:rFonts w:ascii="Arial" w:cs="Arial" w:eastAsia="Arial" w:hAnsi="Arial"/>
                <w:sz w:val="29"/>
                <w:szCs w:val="29"/>
                <w:color w:val="auto"/>
                <w:vertAlign w:val="superscript"/>
              </w:rPr>
              <w:t>%</w:t>
            </w:r>
          </w:p>
        </w:tc>
        <w:tc>
          <w:tcPr>
            <w:tcW w:w="1400" w:type="dxa"/>
            <w:vAlign w:val="bottom"/>
            <w:gridSpan w:val="2"/>
          </w:tcPr>
          <w:p>
            <w:pPr>
              <w:jc w:val="right"/>
              <w:ind w:right="384"/>
              <w:spacing w:after="0" w:line="256" w:lineRule="exact"/>
              <w:rPr>
                <w:sz w:val="20"/>
                <w:szCs w:val="20"/>
                <w:color w:val="auto"/>
              </w:rPr>
            </w:pPr>
            <w:r>
              <w:rPr>
                <w:rFonts w:ascii="Arial" w:cs="Arial" w:eastAsia="Arial" w:hAnsi="Arial"/>
                <w:sz w:val="16"/>
                <w:szCs w:val="16"/>
                <w:color w:val="auto"/>
              </w:rPr>
              <w:t>45.6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9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right="10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Thirteen weeks ended July 1, 2017 compared to thirteen weeks ended July 2, 2016</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were $77.2 million for the thirteen weeks ended July 1, 2017, compared to $75.1 million for the thirteen weeks ended July 2,</w:t>
      </w:r>
      <w:r>
        <w:rPr>
          <w:rFonts w:ascii="Arial" w:cs="Arial" w:eastAsia="Arial" w:hAnsi="Arial"/>
          <w:sz w:val="17"/>
          <w:szCs w:val="17"/>
          <w:i w:val="1"/>
          <w:iCs w:val="1"/>
          <w:color w:val="auto"/>
        </w:rPr>
        <w:t xml:space="preserve"> </w:t>
      </w:r>
      <w:r>
        <w:rPr>
          <w:rFonts w:ascii="Arial" w:cs="Arial" w:eastAsia="Arial" w:hAnsi="Arial"/>
          <w:sz w:val="17"/>
          <w:szCs w:val="17"/>
          <w:color w:val="auto"/>
        </w:rPr>
        <w:t>2016, an increase of $2.1 million, or 2.8%. Net retail sales were $74.4 million for the thirteen weeks ended July 1, 2017, as compared to $73.9 million for the thirteen weeks ended July 2, 2016, an increase of $0.5 million, or 0.7%. The components of this increase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Thirteen</w:t>
            </w:r>
          </w:p>
        </w:tc>
      </w:t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weeks ended</w:t>
            </w:r>
          </w:p>
        </w:tc>
      </w:t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July 1,</w:t>
            </w:r>
          </w:p>
        </w:tc>
      </w:tr>
      <w:tr>
        <w:trPr>
          <w:trHeight w:val="234"/>
        </w:trPr>
        <w:tc>
          <w:tcPr>
            <w:tcW w:w="8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6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consolidated comparable sales</w:t>
            </w: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other retail</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r>
      <w:tr>
        <w:trPr>
          <w:trHeight w:val="21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believe the negative consolidated comparable sales performance for the 2017 second quarter was primarily attributable to an overall decline in store traffic partially offset by improvements in conversion, units per transaction and average transaction value. In Europe, a positive comparable sales trend early in the quarter was partially reversed after multiple terrorist attacks in the United Kingdom in May and June.</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Commercial revenue increased to $2.1 million for the thirteen weeks ended July 1, 2017 compared to $0.8 million for the thirteen weeks ended July 2, 2016, primarily resulting from increases in wholesale sales and licensing revenue. Revenue from franchise fees was $0.7 million and $0.4 million for the thirteen weeks ended July 1, 2017 and July 2, 2016, respectively.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$32.5 million for the thirteen weeks ended July 1, 2017, compared to $31.2 million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2, 2016, an increase of $1.3 million, or 4.3%. As a percentage of net retail sales, retail gross margin was 43.7% for the thirteen weeks ended July 1, 2017 compared to 42.2% for the thirteen weeks ended July 2, 2016. This 150 basis point improvement was primarily driven by a 190 basis point expansion in merchandise margin partially offset by deleverage of fixed occupancy costs.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$35.8 million for the thirteen weeks ended July 1,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$37.1 million for the thirteen weeks ended July 2, 2016, a decrease of $1.3 million, or 3.3%. As a percentage of total revenues, selling, general and administrative expenses decreased to 46.4% for the thirteen weeks ended July 1, 2017, compared to 49.3% for the thirteen weeks ended July 2, 2016, a decrease of 290 basis points. The decrease was primarily due to unrealized currency gains in the current quarter compared to losses in the 2016 second quarter driven by the significant weakening of the British pound sterling. Additionally, reductions in corporate overhead and marketing costs were offset by higher store expenses driven by an increase in store count.</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Store preopening. </w:t>
      </w:r>
      <w:r>
        <w:rPr>
          <w:rFonts w:ascii="Arial" w:cs="Arial" w:eastAsia="Arial" w:hAnsi="Arial"/>
          <w:sz w:val="18"/>
          <w:szCs w:val="18"/>
          <w:color w:val="auto"/>
        </w:rPr>
        <w:t>Store preopening expenses were $0.9 million for the thirteen weeks ended July 1, 2017, as compared to $1.2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2016, a decrease of $0.3 million. The decrease is primarily attributable to the higher expenses in 2016 related to the opening of the first store in China.</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$7,000 for the thirteen weeks ended July 1, 2017, compared to $11,000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July 2, 2016.</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provision was a benefit of $1.1 million for the thirteen weeks ended July 1, 2017, as compared to $1.9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July 2, 2016. The effective tax rate was 41.4% for the thirteen weeks ended July 1, 2017, compared to 31.1% for the thirteen weeks ended July 2, 2016. In the second quarter of fiscal 2017, the effective tax rate differed from the statutory rate of 34% primarily due to state taxes and certain discrete items.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Twenty-six weeks ended July 1, 2017 compared to twenty-six weeks ended July 2, 2016</w:t>
      </w:r>
    </w:p>
    <w:p>
      <w:pPr>
        <w:spacing w:after="0" w:line="225"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$167.9 million for the twenty-six weeks ended July 1, 2017, as compared to $170.1 million for the twenty-six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2, 2016, a decrease of $2.2 million, or 1.3%. Net retail sales were $163.0 million for the twenty-six weeks ended July 1, 2017, as compared to $168.0 million for the twenty-six weeks ended July 2, 2016, a decrease of $5.0 million, or 3.0%. The components of this decrease are as follows: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Twenty-six</w:t>
            </w:r>
          </w:p>
        </w:tc>
      </w:t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weeks ended</w:t>
            </w:r>
          </w:p>
        </w:tc>
      </w:t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July 1,</w:t>
            </w:r>
          </w:p>
        </w:tc>
      </w:tr>
      <w:tr>
        <w:trPr>
          <w:trHeight w:val="234"/>
        </w:trPr>
        <w:tc>
          <w:tcPr>
            <w:tcW w:w="8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86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consolidated comparable sales</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other retail</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r>
      <w:tr>
        <w:trPr>
          <w:trHeight w:val="20"/>
        </w:trPr>
        <w:tc>
          <w:tcPr>
            <w:tcW w:w="8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0"/>
        </w:trPr>
        <w:tc>
          <w:tcPr>
            <w:tcW w:w="8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believe the negative consolidated comparable sales performance for the first half of 2017 was primarily attributable to an overall decline in store traffic partially offset by improvements in conversion, units per transaction and average transaction value. In Europe, a positive comparable sales trend early in the second quarter was partially reversed after multiple terrorist attacks in the United Kingdom in May and June. The comparable sales in the first half of 2017 were also negatively impacted by the shift in timing of Valentine’s Day from a weekend to a weekday. Additionally, we believe that changes made to marketing tactics beginning in the 2017 first quarter, including media shifts and the addition of direct mail and in-store events, had a positive impact on comparable sales starting in late February and carrying into the second quarter.</w:t>
      </w:r>
    </w:p>
    <w:p>
      <w:pPr>
        <w:spacing w:after="0" w:line="17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Commercial revenue was $3.7 million for the twenty-six weeks ended July 1, 2017, compared to $1.3 million for the twenty-six weeks ended July 2, 2016, an increase of $2.4 million. Revenue from franchise fees was $1.1 million for the twenty-six weeks ended July 1, 2017, compared to $0.9 million for the twenty-six weeks ended July 2, 2016, an increase of $0.2 million.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$74.2 million for the twenty-six weeks ended July 1, 2017, compared to $76.7 million for the twenty-six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2016, a decrease of $2.5 million, or 3.2%. As a percentage of net retail sales, retail gross margin decreased to 45.5% for the twenty-six weeks ended July 1, 2017, from 45.6% for the twenty-six weeks ended July 2, 2016. This slight decline was the result of deleverage of fixed occupancy costs offset by expansion in merchandise margin.</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$73.5 million for the twenty-six weeks ended July 1, 2017,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$76.7 million for the twenty-six weeks ended July 2, 2016, a decrease of $3.2 million, or 4.2%. As a percentage of total revenues, selling, general and administrative expenses decreased to 43.8% for the twenty-six weeks ended July 1, 2017, as compared to 45.1% for the twenty-six weeks ended July 2, 2016, a decrease of 130 basis points. The decrease was primarily due to a shift in marketing costs to the second half of 2017 as compared to the prior year and unrealized currency gains in the first half of 2017 compared to losses in the same period of 2016 driven by the significant weakening of the British pound sterling. Additionally, reductions in corporate overhead were offset by higher store expenses driven by an increase in store count.</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Store preopening. </w:t>
      </w:r>
      <w:r>
        <w:rPr>
          <w:rFonts w:ascii="Arial" w:cs="Arial" w:eastAsia="Arial" w:hAnsi="Arial"/>
          <w:sz w:val="18"/>
          <w:szCs w:val="18"/>
          <w:color w:val="auto"/>
        </w:rPr>
        <w:t>Store preopening expenses were $1.5 million for the twenty-six weeks ended July 1, 2017, as compared to $2.4 million for the twenty-six</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July 2, 2016, a decrease of $0.9 million. The decrease is primarily attributable to the higher expenses in 2016 related to the opening of the first store in China.</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$18,000 for the twenty-six weeks ended July 1, 2017, compared to $38,000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July 2, 2016.</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$0.7 million for the twenty-six weeks ended July 1, 2017, as compared to an income tax benefit of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twenty-six weeks ended July 2, 2016. The effective tax rate was 37.7% for the twenty-six weeks ended July 1, 2017, compared to 19.4% for the twenty-six weeks ended July 2, 2016. In the first half of fiscal 2017, the effective tax rate differed from the statutory rate of 34% primarily due to the implementation of the new accounting standard related to the accounting for the tax impact of equity awards vesting, state taxes and other discrete items. The fluctuation in the 2016 effective tax rate was primarily due to the effect of permanent differences and a discrete item.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(1) fluctuations in the profitability of our stores; (2) increases or decreases in comparable sales and total revenues; (3) changes in general economic conditions and consumer spending patterns; (4) the timing and frequency of our marketing initiatives including national media appearances and other public relations events; (5) changes in foreign currency exchange rates; (6) seasonal shopping patterns and holiday and vacation schedules; (7) the timing of store closures, relocations and openings and related expenses; (8) the effectiveness of our inventory management; (9) changes in consumer preferences; (10) the continued introduction and expansion of merchandise offerings; (11) actions of competitors or mall anchors and co-tenants; (12) weather conditions; and (13) the impact of a 53rd week in our fiscal year, which occurs approximately every six years.</w:t>
      </w:r>
    </w:p>
    <w:p>
      <w:pPr>
        <w:spacing w:after="0" w:line="17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timing of store openings, closures and remodels may cause fluctuations in quarterly results due to the changes in revenues and expenses associated with each store location. We typically incur most preopening costs for a new store, remodeled or relocated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87"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As a specialty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$11.1 million for the twenty-six weeks ended July 1, 2017, compared to $22.2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July 2, 2016, a decrease in cash used of $11.1 million. Generally, changes in cash from operating activities are driven by changes in net income or loss and changes in operating assets and liabilities. This decrease in cash used in operating activities over the year ago period was primarily due to timing of inventory shipments and payments and increased store contribution.</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$8.0 million for the twenty-six weeks ended July 1, 2017, as compared to $10.4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twenty-six weeks ended July 2, 2016, a decrease of $2.4 million. Cash used in investing activities during the twenty-six weeks ended July 1, 2017, primarily related to store construction and maintenance and upgrades and purchases of central office information technology systems and equipment. Cash used in investing activities during the twenty-six weeks ended July 2, 2016, primarily related to store construction and upgrades and purchases of information technology infrastructure, partially offset by the maturity of short-term investments.</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Cash used in financing activities in the twenty-six weeks ended July 1, 2017 was $0.5 million related to exercises of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net of shares used for withholding tax payments and payments under capital leases. Cash used in financing activities in the twenty-six weeks ended July 2, 2016 was $2.0 million as purchases of our stock used cash of $1.5 million and exercises of employee stock options, net of shares used for withholding tax payments used $0.5 million. No borrowings were made under our line of credit in either the twenty-six weeks ended July 1, 2017 or July 2, 2016.</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July 1, 2017, we had a consolidated cash balance of $12.6 million, over half of which was domiciled outside of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have a line of credit, which we can use to finance capital expenditures and working capital needs throughout the year. On May 4, 2017, we amended the credit agreement extending the expiration date to December 31, 2018 and increasing the amount of permitted lease and rental payments for personal property from $100,000 to $1 million. The bank line provides availability of $35 million. Borrowings under the credit agreement are secured by our assets and a pledge of 65%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July 1, 2017: (i) we were in compliance with all covenants; (ii) there were no borrowings under our line of credit; and (iii) there was approximately $35.0 million available for borrowing under the line of credit.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ind w:right="220" w:firstLine="405"/>
        <w:spacing w:after="0" w:line="264" w:lineRule="auto"/>
        <w:rPr>
          <w:sz w:val="20"/>
          <w:szCs w:val="20"/>
          <w:color w:val="auto"/>
        </w:rPr>
      </w:pPr>
      <w:r>
        <w:rPr>
          <w:rFonts w:ascii="Arial" w:cs="Arial" w:eastAsia="Arial" w:hAnsi="Arial"/>
          <w:sz w:val="18"/>
          <w:szCs w:val="18"/>
          <w:color w:val="auto"/>
        </w:rPr>
        <w:t>In fiscal 2017, we expect to spend a total of $20 million to $24 million on capital expenditures. Capital spending through the twenty-six weeks ended July 1, 2017 totaled $8.0 million, on track with our full year plans. Capital spending in fiscal 2017 is expected to primarily support our store activity, including both remodels and new stores and investments in information technology infrastructure.</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Our critical accounting policies and estimates are discussed in and should be read in conjunction with our Annual Report on Form 10-K, as filed with the Securities and Exchange Commission (SEC) on March 16, 2017, which includes audited consolidated financial statements for our 2016, 2015 and 2014 fiscal years. There have been no material changes to the critical accounting estimates disclosed in the 2016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December 31, 2016 as filed with the SEC on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July 1, 2017, the end of the period covered by this Quarterly Report.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9" w:name="page20"/>
    <w:bookmarkEnd w:id="19"/>
    <w:p>
      <w:pPr>
        <w:ind w:right="40"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changes to our Risk Factors as disclosed in our Annual Report on Form 10-K for the year ended December 31, 2016 as filed with the Securities and Exchange Commission on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(c)</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4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Shares (or Units)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1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(b)</w:t>
            </w: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85"/>
              </w:rPr>
              <w:t>Purchased as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Shares (or Units)</w:t>
            </w:r>
          </w:p>
        </w:tc>
      </w:tr>
      <w:tr>
        <w:trPr>
          <w:trHeight w:val="216"/>
        </w:trPr>
        <w:tc>
          <w:tcPr>
            <w:tcW w:w="41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Total Number</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the May Yet Be</w:t>
            </w:r>
          </w:p>
        </w:tc>
      </w:tr>
      <w:tr>
        <w:trPr>
          <w:trHeight w:val="216"/>
        </w:trPr>
        <w:tc>
          <w:tcPr>
            <w:tcW w:w="41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of Shares</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Paid</w:t>
            </w:r>
          </w:p>
        </w:tc>
        <w:tc>
          <w:tcPr>
            <w:tcW w:w="168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193"/>
        </w:trPr>
        <w:tc>
          <w:tcPr>
            <w:tcW w:w="4100" w:type="dxa"/>
            <w:vAlign w:val="bottom"/>
          </w:tcPr>
          <w:p>
            <w:pPr>
              <w:spacing w:after="0"/>
              <w:rPr>
                <w:sz w:val="16"/>
                <w:szCs w:val="16"/>
                <w:color w:val="auto"/>
              </w:rPr>
            </w:pPr>
          </w:p>
        </w:tc>
        <w:tc>
          <w:tcPr>
            <w:tcW w:w="1800" w:type="dxa"/>
            <w:vAlign w:val="bottom"/>
            <w:gridSpan w:val="2"/>
          </w:tcPr>
          <w:p>
            <w:pPr>
              <w:jc w:val="center"/>
              <w:ind w:right="300"/>
              <w:spacing w:after="0" w:line="193" w:lineRule="exact"/>
              <w:rPr>
                <w:sz w:val="20"/>
                <w:szCs w:val="20"/>
                <w:color w:val="auto"/>
              </w:rPr>
            </w:pPr>
            <w:r>
              <w:rPr>
                <w:rFonts w:ascii="Arial" w:cs="Arial" w:eastAsia="Arial" w:hAnsi="Arial"/>
                <w:sz w:val="18"/>
                <w:szCs w:val="18"/>
                <w:b w:val="1"/>
                <w:bCs w:val="1"/>
                <w:color w:val="auto"/>
                <w:w w:val="92"/>
              </w:rPr>
              <w:t>(or Units)</w:t>
            </w:r>
          </w:p>
        </w:tc>
        <w:tc>
          <w:tcPr>
            <w:tcW w:w="1480" w:type="dxa"/>
            <w:vAlign w:val="bottom"/>
            <w:gridSpan w:val="2"/>
          </w:tcPr>
          <w:p>
            <w:pPr>
              <w:jc w:val="center"/>
              <w:ind w:right="280"/>
              <w:spacing w:after="0" w:line="193" w:lineRule="exact"/>
              <w:rPr>
                <w:sz w:val="20"/>
                <w:szCs w:val="20"/>
                <w:color w:val="auto"/>
              </w:rPr>
            </w:pPr>
            <w:r>
              <w:rPr>
                <w:rFonts w:ascii="Arial" w:cs="Arial" w:eastAsia="Arial" w:hAnsi="Arial"/>
                <w:sz w:val="18"/>
                <w:szCs w:val="18"/>
                <w:b w:val="1"/>
                <w:bCs w:val="1"/>
                <w:color w:val="auto"/>
                <w:w w:val="90"/>
              </w:rPr>
              <w:t>Per Share</w:t>
            </w:r>
          </w:p>
        </w:tc>
        <w:tc>
          <w:tcPr>
            <w:tcW w:w="1680" w:type="dxa"/>
            <w:vAlign w:val="bottom"/>
          </w:tcPr>
          <w:p>
            <w:pPr>
              <w:jc w:val="center"/>
              <w:ind w:left="70"/>
              <w:spacing w:after="0" w:line="193" w:lineRule="exact"/>
              <w:rPr>
                <w:sz w:val="20"/>
                <w:szCs w:val="20"/>
                <w:color w:val="auto"/>
              </w:rPr>
            </w:pPr>
            <w:r>
              <w:rPr>
                <w:rFonts w:ascii="Arial" w:cs="Arial" w:eastAsia="Arial" w:hAnsi="Arial"/>
                <w:sz w:val="18"/>
                <w:szCs w:val="18"/>
                <w:b w:val="1"/>
                <w:bCs w:val="1"/>
                <w:color w:val="auto"/>
                <w:w w:val="90"/>
              </w:rPr>
              <w:t>Plans or</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jc w:val="center"/>
              <w:ind w:right="20"/>
              <w:spacing w:after="0" w:line="193" w:lineRule="exact"/>
              <w:rPr>
                <w:sz w:val="20"/>
                <w:szCs w:val="20"/>
                <w:color w:val="auto"/>
              </w:rPr>
            </w:pPr>
            <w:r>
              <w:rPr>
                <w:rFonts w:ascii="Arial" w:cs="Arial" w:eastAsia="Arial" w:hAnsi="Arial"/>
                <w:sz w:val="18"/>
                <w:szCs w:val="18"/>
                <w:b w:val="1"/>
                <w:bCs w:val="1"/>
                <w:color w:val="auto"/>
                <w:w w:val="89"/>
              </w:rPr>
              <w:t>the Plans or</w:t>
            </w:r>
          </w:p>
        </w:tc>
      </w:tr>
      <w:tr>
        <w:trPr>
          <w:trHeight w:val="258"/>
        </w:trPr>
        <w:tc>
          <w:tcPr>
            <w:tcW w:w="41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800" w:type="dxa"/>
            <w:vAlign w:val="bottom"/>
            <w:gridSpan w:val="2"/>
          </w:tcPr>
          <w:p>
            <w:pPr>
              <w:jc w:val="center"/>
              <w:ind w:right="300"/>
              <w:spacing w:after="0" w:line="258"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b w:val="1"/>
                <w:bCs w:val="1"/>
                <w:color w:val="auto"/>
                <w:w w:val="84"/>
                <w:vertAlign w:val="superscript"/>
              </w:rPr>
              <w:t>(1)</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(or Unit)</w:t>
            </w:r>
          </w:p>
        </w:tc>
        <w:tc>
          <w:tcPr>
            <w:tcW w:w="1680" w:type="dxa"/>
            <w:vAlign w:val="bottom"/>
          </w:tcPr>
          <w:p>
            <w:pPr>
              <w:jc w:val="center"/>
              <w:ind w:left="70"/>
              <w:spacing w:after="0" w:line="258"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b w:val="1"/>
                <w:bCs w:val="1"/>
                <w:color w:val="auto"/>
                <w:w w:val="85"/>
                <w:vertAlign w:val="superscript"/>
              </w:rPr>
              <w:t>(2)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gridSpan w:val="2"/>
          </w:tcPr>
          <w:p>
            <w:pPr>
              <w:jc w:val="center"/>
              <w:ind w:right="20"/>
              <w:spacing w:after="0" w:line="258"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b w:val="1"/>
                <w:bCs w:val="1"/>
                <w:color w:val="auto"/>
                <w:w w:val="85"/>
                <w:vertAlign w:val="superscript"/>
              </w:rPr>
              <w:t>(2)</w:t>
            </w:r>
          </w:p>
        </w:tc>
      </w:tr>
      <w:tr>
        <w:trPr>
          <w:trHeight w:val="210"/>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Apr. 2, 2017 – Apr. 29, 2017</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$ 8.73</w:t>
            </w:r>
          </w:p>
        </w:tc>
        <w:tc>
          <w:tcPr>
            <w:tcW w:w="28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4100" w:type="dxa"/>
            <w:vAlign w:val="bottom"/>
          </w:tcPr>
          <w:p>
            <w:pPr>
              <w:ind w:left="340"/>
              <w:spacing w:after="0"/>
              <w:rPr>
                <w:sz w:val="20"/>
                <w:szCs w:val="20"/>
                <w:color w:val="auto"/>
              </w:rPr>
            </w:pPr>
            <w:r>
              <w:rPr>
                <w:rFonts w:ascii="Arial" w:cs="Arial" w:eastAsia="Arial" w:hAnsi="Arial"/>
                <w:sz w:val="18"/>
                <w:szCs w:val="18"/>
                <w:b w:val="1"/>
                <w:bCs w:val="1"/>
                <w:color w:val="auto"/>
              </w:rPr>
              <w:t>Apr. 30, 2017 – May 27, 2017</w:t>
            </w:r>
          </w:p>
        </w:tc>
        <w:tc>
          <w:tcPr>
            <w:tcW w:w="152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$ 10.70</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May 28, 2017 – Jul. 1, 2017</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$ 10.90</w:t>
            </w:r>
          </w:p>
        </w:tc>
        <w:tc>
          <w:tcPr>
            <w:tcW w:w="2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0"/>
        </w:trPr>
        <w:tc>
          <w:tcPr>
            <w:tcW w:w="410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2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$ 10.86</w:t>
            </w:r>
          </w:p>
        </w:tc>
        <w:tc>
          <w:tcPr>
            <w:tcW w:w="28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40" w:hanging="532"/>
        <w:spacing w:after="0" w:line="26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7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November 11, 2004)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Bylaws, as amended through February 23, 2016 (incorporated by reference from Exhibit 3.1 of our Current Report</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on Form 8-K, filed on February 24, 2016)</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October 1,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Seventeenth Amendment to Loan Documents between Build-A-Bear Workshop, Inc., Build-A-Bear Workshop Franchise Holdings, Inc.,</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Build-A-Bear Entertainment, LLC, Build-A-Bear Retail Management, Inc., and Build-A-Bear Card Services, LLC, as Borrowers, and U.S.</w:t>
            </w:r>
          </w:p>
        </w:tc>
        <w:tc>
          <w:tcPr>
            <w:tcW w:w="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Bank National Association, as Lender, entered into effective as of May 4, 2017 (incorporated by reference from Exhibit 10.1 to our Current</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Report on Form 8-K, filed on May 8, 2017)</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Build-A-Bear Workshop, Inc. 2017 Omnibus Incentive Plan (incorporated by reference from Exhibit 10.1 to our Current Report on Form 8-</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K, filed on May 12, 2017)</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President and Chief</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Financial Officer)</w:t>
            </w:r>
          </w:p>
        </w:tc>
        <w:tc>
          <w:tcPr>
            <w:tcW w:w="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President and Chief Executive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Officer)</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945"/>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1" w:name="page22"/>
    <w:bookmarkEnd w:id="2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00" w:lineRule="exact"/>
        <w:rPr>
          <w:sz w:val="20"/>
          <w:szCs w:val="20"/>
          <w:color w:val="auto"/>
        </w:rPr>
      </w:pPr>
    </w:p>
    <w:p>
      <w:pPr>
        <w:spacing w:after="0" w:line="24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 registrant and as principal executive officer)</w:t>
      </w:r>
    </w:p>
    <w:p>
      <w:pPr>
        <w:spacing w:after="0" w:line="2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80"/>
          </w:cols>
          <w:pgMar w:left="240" w:top="580" w:right="3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10,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Build-A-Bear Workshop, Inc.</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5126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1, 2017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10,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July 1, 2017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10, 2017</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686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68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68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Build-A-Bear Workshop, Inc.</w:t>
            </w:r>
          </w:p>
        </w:tc>
      </w:tr>
      <w:tr>
        <w:trPr>
          <w:trHeight w:val="230"/>
        </w:trPr>
        <w:tc>
          <w:tcPr>
            <w:tcW w:w="68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2019-12-06T14:37:57Z</dcterms:created>
  <dcterms:modified xsi:type="dcterms:W3CDTF">2019-12-06T14:37:57Z</dcterms:modified>
</cp:coreProperties>
</file>