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241935</wp:posOffset>
            </wp:positionV>
            <wp:extent cx="720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580" w:right="3960" w:hanging="572"/>
        <w:spacing w:after="0" w:line="490" w:lineRule="auto"/>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August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-518160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-101600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5" w:lineRule="exact"/>
        <w:rPr>
          <w:sz w:val="24"/>
          <w:szCs w:val="24"/>
          <w:color w:val="auto"/>
        </w:rPr>
      </w:pPr>
    </w:p>
    <w:p>
      <w:pPr>
        <w:ind w:left="58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-5080</wp:posOffset>
            </wp:positionV>
            <wp:extent cx="866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BUILD-A-BEAR WORKSHOP,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278765</wp:posOffset>
            </wp:positionV>
            <wp:extent cx="720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63103</w:t>
            </w:r>
          </w:p>
        </w:tc>
      </w:tr>
      <w:tr>
        <w:trPr>
          <w:trHeight w:val="238"/>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49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BBW</w:t>
            </w:r>
          </w:p>
        </w:tc>
        <w:tc>
          <w:tcPr>
            <w:tcW w:w="4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11" w:right="339" w:bottom="1440" w:gutter="0" w:footer="0" w:header="0"/>
        </w:sectPr>
      </w:pPr>
    </w:p>
    <w:bookmarkStart w:id="1" w:name="page2"/>
    <w:bookmarkEnd w:id="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ind w:right="6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36" w:lineRule="exact"/>
        <w:rPr>
          <w:sz w:val="20"/>
          <w:szCs w:val="20"/>
          <w:color w:val="auto"/>
        </w:rPr>
      </w:pPr>
    </w:p>
    <w:p>
      <w:pPr>
        <w:sectPr>
          <w:pgSz w:w="11900" w:h="16838" w:orient="portrait"/>
          <w:cols w:equalWidth="0" w:num="3">
            <w:col w:w="1620" w:space="100"/>
            <w:col w:w="5200" w:space="720"/>
            <w:col w:w="3600"/>
          </w:cols>
          <w:pgMar w:left="320" w:top="111"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11" w:right="339" w:bottom="1440" w:gutter="0" w:footer="0" w:header="0"/>
          <w:type w:val="continuous"/>
        </w:sectPr>
      </w:pPr>
    </w:p>
    <w:p>
      <w:pPr>
        <w:spacing w:after="0" w:line="17" w:lineRule="exact"/>
        <w:rPr>
          <w:sz w:val="20"/>
          <w:szCs w:val="20"/>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14(a)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7, 2020, there were 15,591,553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3"/>
        </w:trPr>
        <w:tc>
          <w:tcPr>
            <w:tcW w:w="7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79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BUILD-A-BEAR WORKSHOP, INC.</w:t>
            </w: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04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Financial Statements (Unaudited)</w:t>
              </w:r>
            </w:hyperlink>
          </w:p>
        </w:tc>
        <w:tc>
          <w:tcPr>
            <w:tcW w:w="2020" w:type="dxa"/>
            <w:vAlign w:val="bottom"/>
            <w:gridSpan w:val="2"/>
            <w:shd w:val="clear" w:color="auto" w:fill="CCEEFF"/>
          </w:tcPr>
          <w:p>
            <w:pPr>
              <w:jc w:val="center"/>
              <w:ind w:left="1570"/>
              <w:spacing w:after="0"/>
              <w:rPr>
                <w:rFonts w:ascii="Times New Roman" w:cs="Times New Roman" w:eastAsia="Times New Roman" w:hAnsi="Times New Roman"/>
                <w:sz w:val="18"/>
                <w:szCs w:val="18"/>
                <w:u w:val="single" w:color="auto"/>
                <w:color w:val="0000EE"/>
                <w:w w:val="88"/>
              </w:rPr>
            </w:pPr>
            <w:hyperlink w:anchor="page3">
              <w:r>
                <w:rPr>
                  <w:rFonts w:ascii="Times New Roman" w:cs="Times New Roman" w:eastAsia="Times New Roman" w:hAnsi="Times New Roman"/>
                  <w:sz w:val="18"/>
                  <w:szCs w:val="18"/>
                  <w:u w:val="single" w:color="auto"/>
                  <w:color w:val="0000EE"/>
                  <w:w w:val="88"/>
                </w:rPr>
                <w:t>4</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w:t>
              </w:r>
            </w:hyperlink>
          </w:p>
        </w:tc>
        <w:tc>
          <w:tcPr>
            <w:tcW w:w="2020" w:type="dxa"/>
            <w:vAlign w:val="bottom"/>
            <w:gridSpan w:val="2"/>
          </w:tcPr>
          <w:p>
            <w:pPr>
              <w:jc w:val="center"/>
              <w:ind w:left="1570"/>
              <w:spacing w:after="0"/>
              <w:rPr>
                <w:rFonts w:ascii="Times New Roman" w:cs="Times New Roman" w:eastAsia="Times New Roman" w:hAnsi="Times New Roman"/>
                <w:sz w:val="18"/>
                <w:szCs w:val="18"/>
                <w:u w:val="single" w:color="auto"/>
                <w:color w:val="0000EE"/>
                <w:w w:val="88"/>
              </w:rPr>
            </w:pPr>
            <w:hyperlink w:anchor="page3">
              <w:r>
                <w:rPr>
                  <w:rFonts w:ascii="Times New Roman" w:cs="Times New Roman" w:eastAsia="Times New Roman" w:hAnsi="Times New Roman"/>
                  <w:sz w:val="18"/>
                  <w:szCs w:val="18"/>
                  <w:u w:val="single" w:color="auto"/>
                  <w:color w:val="0000EE"/>
                  <w:w w:val="88"/>
                </w:rPr>
                <w:t>4</w:t>
              </w:r>
            </w:hyperlink>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Statements of Operations and Comprehensive (Loss) Income</w:t>
              </w:r>
            </w:hyperlink>
          </w:p>
        </w:tc>
        <w:tc>
          <w:tcPr>
            <w:tcW w:w="2020" w:type="dxa"/>
            <w:vAlign w:val="bottom"/>
            <w:gridSpan w:val="2"/>
            <w:shd w:val="clear" w:color="auto" w:fill="CCEEFF"/>
          </w:tcPr>
          <w:p>
            <w:pPr>
              <w:jc w:val="center"/>
              <w:ind w:left="1570"/>
              <w:spacing w:after="0"/>
              <w:rPr>
                <w:rFonts w:ascii="Times New Roman" w:cs="Times New Roman" w:eastAsia="Times New Roman" w:hAnsi="Times New Roman"/>
                <w:sz w:val="18"/>
                <w:szCs w:val="18"/>
                <w:u w:val="single" w:color="auto"/>
                <w:color w:val="0000EE"/>
                <w:w w:val="88"/>
              </w:rPr>
            </w:pPr>
            <w:hyperlink w:anchor="page4">
              <w:r>
                <w:rPr>
                  <w:rFonts w:ascii="Times New Roman" w:cs="Times New Roman" w:eastAsia="Times New Roman" w:hAnsi="Times New Roman"/>
                  <w:sz w:val="18"/>
                  <w:szCs w:val="18"/>
                  <w:u w:val="single" w:color="auto"/>
                  <w:color w:val="0000EE"/>
                  <w:w w:val="88"/>
                </w:rPr>
                <w:t>5</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ind w:left="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Consolidated Statements of Cash Flows</w:t>
              </w:r>
            </w:hyperlink>
          </w:p>
        </w:tc>
        <w:tc>
          <w:tcPr>
            <w:tcW w:w="2020" w:type="dxa"/>
            <w:vAlign w:val="bottom"/>
            <w:gridSpan w:val="2"/>
          </w:tcPr>
          <w:p>
            <w:pPr>
              <w:jc w:val="center"/>
              <w:ind w:left="1570"/>
              <w:spacing w:after="0"/>
              <w:rPr>
                <w:rFonts w:ascii="Times New Roman" w:cs="Times New Roman" w:eastAsia="Times New Roman" w:hAnsi="Times New Roman"/>
                <w:sz w:val="18"/>
                <w:szCs w:val="18"/>
                <w:u w:val="single" w:color="auto"/>
                <w:color w:val="0000EE"/>
                <w:w w:val="88"/>
              </w:rPr>
            </w:pPr>
            <w:hyperlink w:anchor="page4">
              <w:r>
                <w:rPr>
                  <w:rFonts w:ascii="Times New Roman" w:cs="Times New Roman" w:eastAsia="Times New Roman" w:hAnsi="Times New Roman"/>
                  <w:sz w:val="18"/>
                  <w:szCs w:val="18"/>
                  <w:u w:val="single" w:color="auto"/>
                  <w:color w:val="0000EE"/>
                  <w:w w:val="88"/>
                </w:rPr>
                <w:t>6</w:t>
              </w:r>
            </w:hyperlink>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92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Notes to Condensed Consolidated Financial Statements</w:t>
              </w:r>
            </w:hyperlink>
          </w:p>
        </w:tc>
        <w:tc>
          <w:tcPr>
            <w:tcW w:w="2020" w:type="dxa"/>
            <w:vAlign w:val="bottom"/>
            <w:gridSpan w:val="2"/>
            <w:shd w:val="clear" w:color="auto" w:fill="CCEEFF"/>
          </w:tcPr>
          <w:p>
            <w:pPr>
              <w:jc w:val="center"/>
              <w:ind w:left="1570"/>
              <w:spacing w:after="0"/>
              <w:rPr>
                <w:rFonts w:ascii="Times New Roman" w:cs="Times New Roman" w:eastAsia="Times New Roman" w:hAnsi="Times New Roman"/>
                <w:sz w:val="18"/>
                <w:szCs w:val="18"/>
                <w:u w:val="single" w:color="auto"/>
                <w:color w:val="0000EE"/>
                <w:w w:val="88"/>
              </w:rPr>
            </w:pPr>
            <w:hyperlink w:anchor="page5">
              <w:r>
                <w:rPr>
                  <w:rFonts w:ascii="Times New Roman" w:cs="Times New Roman" w:eastAsia="Times New Roman" w:hAnsi="Times New Roman"/>
                  <w:sz w:val="18"/>
                  <w:szCs w:val="18"/>
                  <w:u w:val="single" w:color="auto"/>
                  <w:color w:val="0000EE"/>
                  <w:w w:val="88"/>
                </w:rPr>
                <w:t>7</w:t>
              </w:r>
            </w:hyperlink>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2020" w:type="dxa"/>
            <w:vAlign w:val="bottom"/>
            <w:gridSpan w:val="2"/>
            <w:shd w:val="clear" w:color="auto" w:fill="CCEEFF"/>
          </w:tcPr>
          <w:p>
            <w:pPr>
              <w:jc w:val="center"/>
              <w:ind w:left="1550"/>
              <w:spacing w:after="0"/>
              <w:rPr>
                <w:rFonts w:ascii="Times New Roman" w:cs="Times New Roman" w:eastAsia="Times New Roman" w:hAnsi="Times New Roman"/>
                <w:sz w:val="18"/>
                <w:szCs w:val="18"/>
                <w:u w:val="single" w:color="auto"/>
                <w:color w:val="0000EE"/>
                <w:w w:val="99"/>
              </w:rPr>
            </w:pPr>
            <w:hyperlink w:anchor="page16">
              <w:r>
                <w:rPr>
                  <w:rFonts w:ascii="Times New Roman" w:cs="Times New Roman" w:eastAsia="Times New Roman" w:hAnsi="Times New Roman"/>
                  <w:sz w:val="18"/>
                  <w:szCs w:val="18"/>
                  <w:u w:val="single" w:color="auto"/>
                  <w:color w:val="0000EE"/>
                  <w:w w:val="99"/>
                </w:rPr>
                <w:t>20</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Item 3.</w:t>
              </w:r>
            </w:hyperlink>
          </w:p>
        </w:tc>
        <w:tc>
          <w:tcPr>
            <w:tcW w:w="8460" w:type="dxa"/>
            <w:vAlign w:val="bottom"/>
            <w:gridSpan w:val="2"/>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Quantitative and Qualitative Disclosures About Market Risk</w:t>
              </w:r>
            </w:hyperlink>
          </w:p>
        </w:tc>
        <w:tc>
          <w:tcPr>
            <w:tcW w:w="2020" w:type="dxa"/>
            <w:vAlign w:val="bottom"/>
            <w:gridSpan w:val="2"/>
            <w:shd w:val="clear" w:color="auto" w:fill="CCEEFF"/>
          </w:tcPr>
          <w:p>
            <w:pPr>
              <w:jc w:val="center"/>
              <w:ind w:left="1550"/>
              <w:spacing w:after="0"/>
              <w:rPr>
                <w:rFonts w:ascii="Times New Roman" w:cs="Times New Roman" w:eastAsia="Times New Roman" w:hAnsi="Times New Roman"/>
                <w:sz w:val="18"/>
                <w:szCs w:val="18"/>
                <w:u w:val="single" w:color="auto"/>
                <w:color w:val="0000EE"/>
                <w:w w:val="99"/>
              </w:rPr>
            </w:pPr>
            <w:hyperlink w:anchor="page24">
              <w:r>
                <w:rPr>
                  <w:rFonts w:ascii="Times New Roman" w:cs="Times New Roman" w:eastAsia="Times New Roman" w:hAnsi="Times New Roman"/>
                  <w:sz w:val="18"/>
                  <w:szCs w:val="18"/>
                  <w:u w:val="single" w:color="auto"/>
                  <w:color w:val="0000EE"/>
                  <w:w w:val="99"/>
                </w:rPr>
                <w:t>30</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Item 4.</w:t>
              </w:r>
            </w:hyperlink>
          </w:p>
        </w:tc>
        <w:tc>
          <w:tcPr>
            <w:tcW w:w="8460" w:type="dxa"/>
            <w:vAlign w:val="bottom"/>
            <w:gridSpan w:val="2"/>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Controls and Procedures</w:t>
              </w:r>
            </w:hyperlink>
          </w:p>
        </w:tc>
        <w:tc>
          <w:tcPr>
            <w:tcW w:w="2020" w:type="dxa"/>
            <w:vAlign w:val="bottom"/>
            <w:gridSpan w:val="2"/>
            <w:shd w:val="clear" w:color="auto" w:fill="CCEEFF"/>
          </w:tcPr>
          <w:p>
            <w:pPr>
              <w:jc w:val="center"/>
              <w:ind w:left="1550"/>
              <w:spacing w:after="0"/>
              <w:rPr>
                <w:rFonts w:ascii="Times New Roman" w:cs="Times New Roman" w:eastAsia="Times New Roman" w:hAnsi="Times New Roman"/>
                <w:sz w:val="18"/>
                <w:szCs w:val="18"/>
                <w:u w:val="single" w:color="auto"/>
                <w:color w:val="0000EE"/>
                <w:w w:val="99"/>
              </w:rPr>
            </w:pPr>
            <w:hyperlink w:anchor="page24">
              <w:r>
                <w:rPr>
                  <w:rFonts w:ascii="Times New Roman" w:cs="Times New Roman" w:eastAsia="Times New Roman" w:hAnsi="Times New Roman"/>
                  <w:sz w:val="18"/>
                  <w:szCs w:val="18"/>
                  <w:u w:val="single" w:color="auto"/>
                  <w:color w:val="0000EE"/>
                  <w:w w:val="99"/>
                </w:rPr>
                <w:t>31</w:t>
              </w:r>
            </w:hyperlink>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ind w:left="18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u w:val="single" w:color="auto"/>
                  <w:color w:val="0000EE"/>
                </w:rPr>
                <w:t>Item 1A</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u w:val="single" w:color="auto"/>
                  <w:color w:val="0000EE"/>
                </w:rPr>
                <w:t>Risk Factors</w:t>
              </w:r>
            </w:hyperlink>
          </w:p>
        </w:tc>
        <w:tc>
          <w:tcPr>
            <w:tcW w:w="2020" w:type="dxa"/>
            <w:vAlign w:val="bottom"/>
            <w:gridSpan w:val="2"/>
            <w:shd w:val="clear" w:color="auto" w:fill="CCEEFF"/>
          </w:tcPr>
          <w:p>
            <w:pPr>
              <w:jc w:val="center"/>
              <w:ind w:left="1550"/>
              <w:spacing w:after="0"/>
              <w:rPr>
                <w:rFonts w:ascii="Times New Roman" w:cs="Times New Roman" w:eastAsia="Times New Roman" w:hAnsi="Times New Roman"/>
                <w:sz w:val="18"/>
                <w:szCs w:val="18"/>
                <w:u w:val="single" w:color="auto"/>
                <w:color w:val="0000EE"/>
                <w:w w:val="99"/>
              </w:rPr>
            </w:pPr>
            <w:hyperlink w:anchor="page24">
              <w:r>
                <w:rPr>
                  <w:rFonts w:ascii="Times New Roman" w:cs="Times New Roman" w:eastAsia="Times New Roman" w:hAnsi="Times New Roman"/>
                  <w:sz w:val="18"/>
                  <w:szCs w:val="18"/>
                  <w:u w:val="single" w:color="auto"/>
                  <w:color w:val="0000EE"/>
                  <w:w w:val="99"/>
                </w:rPr>
                <w:t>31</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Item 2.</w:t>
              </w:r>
            </w:hyperlink>
          </w:p>
        </w:tc>
        <w:tc>
          <w:tcPr>
            <w:tcW w:w="8460" w:type="dxa"/>
            <w:vAlign w:val="bottom"/>
            <w:gridSpan w:val="2"/>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Unregistered Sales of Equity Securities and Use of Proceeds</w:t>
              </w:r>
            </w:hyperlink>
          </w:p>
        </w:tc>
        <w:tc>
          <w:tcPr>
            <w:tcW w:w="2020" w:type="dxa"/>
            <w:vAlign w:val="bottom"/>
            <w:gridSpan w:val="2"/>
            <w:shd w:val="clear" w:color="auto" w:fill="CCEEFF"/>
          </w:tcPr>
          <w:p>
            <w:pPr>
              <w:jc w:val="center"/>
              <w:ind w:left="1550"/>
              <w:spacing w:after="0"/>
              <w:rPr>
                <w:rFonts w:ascii="Times New Roman" w:cs="Times New Roman" w:eastAsia="Times New Roman" w:hAnsi="Times New Roman"/>
                <w:sz w:val="18"/>
                <w:szCs w:val="18"/>
                <w:u w:val="single" w:color="auto"/>
                <w:color w:val="0000EE"/>
                <w:w w:val="99"/>
              </w:rPr>
            </w:pPr>
            <w:hyperlink w:anchor="page24">
              <w:r>
                <w:rPr>
                  <w:rFonts w:ascii="Times New Roman" w:cs="Times New Roman" w:eastAsia="Times New Roman" w:hAnsi="Times New Roman"/>
                  <w:sz w:val="18"/>
                  <w:szCs w:val="18"/>
                  <w:u w:val="single" w:color="auto"/>
                  <w:color w:val="0000EE"/>
                  <w:w w:val="99"/>
                </w:rPr>
                <w:t>32</w:t>
              </w:r>
            </w:hyperlink>
          </w:p>
        </w:tc>
        <w:tc>
          <w:tcPr>
            <w:tcW w:w="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4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Item 6.</w:t>
              </w:r>
            </w:hyperlink>
          </w:p>
        </w:tc>
        <w:tc>
          <w:tcPr>
            <w:tcW w:w="8460" w:type="dxa"/>
            <w:vAlign w:val="bottom"/>
            <w:gridSpan w:val="2"/>
            <w:shd w:val="clear" w:color="auto" w:fill="CCEEFF"/>
          </w:tcPr>
          <w:p>
            <w:pPr>
              <w:ind w:left="80"/>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Exhibits</w:t>
              </w:r>
            </w:hyperlink>
          </w:p>
        </w:tc>
        <w:tc>
          <w:tcPr>
            <w:tcW w:w="2020" w:type="dxa"/>
            <w:vAlign w:val="bottom"/>
            <w:gridSpan w:val="2"/>
            <w:shd w:val="clear" w:color="auto" w:fill="CCEEFF"/>
          </w:tcPr>
          <w:p>
            <w:pPr>
              <w:jc w:val="center"/>
              <w:ind w:left="1550"/>
              <w:spacing w:after="0"/>
              <w:rPr>
                <w:rFonts w:ascii="Times New Roman" w:cs="Times New Roman" w:eastAsia="Times New Roman" w:hAnsi="Times New Roman"/>
                <w:sz w:val="18"/>
                <w:szCs w:val="18"/>
                <w:u w:val="single" w:color="auto"/>
                <w:color w:val="0000EE"/>
                <w:w w:val="99"/>
              </w:rPr>
            </w:pPr>
            <w:hyperlink w:anchor="page25">
              <w:r>
                <w:rPr>
                  <w:rFonts w:ascii="Times New Roman" w:cs="Times New Roman" w:eastAsia="Times New Roman" w:hAnsi="Times New Roman"/>
                  <w:sz w:val="18"/>
                  <w:szCs w:val="18"/>
                  <w:u w:val="single" w:color="auto"/>
                  <w:color w:val="0000EE"/>
                  <w:w w:val="99"/>
                </w:rPr>
                <w:t>33</w:t>
              </w:r>
            </w:hyperlink>
          </w:p>
        </w:tc>
        <w:tc>
          <w:tcPr>
            <w:tcW w:w="20" w:type="dxa"/>
            <w:vAlign w:val="bottom"/>
            <w:shd w:val="clear" w:color="auto" w:fill="CCEEFF"/>
          </w:tcPr>
          <w:p>
            <w:pPr>
              <w:spacing w:after="0"/>
              <w:rPr>
                <w:sz w:val="18"/>
                <w:szCs w:val="18"/>
                <w:color w:val="auto"/>
              </w:rPr>
            </w:pPr>
          </w:p>
        </w:tc>
      </w:tr>
      <w:tr>
        <w:trPr>
          <w:trHeight w:val="216"/>
        </w:trPr>
        <w:tc>
          <w:tcPr>
            <w:tcW w:w="1280" w:type="dxa"/>
            <w:vAlign w:val="bottom"/>
            <w:gridSpan w:val="2"/>
          </w:tcPr>
          <w:p>
            <w:pPr>
              <w:spacing w:after="0"/>
              <w:rPr>
                <w:sz w:val="18"/>
                <w:szCs w:val="18"/>
                <w:color w:val="auto"/>
              </w:rPr>
            </w:pPr>
          </w:p>
        </w:tc>
        <w:tc>
          <w:tcPr>
            <w:tcW w:w="7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0" w:type="dxa"/>
            <w:vAlign w:val="bottom"/>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Signatures</w:t>
              </w:r>
            </w:hyperlink>
          </w:p>
        </w:tc>
        <w:tc>
          <w:tcPr>
            <w:tcW w:w="2020" w:type="dxa"/>
            <w:vAlign w:val="bottom"/>
            <w:gridSpan w:val="2"/>
            <w:shd w:val="clear" w:color="auto" w:fill="CCEEFF"/>
          </w:tcPr>
          <w:p>
            <w:pPr>
              <w:jc w:val="center"/>
              <w:ind w:left="1550"/>
              <w:spacing w:after="0"/>
              <w:rPr>
                <w:rFonts w:ascii="Times New Roman" w:cs="Times New Roman" w:eastAsia="Times New Roman" w:hAnsi="Times New Roman"/>
                <w:sz w:val="18"/>
                <w:szCs w:val="18"/>
                <w:u w:val="single" w:color="auto"/>
                <w:color w:val="0000EE"/>
                <w:w w:val="99"/>
              </w:rPr>
            </w:pPr>
            <w:hyperlink w:anchor="page25">
              <w:r>
                <w:rPr>
                  <w:rFonts w:ascii="Times New Roman" w:cs="Times New Roman" w:eastAsia="Times New Roman" w:hAnsi="Times New Roman"/>
                  <w:sz w:val="18"/>
                  <w:szCs w:val="18"/>
                  <w:u w:val="single" w:color="auto"/>
                  <w:color w:val="0000EE"/>
                  <w:w w:val="99"/>
                </w:rPr>
                <w:t>35</w:t>
              </w:r>
            </w:hyperlink>
          </w:p>
        </w:tc>
        <w:tc>
          <w:tcPr>
            <w:tcW w:w="20" w:type="dxa"/>
            <w:vAlign w:val="bottom"/>
            <w:shd w:val="clear" w:color="auto" w:fill="CCEEFF"/>
          </w:tcPr>
          <w:p>
            <w:pPr>
              <w:spacing w:after="0"/>
              <w:rPr>
                <w:sz w:val="18"/>
                <w:szCs w:val="18"/>
                <w:color w:val="auto"/>
              </w:rPr>
            </w:pPr>
          </w:p>
        </w:tc>
      </w:tr>
      <w:tr>
        <w:trPr>
          <w:trHeight w:val="432"/>
        </w:trPr>
        <w:tc>
          <w:tcPr>
            <w:tcW w:w="740" w:type="dxa"/>
            <w:vAlign w:val="bottom"/>
          </w:tcPr>
          <w:p>
            <w:pPr>
              <w:spacing w:after="0"/>
              <w:rPr>
                <w:sz w:val="24"/>
                <w:szCs w:val="24"/>
                <w:color w:val="auto"/>
              </w:rPr>
            </w:pPr>
          </w:p>
        </w:tc>
        <w:tc>
          <w:tcPr>
            <w:tcW w:w="846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88"/>
              </w:rPr>
              <w:t>3</w:t>
            </w: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August 1,</w:t>
            </w:r>
          </w:p>
        </w:tc>
        <w:tc>
          <w:tcPr>
            <w:tcW w:w="18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August 3,</w:t>
            </w:r>
          </w:p>
        </w:tc>
      </w:tr>
      <w:tr>
        <w:trPr>
          <w:trHeight w:val="238"/>
        </w:trPr>
        <w:tc>
          <w:tcPr>
            <w:tcW w:w="3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r>
      <w:tr>
        <w:trPr>
          <w:trHeight w:val="210"/>
        </w:trPr>
        <w:tc>
          <w:tcPr>
            <w:tcW w:w="3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26,726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55,509</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62,081</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6,314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5,400</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6,889</w:t>
            </w:r>
          </w:p>
        </w:tc>
      </w:tr>
      <w:tr>
        <w:trPr>
          <w:trHeight w:val="20"/>
        </w:trPr>
        <w:tc>
          <w:tcPr>
            <w:tcW w:w="3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92,497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92,649</w:t>
            </w:r>
          </w:p>
        </w:tc>
      </w:tr>
      <w:tr>
        <w:trPr>
          <w:trHeight w:val="216"/>
        </w:trPr>
        <w:tc>
          <w:tcPr>
            <w:tcW w:w="3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114,709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137,680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58,085</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64,191</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2,972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w:t>
            </w:r>
          </w:p>
        </w:tc>
      </w:tr>
      <w:tr>
        <w:trPr>
          <w:trHeight w:val="20"/>
        </w:trPr>
        <w:tc>
          <w:tcPr>
            <w:tcW w:w="330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268,263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297,262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299,194</w:t>
            </w:r>
          </w:p>
        </w:tc>
      </w:tr>
      <w:tr>
        <w:trPr>
          <w:trHeight w:val="20"/>
        </w:trPr>
        <w:tc>
          <w:tcPr>
            <w:tcW w:w="3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300" w:type="dxa"/>
            <w:vAlign w:val="bottom"/>
          </w:tcPr>
          <w:p>
            <w:pPr>
              <w:spacing w:after="0"/>
              <w:rPr>
                <w:sz w:val="18"/>
                <w:szCs w:val="18"/>
                <w:color w:val="auto"/>
              </w:rPr>
            </w:pPr>
          </w:p>
        </w:tc>
        <w:tc>
          <w:tcPr>
            <w:tcW w:w="47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23,267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15,680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16,734</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15,911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39,917</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30,697</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17,988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16,981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2,659</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2,056</w:t>
            </w:r>
          </w:p>
        </w:tc>
      </w:tr>
      <w:tr>
        <w:trPr>
          <w:trHeight w:val="20"/>
        </w:trPr>
        <w:tc>
          <w:tcPr>
            <w:tcW w:w="3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3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99,742</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75,090</w:t>
            </w:r>
          </w:p>
        </w:tc>
      </w:tr>
      <w:tr>
        <w:trPr>
          <w:trHeight w:val="216"/>
        </w:trPr>
        <w:tc>
          <w:tcPr>
            <w:tcW w:w="3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111,640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132,613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revenue</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916</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 or</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at August 1, 2020, February 1, 2020 and August 3, 2019</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15,591,553, 15,205,981 and 15,220,252 shares, respectively</w:t>
            </w: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w:t>
            </w:r>
          </w:p>
        </w:tc>
        <w:tc>
          <w:tcPr>
            <w:tcW w:w="4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71,906</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70,633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70,295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(12,339)</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(12,079)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(11,579)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Retained (deficit)/earnings</w:t>
            </w:r>
          </w:p>
        </w:tc>
        <w:tc>
          <w:tcPr>
            <w:tcW w:w="4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(5,188)</w:t>
            </w: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29,637</w:t>
            </w:r>
          </w:p>
        </w:tc>
      </w:tr>
      <w:tr>
        <w:trPr>
          <w:trHeight w:val="216"/>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54,535</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88,631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88,505</w:t>
            </w:r>
          </w:p>
        </w:tc>
      </w:tr>
      <w:tr>
        <w:trPr>
          <w:trHeight w:val="209"/>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268,263</w:t>
            </w: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297,262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299,194</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24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187"/>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August 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August 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retail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39,339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84,986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156,263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1,366</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40,353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79,214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86,977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163,576</w:t>
            </w:r>
          </w:p>
        </w:tc>
      </w:tr>
      <w:tr>
        <w:trPr>
          <w:trHeight w:val="210"/>
        </w:trPr>
        <w:tc>
          <w:tcPr>
            <w:tcW w:w="59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30,233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42,016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63,585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86,437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asset impairment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32,813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44,243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71,379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90,367</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7,540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34,971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15,598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73,209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21,516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35,720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48,241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71,527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(13,983)</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(32,647)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1,696</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(13,909)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(35,113)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(14,338)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(680)</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(35,372)</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412</w:t>
            </w:r>
          </w:p>
        </w:tc>
      </w:tr>
      <w:tr>
        <w:trPr>
          <w:trHeight w:val="196"/>
        </w:trPr>
        <w:tc>
          <w:tcPr>
            <w:tcW w:w="59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per common share: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14,999,786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14,726,678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14,936,541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14,669,626</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14,999,786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14,726,678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14,936,541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14,669,626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Twenty-six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19685</wp:posOffset>
            </wp:positionV>
            <wp:extent cx="19888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1" w:lineRule="exact"/>
        <w:rPr>
          <w:sz w:val="20"/>
          <w:szCs w:val="20"/>
          <w:color w:val="auto"/>
        </w:rPr>
      </w:pPr>
    </w:p>
    <w:p>
      <w:pPr>
        <w:ind w:left="8380"/>
        <w:spacing w:after="0"/>
        <w:tabs>
          <w:tab w:leader="none" w:pos="10020" w:val="left"/>
        </w:tabs>
        <w:rPr>
          <w:sz w:val="20"/>
          <w:szCs w:val="20"/>
          <w:color w:val="auto"/>
        </w:rPr>
      </w:pPr>
      <w:r>
        <w:rPr>
          <w:rFonts w:ascii="Times New Roman" w:cs="Times New Roman" w:eastAsia="Times New Roman" w:hAnsi="Times New Roman"/>
          <w:sz w:val="18"/>
          <w:szCs w:val="18"/>
          <w:b w:val="1"/>
          <w:bCs w:val="1"/>
          <w:color w:val="auto"/>
        </w:rPr>
        <w:t>August 1,</w:t>
      </w:r>
      <w:r>
        <w:rPr>
          <w:sz w:val="20"/>
          <w:szCs w:val="20"/>
          <w:color w:val="auto"/>
        </w:rPr>
        <w:tab/>
      </w:r>
      <w:r>
        <w:rPr>
          <w:rFonts w:ascii="Times New Roman" w:cs="Times New Roman" w:eastAsia="Times New Roman" w:hAnsi="Times New Roman"/>
          <w:sz w:val="18"/>
          <w:szCs w:val="18"/>
          <w:b w:val="1"/>
          <w:bCs w:val="1"/>
          <w:color w:val="auto"/>
        </w:rPr>
        <w:t>August 3,</w:t>
      </w:r>
    </w:p>
    <w:p>
      <w:pPr>
        <w:spacing w:after="0" w:line="23" w:lineRule="exact"/>
        <w:rPr>
          <w:sz w:val="20"/>
          <w:szCs w:val="20"/>
          <w:color w:val="auto"/>
        </w:rPr>
      </w:pPr>
    </w:p>
    <w:p>
      <w:pPr>
        <w:ind w:left="856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8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82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5715</wp:posOffset>
            </wp:positionV>
            <wp:extent cx="1988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bookmarkStart w:id="4" w:name="page5"/>
    <w:bookmarkEnd w:id="4"/>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(35,113)</w:t>
            </w:r>
          </w:p>
        </w:tc>
        <w:tc>
          <w:tcPr>
            <w:tcW w:w="6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less to net cash provided by operating activities: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6,711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Share-based and performance-based stock compensation</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Impairment of right-of-use assets and fixed assets</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6,882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taxes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3,388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 net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(4,501)</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Receivables, net</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5,975</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8,360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(6,948)</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8,732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2,027</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(5,033)</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(1,174)</w:t>
            </w:r>
          </w:p>
        </w:tc>
      </w:tr>
      <w:tr>
        <w:trPr>
          <w:trHeight w:val="210"/>
        </w:trPr>
        <w:tc>
          <w:tcPr>
            <w:tcW w:w="8000" w:type="dxa"/>
            <w:vAlign w:val="bottom"/>
            <w:tcBorders>
              <w:top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(4,945)</w:t>
            </w:r>
          </w:p>
        </w:tc>
      </w:tr>
      <w:tr>
        <w:trPr>
          <w:trHeight w:val="20"/>
        </w:trPr>
        <w:tc>
          <w:tcPr>
            <w:tcW w:w="8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(4,945)</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from the exercise of employee stock options, net of withholding tax payments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r>
      <w:tr>
        <w:trPr>
          <w:trHeight w:val="20"/>
        </w:trPr>
        <w:tc>
          <w:tcPr>
            <w:tcW w:w="8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26,936</w:t>
            </w:r>
          </w:p>
        </w:tc>
        <w:tc>
          <w:tcPr>
            <w:tcW w:w="6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16,571</w:t>
            </w:r>
          </w:p>
        </w:tc>
      </w:tr>
      <w:tr>
        <w:trPr>
          <w:trHeight w:val="20"/>
        </w:trPr>
        <w:tc>
          <w:tcPr>
            <w:tcW w:w="8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26,936</w:t>
            </w:r>
          </w:p>
        </w:tc>
        <w:tc>
          <w:tcPr>
            <w:tcW w:w="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Restricted cash from long-term deposits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(1,662)</w:t>
            </w:r>
          </w:p>
        </w:tc>
        <w:tc>
          <w:tcPr>
            <w:tcW w:w="6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(1,606)</w:t>
            </w: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received during the period for income taxes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(1,946)</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left="20" w:firstLine="486"/>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February 1, 2020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February 1, 2020, which were included in the Company’s Annual Report on Form 10-K filed with the SEC on April 16, 2020.</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22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announced that COVID-19 is a global pandemic. On March 17, 2020, the Company announced the temporary closure of all corporately-managed stores in the United States, Canada, the United Kingdom, Denmark and Ireland as a result of the pandemic. In addition, on March 26, 2020, the Company announced the temporary closure of its warehouse and e-commerce fulfillment center in Ohio as it reviewed its process related to workplace safety, including social distancing and sanitation practices recommended by the Centers for Disease Control and Prevention. The Ohio warehouse was reopened on April 1, 2020 following the review and reconfiguration of workflow and workspaces to further promote social distancing and minimize interaction as orders are fulfilled. The Company took various steps in response to COVID-19, such as furloughing employees, reducing compensation for all employees including executive officers, delaying payment of bonuses and 401(k) plan contributions, reducing planned capital expenditures to maintenance levels, deferring payments through extension of terms, and leveraging rent payments to landlords during negotiations for more favorable terms.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Operational and Distribution Network Update for the second quarter due to COVID-19:</w:t>
      </w:r>
    </w:p>
    <w:p>
      <w:pPr>
        <w:spacing w:after="0" w:line="269" w:lineRule="exact"/>
        <w:rPr>
          <w:sz w:val="20"/>
          <w:szCs w:val="20"/>
          <w:color w:val="auto"/>
        </w:rPr>
      </w:pPr>
    </w:p>
    <w:p>
      <w:pPr>
        <w:ind w:left="640" w:right="60" w:hanging="234"/>
        <w:spacing w:after="0" w:line="275"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the Company reopened almost all of its stores where allowable by local law and ended the quarter with approximately 90% of its corporately-managed store locations reopened.</w:t>
      </w:r>
    </w:p>
    <w:p>
      <w:pPr>
        <w:spacing w:after="0" w:line="11"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e-commerce site was fully operational throughout the quarter. The Company continued to see strong digital demand with growth rates</w:t>
      </w:r>
    </w:p>
    <w:p>
      <w:pPr>
        <w:sectPr>
          <w:pgSz w:w="11900" w:h="16872" w:orient="portrait"/>
          <w:cols w:equalWidth="0" w:num="1">
            <w:col w:w="11260"/>
          </w:cols>
          <w:pgMar w:left="300" w:top="140" w:right="339" w:bottom="0" w:gutter="0" w:footer="0" w:header="0"/>
        </w:sectPr>
      </w:pPr>
    </w:p>
    <w:bookmarkStart w:id="5" w:name="page6"/>
    <w:bookmarkEnd w:id="5"/>
    <w:p>
      <w:pPr>
        <w:ind w:left="240"/>
        <w:spacing w:after="0"/>
        <w:rPr>
          <w:sz w:val="20"/>
          <w:szCs w:val="20"/>
          <w:color w:val="auto"/>
        </w:rPr>
      </w:pPr>
      <w:r>
        <w:rPr>
          <w:rFonts w:ascii="Times New Roman" w:cs="Times New Roman" w:eastAsia="Times New Roman" w:hAnsi="Times New Roman"/>
          <w:sz w:val="18"/>
          <w:szCs w:val="18"/>
          <w:color w:val="auto"/>
        </w:rPr>
        <w:t>at triple-digit levels compared to the comparable period in 2019.</w:t>
      </w:r>
    </w:p>
    <w:p>
      <w:pPr>
        <w:spacing w:after="0" w:line="63" w:lineRule="exact"/>
        <w:rPr>
          <w:sz w:val="20"/>
          <w:szCs w:val="20"/>
          <w:color w:val="auto"/>
        </w:rPr>
      </w:pPr>
    </w:p>
    <w:p>
      <w:pPr>
        <w:ind w:left="240" w:hanging="221"/>
        <w:spacing w:after="0" w:line="258" w:lineRule="auto"/>
        <w:tabs>
          <w:tab w:leader="none" w:pos="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accelerated its omni-channel competencies of "Buy Online, Ship From Store" and "Buy Online, Pick Up In Store" allowing currently operating stores to serve as "mini distribution centers", which the Company believes is an efficient shift given the ongoing challenges in traditional retail traffic. Expanded omni-channel allows the Company to leverage the geographic proximity of stores as well as available labor to help fulfill continuing strong e-commerce demand.</w:t>
      </w:r>
    </w:p>
    <w:p>
      <w:pPr>
        <w:spacing w:after="0" w:line="27" w:lineRule="exact"/>
        <w:rPr>
          <w:rFonts w:ascii="Times New Roman" w:cs="Times New Roman" w:eastAsia="Times New Roman" w:hAnsi="Times New Roman"/>
          <w:sz w:val="18"/>
          <w:szCs w:val="18"/>
          <w:color w:val="auto"/>
        </w:rPr>
      </w:pPr>
    </w:p>
    <w:p>
      <w:pPr>
        <w:jc w:val="both"/>
        <w:ind w:left="240" w:hanging="234"/>
        <w:spacing w:after="0" w:line="262" w:lineRule="auto"/>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continued disciplined expense management and cash preservation across all areas of the business including continued compensation reductions for all employees including executive officers, continued delayed payment of bonuses and 401(k) contribution plans; it also continued to limit its capital expenditures to maintenance levels;</w:t>
      </w:r>
    </w:p>
    <w:p>
      <w:pPr>
        <w:spacing w:after="0" w:line="24" w:lineRule="exact"/>
        <w:rPr>
          <w:rFonts w:ascii="Times New Roman" w:cs="Times New Roman" w:eastAsia="Times New Roman" w:hAnsi="Times New Roman"/>
          <w:sz w:val="18"/>
          <w:szCs w:val="18"/>
          <w:color w:val="auto"/>
        </w:rPr>
      </w:pPr>
    </w:p>
    <w:p>
      <w:pPr>
        <w:ind w:left="240" w:right="400" w:hanging="234"/>
        <w:spacing w:after="0" w:line="273" w:lineRule="auto"/>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completed a long-planned corporate reorganization that aligned key functions and leadership roles with strategic initiatives and allowing it to operate as a leaner, simpler organization;</w:t>
      </w:r>
    </w:p>
    <w:p>
      <w:pPr>
        <w:spacing w:after="0" w:line="1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reduced its workforce through furloughs, attrition and position eliminations;</w:t>
      </w:r>
    </w:p>
    <w:p>
      <w:pPr>
        <w:spacing w:after="0" w:line="63"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supply chain experienced no significant disruptions in the quarter with the Company able to receive deliveries in a timely manner;</w:t>
      </w:r>
    </w:p>
    <w:p>
      <w:pPr>
        <w:spacing w:after="0" w:line="86" w:lineRule="exact"/>
        <w:rPr>
          <w:rFonts w:ascii="Times New Roman" w:cs="Times New Roman" w:eastAsia="Times New Roman" w:hAnsi="Times New Roman"/>
          <w:sz w:val="16"/>
          <w:szCs w:val="16"/>
          <w:color w:val="auto"/>
        </w:rPr>
      </w:pPr>
    </w:p>
    <w:p>
      <w:pPr>
        <w:ind w:left="240" w:right="120" w:hanging="234"/>
        <w:spacing w:after="0" w:line="273" w:lineRule="auto"/>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franchisees ended the quarter with 62 locations open and operating as permitted by law across Africa, Asia, Australia, the Middle East and South America, while 16 locations remain temporary closed due to COVID- 19;</w:t>
      </w:r>
    </w:p>
    <w:p>
      <w:pPr>
        <w:spacing w:after="0" w:line="15"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locations associated with the Company’s third-party retail model were operating at the end of the quarter.</w:t>
      </w:r>
    </w:p>
    <w:p>
      <w:pPr>
        <w:spacing w:after="0" w:line="2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700" w:top="125" w:right="579" w:bottom="1440" w:gutter="0" w:footer="0" w:header="0"/>
        </w:sectPr>
      </w:pPr>
    </w:p>
    <w:bookmarkStart w:id="6" w:name="page7"/>
    <w:bookmarkEnd w:id="6"/>
    <w:p>
      <w:pPr>
        <w:ind w:left="2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4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Company's operating results for the thirteen and twenty-six weeks ended August 1, 2020 may not be indicative of the results that may be expected for the fiscal year ending January 30, 2021 because of the impact of the COVID-19 pandemic. The pandemic has had, and will continue to have, a negative impact on the Company's business, financial condition, and cash flows, although the full extent is uncertain. As the pandemic continues to evolve, the extent of the impact will depend on future developments, including, but not limited to, the duration and extent of any temporary closing of certain of its stores, the duration of quarantines, shelter-in-place orders and other travel restrictions within the U.S. and other affected countries, the duration and spread of the pandemic (including any relapses), its severity, the actions to contain the virus and/or treat its impact, the duration, timing and severity of the impact on consumer spending (including the recession resulting from the pandemic), and how quickly and to what extent normal economic and operating conditions can resume, all of which are highly uncertain and cannot be predicted.</w:t>
      </w:r>
    </w:p>
    <w:p>
      <w:pPr>
        <w:spacing w:after="0" w:line="192"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In addition, the Company’s business is subject to seasonal fluctuations, with significant portions of the Company’s revenues and net income being realized during the fourth quarter of the fiscal year due to the holiday selling season. Therefore, the results for the thirteen and twenty-six weeks ended August 1, 2020 are not necessarily indicative of the results to be expected for the fiscal year ending January 30, 2021, or for any other future interim period or for any future year.</w:t>
      </w:r>
    </w:p>
    <w:p>
      <w:pPr>
        <w:spacing w:after="0" w:line="18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 had not borrowed on its credit facility as of September 8, 2020. On August 25, 2020, Build-A-Bear Workshop, Inc. entered into a Revolving Credit and Security Agreement with PNC Bank, National Association, as agent. The agreement provides for a senior secured revolving loan in aggregate principal amount of up to $25,000,000 (subject to a borrowing base formula), which may be increased with the consent of the lenders by an amount not to exceed $25,000,000. Additionally, on August 25, 2020, upon execution of the agreement with PNC Bank, the Company terminated its existing bank credit line with U.S. Bank. Inclusive of the new credit facility, the Company's liquidity may be negatively impacted if the pandemic results in the temporary closing of certain of its stores. The Company believes that its current cash balance, access to its revolving credit facility, along with the actions taken as outlined above, provide it with sufficient current liquidity. The future impact of COVID-19 may require further actions by the Company to improve its cash position, including but not limited to, monetizing Company assets including the Company-owned warehouse in Ohio, inventory, implementing additional employee furloughs or position eliminations, and foregoing capital expenditures and other discretionary expenses.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27" w:lineRule="exact"/>
        <w:rPr>
          <w:sz w:val="20"/>
          <w:szCs w:val="20"/>
          <w:color w:val="auto"/>
        </w:rPr>
      </w:pPr>
    </w:p>
    <w:p>
      <w:pPr>
        <w:ind w:left="20"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2 to the consolidated financial statements included in its Form 10-K for the year ended February 1, 2020. An update and supplement to these policies is needed for the Company's accounting for government assistance, long-live asset impairment, and lease modifications as a result of activity during the second quarter of fiscal 2020.</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Government Grants</w:t>
      </w:r>
    </w:p>
    <w:p>
      <w:pPr>
        <w:spacing w:after="0" w:line="227" w:lineRule="exact"/>
        <w:rPr>
          <w:sz w:val="20"/>
          <w:szCs w:val="20"/>
          <w:color w:val="auto"/>
        </w:rPr>
      </w:pPr>
    </w:p>
    <w:p>
      <w:pPr>
        <w:ind w:left="20" w:firstLine="486"/>
        <w:spacing w:after="0" w:line="255" w:lineRule="auto"/>
        <w:rPr>
          <w:sz w:val="20"/>
          <w:szCs w:val="20"/>
          <w:color w:val="auto"/>
        </w:rPr>
      </w:pPr>
      <w:r>
        <w:rPr>
          <w:rFonts w:ascii="Times New Roman" w:cs="Times New Roman" w:eastAsia="Times New Roman" w:hAnsi="Times New Roman"/>
          <w:sz w:val="18"/>
          <w:szCs w:val="18"/>
          <w:color w:val="auto"/>
        </w:rPr>
        <w:t>The Company applied for reimbursement of payroll expenses in certain jurisdictions through COVID-19 related government programs for payroll paid to employees who were paid while not providing services to the Company during the first and second quarters of fiscal 2020. These programs require the Company to apply to the government for reimbursement of wages based on the applicable laws and programs within each jurisdiction. Through review of and application to these programs, the Company believes it qualifies for such reimbursement, and it is probable that the expenses will be reimbursed. As a result, the Company recorded a reduction to expenses of approximately $1.5 million for the thirteen weeks ended August 1, 2020 and $3.0 million for the twenty-six weeks ended August 1, 2020 related to these wages within the Selling, general and administrative line in the Condensed Consolidated Statement of Operations and Comprehensive (Loss) Income for the period ending August 1, 2020.</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Long-live Assets, including right-of-use operating lease assets</w:t>
      </w:r>
    </w:p>
    <w:p>
      <w:pPr>
        <w:spacing w:after="0" w:line="227"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7"/>
          <w:szCs w:val="17"/>
          <w:color w:val="auto"/>
        </w:rPr>
        <w:t>Whenever facts and circumstances indicate that the carrying value of long-lived assets and right-of-use operating lease assets may not be recoverable, the carrying value of those assets is reviewed. If this review indicates that the carrying value of the asset will not be recovered, as determined based on projected undiscounted cash flows related to the asset over its remaining life, the carrying value of the asset is reduced to its estimated fair value. The Company typically performs an annual assessment of its store assets in the direct-to-consumer (“DTC”) segment, based on operating performance and forecasts of future performance. As a result of the COVID-19 pandemic, the Company experienced lower than projected revenues and identified indicators of impairment for its store fleet. The Company performed the recoverability test for these assets by comparing the estimated undiscounted future cash flows over the remaining useful life for its long-lived assets and right-of-use assets and determined that certain stores had long-lived and right-of-use assets with carrying values that exceeded their estimated undiscounted future cash flows for the remaining useful life of the respective assets..</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00" w:top="111" w:right="399" w:bottom="1440" w:gutter="0" w:footer="0" w:header="0"/>
        </w:sectPr>
      </w:pPr>
    </w:p>
    <w:bookmarkStart w:id="7" w:name="page8"/>
    <w:bookmarkEnd w:id="7"/>
    <w:p>
      <w:pPr>
        <w:spacing w:after="0" w:line="109" w:lineRule="exact"/>
        <w:rPr>
          <w:sz w:val="20"/>
          <w:szCs w:val="20"/>
          <w:color w:val="auto"/>
        </w:rPr>
      </w:pPr>
    </w:p>
    <w:p>
      <w:pPr>
        <w:ind w:left="2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4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7"/>
          <w:szCs w:val="17"/>
          <w:color w:val="auto"/>
        </w:rPr>
        <w:t>The Company estimated fair values of these long-lived assets based on its discounted future cash flows for the remaining useful life of the asset or market rent assessments. Our analysis indicated that the carrying values of certain of its long-lived assets exceeded their respective fair values determined by the discounted future cash flow analysis or the market rent assessment. As a result, the Company recognized an impairment charge of $2.1 million for the thirteen weeks ended August 1, 2020, with approximately $1.2 million for right-of-use operating lease assets and $0.9 million for fixed assets including leasehold improvements, fixtures, furniture and fixtures, machinery and equipment, and construction-in-progress. For the twenty-six weeks ended August 1, 2020 the Company has recognized impairment charges totaling $6.9 million, with approximately $3.6 million for right-of-use operating lease assets and $3.3 million for fixed assets including leasehold improvements, fixtures, furniture and fixtures, machinery and equipment, and construction-in-progress. These charges are recorded in Store asset impairment within the Condensed Consolidated Statement of Operations and Comprehensive Income (Loss) for the respective periods. These impairment charges were primarily driven by lower than projected revenues and the effect of store closures as a result of the COVID-19 pandemic. The majority of the impairment was recorded for assets associated with stores in North America. For the thirteen weeks ended August 3, 2019, the Company recorded no impairment charges and for the twenty-six weeks ended August 3, 2019 the Company recorded impairments charges of $5.9 million on right-of-use assets into retained earnings as a result of the adoption of ASC 842, Leases.</w:t>
      </w:r>
    </w:p>
    <w:p>
      <w:pPr>
        <w:spacing w:after="0" w:line="17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determination of estimated market rent used in the fair value estimate of the Company’s operating lease assets included within the respective store asset group requires significant management judgment. Changes in these estimates could have a significant impact on whether long-lived store assets should be further evaluated for impairment and could have a significant impact on the resulting impairment charge. The significant estimates, all of which are considered Level 3 inputs, used in the fair value methodology include: the Company’s expectations for future operations and projected cash flows, including revenues, operating expenses including market rents, and market conditions.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modifications</w:t>
      </w:r>
    </w:p>
    <w:p>
      <w:pPr>
        <w:spacing w:after="0" w:line="2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April 2020, the FASB issued guidance indicating that entities may elect not to evaluate whether concessions provided by lessors are a lease modification. Under existing lease guidance, an entity would have to determine if a lease concession was the result of a new arrangement reached with the landlord, which would be accounted for under the lease modification framework, or if the concession was under the enforceable rights and obligations that existed in the original lease, which would be accounted for outside the lease modification framework. The FASB guidance provides entities with the option to elect to account for lease concessions as though the enforceable rights and obligations existed in the original lease. During the second quarter of 2020, the Company elected to not adopt this accounting guidance, but rather account for any lease changes under guidance previously issued for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Refer to Note 3 to the consolidated financial statements for further discussion regarding the Company's accounting for leases.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left="20" w:right="40" w:firstLine="486"/>
        <w:spacing w:after="0" w:line="258" w:lineRule="auto"/>
        <w:rPr>
          <w:sz w:val="20"/>
          <w:szCs w:val="20"/>
          <w:color w:val="auto"/>
        </w:rPr>
      </w:pPr>
      <w:r>
        <w:rPr>
          <w:rFonts w:ascii="Times New Roman" w:cs="Times New Roman" w:eastAsia="Times New Roman" w:hAnsi="Times New Roman"/>
          <w:sz w:val="18"/>
          <w:szCs w:val="18"/>
          <w:color w:val="auto"/>
        </w:rPr>
        <w:t>Nearly all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97% of consolidated revenue for the second quarter of fiscal 2020. The majority of these sales transactions are single performance obligations that are recorded when control is transferred to the customer.</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following is a description of principal activities from which the Company generates its revenue, by reportable segment.</w:t>
      </w:r>
    </w:p>
    <w:p>
      <w:pPr>
        <w:spacing w:after="0" w:line="227" w:lineRule="exact"/>
        <w:rPr>
          <w:sz w:val="20"/>
          <w:szCs w:val="20"/>
          <w:color w:val="auto"/>
        </w:rPr>
      </w:pPr>
    </w:p>
    <w:p>
      <w:pPr>
        <w:ind w:left="20" w:firstLine="486"/>
        <w:spacing w:after="0" w:line="256" w:lineRule="auto"/>
        <w:rPr>
          <w:sz w:val="20"/>
          <w:szCs w:val="20"/>
          <w:color w:val="auto"/>
        </w:rPr>
      </w:pPr>
      <w:r>
        <w:rPr>
          <w:rFonts w:ascii="Times New Roman" w:cs="Times New Roman" w:eastAsia="Times New Roman" w:hAnsi="Times New Roman"/>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generally upon estimated delivery to the customer. 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sales, where consumers customize their own stuffed animal. The Company has elected to exclude from revenue all collected sales, value added and other taxes paid by its customers.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42" w:lineRule="exact"/>
        <w:rPr>
          <w:sz w:val="20"/>
          <w:szCs w:val="20"/>
          <w:color w:val="auto"/>
        </w:rPr>
      </w:pPr>
    </w:p>
    <w:p>
      <w:pPr>
        <w:ind w:left="20" w:right="60" w:firstLine="486"/>
        <w:spacing w:after="0" w:line="253" w:lineRule="auto"/>
        <w:rPr>
          <w:sz w:val="20"/>
          <w:szCs w:val="20"/>
          <w:color w:val="auto"/>
        </w:rPr>
      </w:pPr>
      <w:r>
        <w:rPr>
          <w:rFonts w:ascii="Times New Roman" w:cs="Times New Roman" w:eastAsia="Times New Roman" w:hAnsi="Times New Roman"/>
          <w:sz w:val="18"/>
          <w:szCs w:val="18"/>
          <w:color w:val="auto"/>
        </w:rPr>
        <w:t>For the Company’s gift cards, revenue, including any related gift card discounts, is deferred for single transactions until redemption. Historically, most gift card redemptions have occurred within three years of acquisition and approximately 75% of gift cards have been redeemed within the first twelve months. In addition, unredeemed gift cards or breakage revenue is recorded in proportion to the customer’s redemption period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 to the consolidated balance sheet, contract liabilities for gift cards are classified as gift cards and customer deposits.</w:t>
      </w:r>
    </w:p>
    <w:p>
      <w:pPr>
        <w:spacing w:after="0" w:line="194" w:lineRule="exact"/>
        <w:rPr>
          <w:sz w:val="20"/>
          <w:szCs w:val="20"/>
          <w:color w:val="auto"/>
        </w:rPr>
      </w:pPr>
    </w:p>
    <w:p>
      <w:pPr>
        <w:ind w:left="20" w:right="120" w:firstLine="486"/>
        <w:spacing w:after="0" w:line="255" w:lineRule="auto"/>
        <w:rPr>
          <w:sz w:val="20"/>
          <w:szCs w:val="20"/>
          <w:color w:val="auto"/>
        </w:rPr>
      </w:pPr>
      <w:r>
        <w:rPr>
          <w:rFonts w:ascii="Times New Roman" w:cs="Times New Roman" w:eastAsia="Times New Roman" w:hAnsi="Times New Roman"/>
          <w:sz w:val="18"/>
          <w:szCs w:val="18"/>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spacing w:after="0" w:line="189" w:lineRule="exact"/>
        <w:rPr>
          <w:sz w:val="20"/>
          <w:szCs w:val="20"/>
          <w:color w:val="auto"/>
        </w:rPr>
      </w:pPr>
    </w:p>
    <w:p>
      <w:pPr>
        <w:ind w:left="20" w:right="120" w:firstLine="486"/>
        <w:spacing w:after="0" w:line="277" w:lineRule="auto"/>
        <w:rPr>
          <w:sz w:val="20"/>
          <w:szCs w:val="20"/>
          <w:color w:val="auto"/>
        </w:rPr>
      </w:pPr>
      <w:r>
        <w:rPr>
          <w:rFonts w:ascii="Times New Roman" w:cs="Times New Roman" w:eastAsia="Times New Roman" w:hAnsi="Times New Roman"/>
          <w:sz w:val="17"/>
          <w:szCs w:val="17"/>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w:t>
      </w:r>
    </w:p>
    <w:p>
      <w:pPr>
        <w:sectPr>
          <w:pgSz w:w="11900" w:h="16948" w:orient="portrait"/>
          <w:cols w:equalWidth="0" w:num="1">
            <w:col w:w="11260"/>
          </w:cols>
          <w:pgMar w:left="300" w:top="111" w:right="339" w:bottom="0" w:gutter="0" w:footer="0" w:header="0"/>
        </w:sectPr>
      </w:pPr>
    </w:p>
    <w:bookmarkStart w:id="8" w:name="page9"/>
    <w:bookmarkEnd w:id="8"/>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straight-line basis over the term of the franchise agreement, which may extend for periods up to 25 years, or if the agreement is terminated prior to the end of the term. The Company classifies these initial, one-time nonrefundable franchise fee contract liabilities as deferred revenue on the consolidated balance sheet. Revenue from merchandise and fixture sales is recognized when control is transferred to the franchisee which generally occurs upon delivery to the customer.</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 also incurs expenses directly related to the startup of new franchises, which may include finder’s fees, legal and travel costs as well as expenses related to its ongoing support of the franchisees, predominantly travel expense and employee compensation. Accordingly, the Company’s policy is to capitalize any finder’s fee, an incremental cost, and expense all other costs as incurred. Additionally, the Company amortizes these capitalized costs into expense in the same pattern as the development fee's recording of revenue as described previously.</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and corporate offices. For leases with terms greater than 12 months, the Company records the related asset and obligation at the present value of lease payments over the term. Most retail store leases have an original term of a five to ten-year base period and may include renewal options to extend the lease term beyond the initial base period and are typically much shorter than the original lease term giving the Company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4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thirteen and twenty-six weeks ended August 1, 2020 and August 3, 2019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38"/>
        </w:trPr>
        <w:tc>
          <w:tcPr>
            <w:tcW w:w="334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August 1, 2020</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August 3, 2019</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August 1, 2020</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August 3, 2019</w:t>
            </w:r>
          </w:p>
        </w:tc>
      </w:tr>
      <w:tr>
        <w:trPr>
          <w:trHeight w:val="210"/>
        </w:trPr>
        <w:tc>
          <w:tcPr>
            <w:tcW w:w="3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9,273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19,584</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20,770</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w:t>
            </w:r>
          </w:p>
        </w:tc>
        <w:tc>
          <w:tcPr>
            <w:tcW w:w="4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1,314</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685</w:t>
            </w:r>
          </w:p>
        </w:tc>
      </w:tr>
      <w:tr>
        <w:trPr>
          <w:trHeight w:val="20"/>
        </w:trPr>
        <w:tc>
          <w:tcPr>
            <w:tcW w:w="3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200" w:type="dxa"/>
            <w:vAlign w:val="bottom"/>
          </w:tcPr>
          <w:p>
            <w:pPr>
              <w:spacing w:after="0"/>
              <w:rPr>
                <w:sz w:val="18"/>
                <w:szCs w:val="18"/>
                <w:color w:val="auto"/>
              </w:rPr>
            </w:pPr>
          </w:p>
        </w:tc>
        <w:tc>
          <w:tcPr>
            <w:tcW w:w="74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10,265</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20,100</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22,769</w:t>
            </w:r>
          </w:p>
        </w:tc>
      </w:tr>
      <w:tr>
        <w:trPr>
          <w:trHeight w:val="20"/>
        </w:trPr>
        <w:tc>
          <w:tcPr>
            <w:tcW w:w="3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9" w:lineRule="exact"/>
        <w:rPr>
          <w:sz w:val="20"/>
          <w:szCs w:val="20"/>
          <w:color w:val="auto"/>
        </w:rPr>
      </w:pPr>
    </w:p>
    <w:p>
      <w:pPr>
        <w:ind w:right="480" w:firstLine="486"/>
        <w:spacing w:after="0" w:line="260"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thirteen and twenty-six weeks ended August 1, 2020 and August 3, 2019 (in thousands).</w:t>
      </w:r>
    </w:p>
    <w:p>
      <w:pPr>
        <w:spacing w:after="0" w:line="17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92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7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38"/>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August 1, 2020</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 2019</w:t>
            </w:r>
          </w:p>
        </w:tc>
        <w:tc>
          <w:tcPr>
            <w:tcW w:w="200" w:type="dxa"/>
            <w:vAlign w:val="bottom"/>
          </w:tcPr>
          <w:p>
            <w:pPr>
              <w:spacing w:after="0"/>
              <w:rPr>
                <w:sz w:val="20"/>
                <w:szCs w:val="20"/>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August 1, 2020</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August 3, 2019</w:t>
            </w:r>
          </w:p>
        </w:tc>
        <w:tc>
          <w:tcPr>
            <w:tcW w:w="80" w:type="dxa"/>
            <w:vAlign w:val="bottom"/>
          </w:tcPr>
          <w:p>
            <w:pPr>
              <w:spacing w:after="0"/>
              <w:rPr>
                <w:sz w:val="20"/>
                <w:szCs w:val="20"/>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8,474</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10,990</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15,929</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22,188</w:t>
            </w:r>
          </w:p>
        </w:tc>
      </w:tr>
    </w:tbl>
    <w:p>
      <w:pPr>
        <w:spacing w:after="0" w:line="198"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As of August 1, 2020 and August 3, 2019, the weighted-average remaining operating lease term was 5 years and 6 years, respectively, and the weighted-average discount rate was 6.0% and 5.9%, respectively, for operating leases recognized on the Company's Condensed Consolidated Balance Sheets.</w:t>
      </w:r>
    </w:p>
    <w:p>
      <w:pPr>
        <w:spacing w:after="0" w:line="176"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As discussed above, the Company incurred impairment charges during the thirteen and twenty-six weeks ended August 1, 2020, of $1.2 million and $3.6 million, respectively, against right-of-use operating lease assets.</w:t>
      </w:r>
    </w:p>
    <w:p>
      <w:pPr>
        <w:spacing w:after="0" w:line="162"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 xml:space="preserve">During the quarter, the Company renegotiated a large portion of its store lease portfolio resulting in a combination of rent reductions, deferments, and abatements. These negotiations have increased the percentage of leases with variable rent structures to one-third of its North American fleet, which is intended to increase flexibility in an environment with expected high sales volatility and provide a natural hedge against potential sales declines. For these renegotiated leases, under </w:t>
      </w:r>
      <w:r>
        <w:rPr>
          <w:rFonts w:ascii="Times New Roman" w:cs="Times New Roman" w:eastAsia="Times New Roman" w:hAnsi="Times New Roman"/>
          <w:sz w:val="18"/>
          <w:szCs w:val="18"/>
          <w:i w:val="1"/>
          <w:iCs w:val="1"/>
          <w:color w:val="auto"/>
        </w:rPr>
        <w:t>ASC 842 Leases</w:t>
      </w:r>
      <w:r>
        <w:rPr>
          <w:rFonts w:ascii="Times New Roman" w:cs="Times New Roman" w:eastAsia="Times New Roman" w:hAnsi="Times New Roman"/>
          <w:sz w:val="18"/>
          <w:szCs w:val="18"/>
          <w:color w:val="auto"/>
        </w:rPr>
        <w:t>, the Company assessed if the renegotiated leases represented a new, separate contract or a modification of the existing lease. The Company concluded all renegotiated leases represented a modification of terms of each existing agreement. As such, the Company remeasured the lease liability and decreased the carrying amount of the right-of-use asset in proportion to the modification of the existing lease and recognized in profit or loss any difference between the reduction in the lease liability and the reduction in the right-of-us asset, which had an immaterial impact on the second quarter results. The Company remains in negotiations with certain landlords and expects further rent reductions, deferments or abatements to be recognized in the third quarter of the current fiscal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9" w:lineRule="exact"/>
        <w:rPr>
          <w:sz w:val="20"/>
          <w:szCs w:val="20"/>
          <w:color w:val="auto"/>
        </w:rPr>
      </w:pPr>
    </w:p>
    <w:p>
      <w:pPr>
        <w:ind w:left="500" w:right="660"/>
        <w:spacing w:after="0" w:line="260"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77"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28,837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35,248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29,824</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25,444</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21,427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35,593</w:t>
            </w:r>
          </w:p>
        </w:tc>
      </w:tr>
      <w:tr>
        <w:trPr>
          <w:trHeight w:val="20"/>
        </w:trPr>
        <w:tc>
          <w:tcPr>
            <w:tcW w:w="7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176,373</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(24,816)</w:t>
            </w:r>
          </w:p>
        </w:tc>
      </w:tr>
      <w:tr>
        <w:trPr>
          <w:trHeight w:val="20"/>
        </w:trPr>
        <w:tc>
          <w:tcPr>
            <w:tcW w:w="7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151,557</w:t>
            </w:r>
          </w:p>
        </w:tc>
      </w:tr>
    </w:tbl>
    <w:p>
      <w:pPr>
        <w:sectPr>
          <w:pgSz w:w="11900" w:h="16838" w:orient="portrait"/>
          <w:cols w:equalWidth="0" w:num="1">
            <w:col w:w="11240"/>
          </w:cols>
          <w:pgMar w:left="320" w:top="121" w:right="339" w:bottom="0" w:gutter="0" w:footer="0" w:header="0"/>
        </w:sectPr>
      </w:pPr>
    </w:p>
    <w:bookmarkStart w:id="9" w:name="page10"/>
    <w:bookmarkEnd w:id="9"/>
    <w:p>
      <w:pPr>
        <w:spacing w:after="0" w:line="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5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(39,917)</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111,640</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1, 2020, the Company had an additional executed leases that had not yet commenced with operating lease liabilities of $0.1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lease is expected to commence in 2020 with a lease term of three years.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August 1,</w:t>
            </w:r>
          </w:p>
        </w:tc>
        <w:tc>
          <w:tcPr>
            <w:tcW w:w="20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26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August 3,</w:t>
            </w:r>
          </w:p>
        </w:tc>
      </w:tr>
      <w:tr>
        <w:trPr>
          <w:trHeight w:val="238"/>
        </w:trPr>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45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1,634</w:t>
            </w: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gift card fees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1,413</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1,139</w:t>
            </w:r>
          </w:p>
        </w:tc>
      </w:tr>
      <w:tr>
        <w:trPr>
          <w:trHeight w:val="216"/>
        </w:trPr>
        <w:tc>
          <w:tcPr>
            <w:tcW w:w="4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3,815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3,461</w:t>
            </w:r>
          </w:p>
        </w:tc>
      </w:tr>
      <w:tr>
        <w:trPr>
          <w:trHeight w:val="20"/>
        </w:trPr>
        <w:tc>
          <w:tcPr>
            <w:tcW w:w="45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7,117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6,889</w:t>
            </w:r>
          </w:p>
        </w:tc>
      </w:tr>
      <w:tr>
        <w:trPr>
          <w:trHeight w:val="20"/>
        </w:trPr>
        <w:tc>
          <w:tcPr>
            <w:tcW w:w="4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occupancy consists of prepaid expenses related to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prepaid expense related to IT maintenance contracts and software as a service.</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August 1,</w:t>
            </w:r>
          </w:p>
        </w:tc>
        <w:tc>
          <w:tcPr>
            <w:tcW w:w="20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26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August 3,</w:t>
            </w:r>
          </w:p>
        </w:tc>
      </w:tr>
      <w:tr>
        <w:trPr>
          <w:trHeight w:val="238"/>
        </w:trPr>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13,373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6,093</w:t>
            </w:r>
          </w:p>
        </w:tc>
      </w:tr>
      <w:tr>
        <w:trPr>
          <w:trHeight w:val="216"/>
        </w:trPr>
        <w:tc>
          <w:tcPr>
            <w:tcW w:w="18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value added taxes payable</w:t>
            </w: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1,489</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1,826</w:t>
            </w: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rent and related expenses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726</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18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948</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16,536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8,622</w:t>
            </w:r>
          </w:p>
        </w:tc>
      </w:tr>
      <w:tr>
        <w:trPr>
          <w:trHeight w:val="20"/>
        </w:trPr>
        <w:tc>
          <w:tcPr>
            <w:tcW w:w="18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rent and related expenses consist of accrued costs associated with non-lease components.</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140" w:firstLine="486"/>
        <w:spacing w:after="0" w:line="255" w:lineRule="auto"/>
        <w:rPr>
          <w:sz w:val="20"/>
          <w:szCs w:val="20"/>
          <w:color w:val="auto"/>
        </w:rPr>
      </w:pPr>
      <w:r>
        <w:rPr>
          <w:rFonts w:ascii="Times New Roman" w:cs="Times New Roman" w:eastAsia="Times New Roman" w:hAnsi="Times New Roman"/>
          <w:sz w:val="18"/>
          <w:szCs w:val="18"/>
          <w:color w:val="auto"/>
        </w:rPr>
        <w:t>On April 14, 2020, the Board of Directors (the “Board”) of Build-A-Bear Workshop, Inc. (the “Company”) adopted, subject to stockholder approval, the Build-A-Bear Workshop, Inc. 2020 Omnibus Incentive Plan (the “2020 Incentive Plan”). On June 11, 2020, at the Company’s 2020 Annual Meeting of Stockholders (the “Annual Meeting”), the Company’s stockholders approved the 2020 Incentive Plan. The 2020 Incentive Plan, which is administered by the Compensation and Development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2020 Incentive Plan. The 2020 Incentive Plan will terminate on April 14, 2030, unless earlier terminated by the Board.</w:t>
      </w:r>
    </w:p>
    <w:p>
      <w:pPr>
        <w:spacing w:after="0" w:line="189" w:lineRule="exact"/>
        <w:rPr>
          <w:sz w:val="20"/>
          <w:szCs w:val="20"/>
          <w:color w:val="auto"/>
        </w:rPr>
      </w:pPr>
    </w:p>
    <w:p>
      <w:pPr>
        <w:ind w:left="140" w:right="100" w:firstLine="486"/>
        <w:spacing w:after="0" w:line="261" w:lineRule="auto"/>
        <w:rPr>
          <w:sz w:val="20"/>
          <w:szCs w:val="20"/>
          <w:color w:val="auto"/>
        </w:rPr>
      </w:pPr>
      <w:r>
        <w:rPr>
          <w:rFonts w:ascii="Times New Roman" w:cs="Times New Roman" w:eastAsia="Times New Roman" w:hAnsi="Times New Roman"/>
          <w:sz w:val="18"/>
          <w:szCs w:val="18"/>
          <w:color w:val="auto"/>
        </w:rPr>
        <w:t>The number of shares of the Company’s common stock authorized for issuance under the 2020 Incentive Plan is 1,000,000, plus shares of stock that remained available for issuance under the Build-A-Bear Workshop, Inc. 2017 Omnibus Incentive Plan (the “2017 Incentive Plan”) at the time the 2020 Incentive Plan was approved by the Company’s stockholders, and shares that are subject to outstanding awards made under the 2017 Incentive Plan that on or after April 14, 2020 may be forfeited, expire or be settled for cash.</w:t>
      </w:r>
    </w:p>
    <w:p>
      <w:pPr>
        <w:spacing w:after="0" w:line="180" w:lineRule="exact"/>
        <w:rPr>
          <w:sz w:val="20"/>
          <w:szCs w:val="20"/>
          <w:color w:val="auto"/>
        </w:rPr>
      </w:pPr>
    </w:p>
    <w:p>
      <w:pPr>
        <w:ind w:left="140" w:right="520"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its terms, as of the date the 2020 Incentive Plan was approved by the Company’s stockholders, the 2017 Incentive was frozen and no further awards will be issued thereunder. Awards issued pursuant to the 2017 Incentive Plan</w:t>
      </w:r>
    </w:p>
    <w:p>
      <w:pPr>
        <w:sectPr>
          <w:pgSz w:w="11900" w:h="16838" w:orient="portrait"/>
          <w:cols w:equalWidth="0" w:num="1">
            <w:col w:w="11060"/>
          </w:cols>
          <w:pgMar w:left="320" w:top="121" w:right="519" w:bottom="1440" w:gutter="0" w:footer="0" w:header="0"/>
        </w:sectPr>
      </w:pP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10" w:name="page11"/>
    <w:bookmarkEnd w:id="10"/>
    <w:p>
      <w:pPr>
        <w:ind w:left="2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4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that were outstanding as of the date of stockholder approval of the 2020 Incentive Plan will remain outstanding and will be administered in accordance with the terms of the 2017 Incentive Plan and applicable award agreements thereunder. All of the stock-based incentive compensation activity for the period ended August 1, 2020 and August 3, 2019 was under the 2017 Incentive Plan.</w:t>
      </w:r>
    </w:p>
    <w:p>
      <w:pPr>
        <w:spacing w:after="0" w:line="176" w:lineRule="exact"/>
        <w:rPr>
          <w:sz w:val="20"/>
          <w:szCs w:val="20"/>
          <w:color w:val="auto"/>
        </w:rPr>
      </w:pPr>
    </w:p>
    <w:p>
      <w:pPr>
        <w:ind w:left="20" w:right="200" w:firstLine="648"/>
        <w:spacing w:after="0" w:line="258" w:lineRule="auto"/>
        <w:rPr>
          <w:sz w:val="20"/>
          <w:szCs w:val="20"/>
          <w:color w:val="auto"/>
        </w:rPr>
      </w:pPr>
      <w:r>
        <w:rPr>
          <w:rFonts w:ascii="Times New Roman" w:cs="Times New Roman" w:eastAsia="Times New Roman" w:hAnsi="Times New Roman"/>
          <w:sz w:val="18"/>
          <w:szCs w:val="18"/>
          <w:color w:val="auto"/>
        </w:rPr>
        <w:t>For the thirteen weeks ended August 1, 2020 and August 3, 2019, Selling, general and administrative expense included $0.5 million and $0.7 million, respectively, of stock-based compensation expense, and for the twenty-six weeks ended August 1, 2020 and August 3, 2019, Selling, general and administrative expense included $0.7 million and $1.5 million, respectively. As of August 1, 2020, there was $2.0 million of total unrecognized compensation expense related to unvested restricted stock and option awards which is expected to be recognized over a weighted-average period of 1.1 years.</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is a summary of the balances and activity for stock options for the twenty-six weeks ended August 1, 2020:</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7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6"/>
                <w:szCs w:val="16"/>
                <w:color w:val="auto"/>
              </w:rPr>
            </w:pPr>
          </w:p>
        </w:tc>
      </w:tr>
      <w:tr>
        <w:trPr>
          <w:trHeight w:val="238"/>
        </w:trPr>
        <w:tc>
          <w:tcPr>
            <w:tcW w:w="7320" w:type="dxa"/>
            <w:vAlign w:val="bottom"/>
          </w:tcPr>
          <w:p>
            <w:pPr>
              <w:spacing w:after="0"/>
              <w:rPr>
                <w:sz w:val="20"/>
                <w:szCs w:val="20"/>
                <w:color w:val="auto"/>
              </w:rPr>
            </w:pPr>
          </w:p>
        </w:tc>
        <w:tc>
          <w:tcPr>
            <w:tcW w:w="12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r>
      <w:tr>
        <w:trPr>
          <w:trHeight w:val="210"/>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February 1, 2020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(98,415)</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w:t>
            </w:r>
          </w:p>
        </w:tc>
      </w:tr>
      <w:tr>
        <w:trPr>
          <w:trHeight w:val="209"/>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August 1, 2020</w:t>
            </w:r>
          </w:p>
        </w:tc>
        <w:tc>
          <w:tcPr>
            <w:tcW w:w="1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824,839</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time-based and performance-based restricted stock for the twenty-six weeks ended August 1, 2020:</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r>
      <w:tr>
        <w:trPr>
          <w:trHeight w:val="238"/>
        </w:trPr>
        <w:tc>
          <w:tcPr>
            <w:tcW w:w="5980" w:type="dxa"/>
            <w:vAlign w:val="bottom"/>
          </w:tcPr>
          <w:p>
            <w:pPr>
              <w:spacing w:after="0"/>
              <w:rPr>
                <w:sz w:val="20"/>
                <w:szCs w:val="20"/>
                <w:color w:val="auto"/>
              </w:rPr>
            </w:pPr>
          </w:p>
        </w:tc>
        <w:tc>
          <w:tcPr>
            <w:tcW w:w="27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February 1, 2020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262,964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398,681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(260,317)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(56,380)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(27,517)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August 1, 2020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179,067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34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twenty-six weeks ended August 1, 2020 and August 3, 2019 was $2.3 million and $2.2 million,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12" w:right="339" w:bottom="1440" w:gutter="0" w:footer="0" w:header="0"/>
        </w:sectPr>
      </w:pPr>
    </w:p>
    <w:bookmarkStart w:id="11" w:name="page12"/>
    <w:bookmarkEnd w:id="11"/>
    <w:p>
      <w:pPr>
        <w:spacing w:after="0" w:line="84" w:lineRule="exact"/>
        <w:rPr>
          <w:sz w:val="20"/>
          <w:szCs w:val="20"/>
          <w:color w:val="auto"/>
        </w:rPr>
      </w:pPr>
    </w:p>
    <w:p>
      <w:pPr>
        <w:ind w:left="2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outstanding performance shares as of August 1, 2020 consist of the following:</w:t>
      </w:r>
    </w:p>
    <w:p>
      <w:pPr>
        <w:spacing w:after="0" w:line="221"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5949950</wp:posOffset>
            </wp:positionH>
            <wp:positionV relativeFrom="paragraph">
              <wp:posOffset>19685</wp:posOffset>
            </wp:positionV>
            <wp:extent cx="11315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ectPr>
          <w:pgSz w:w="11900" w:h="16923" w:orient="portrait"/>
          <w:cols w:equalWidth="0" w:num="1">
            <w:col w:w="11260"/>
          </w:cols>
          <w:pgMar w:left="300" w:top="112" w:right="339" w:bottom="0" w:gutter="0" w:footer="0" w:header="0"/>
        </w:sect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Unearned shares subject to performance-based restrictions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-111760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2018 - 2020 consolidated total revenue growth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2018 - 2020 consolidated pre-tax income growth objectives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2019 - 2021 consolidated pre-tax income growth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Performance shares outstanding, August 1, 2020</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20,756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62,500</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95,811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5715</wp:posOffset>
            </wp:positionV>
            <wp:extent cx="11315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179,067</w:t>
      </w:r>
    </w:p>
    <w:p>
      <w:pPr>
        <w:spacing w:after="0" w:line="906" w:lineRule="exact"/>
        <w:rPr>
          <w:sz w:val="20"/>
          <w:szCs w:val="20"/>
          <w:color w:val="auto"/>
        </w:rPr>
      </w:pPr>
    </w:p>
    <w:p>
      <w:pPr>
        <w:sectPr>
          <w:pgSz w:w="11900" w:h="16923" w:orient="portrait"/>
          <w:cols w:equalWidth="0" w:num="2">
            <w:col w:w="9840" w:space="720"/>
            <w:col w:w="700"/>
          </w:cols>
          <w:pgMar w:left="300" w:top="112" w:right="339" w:bottom="0" w:gutter="0" w:footer="0" w:header="0"/>
          <w:type w:val="continuous"/>
        </w:sectPr>
      </w:pP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effective tax rate was 0.5% and -7.6% for the thirteen and twenty-six weeks ended August 1, 2020, respectively,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-65.1% and 101.7% for the thirteen and twenty-six weeks ended August 3, 2019, respectively. The 2020 effective tax rate differed from the statutory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21% primarily due to no tax benefit being recorded on the current period pretax loss as a full valuation allowance has now been recorded globally.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the first half of fiscal 2020 was impacted by the $3.3 million valuation allowance recorded on the beginning balance of the net deferred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in certain jurisdictions. The 2019 effective tax rate differed from the statutory rate of 21% primarily due to the valuation allowance being recorded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foreign loss companies and the $0.2 million tax impact of equity awards vesting.</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left="20"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thirteen weeks ended August 1, 2020 and August 3, 2019 (in thousands):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thirteen weeks ended August 1, 2020</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20" w:type="dxa"/>
            <w:vAlign w:val="bottom"/>
            <w:gridSpan w:val="1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For the thirteen weeks ended August 3, 2019</w:t>
            </w:r>
          </w:p>
        </w:tc>
        <w:tc>
          <w:tcPr>
            <w:tcW w:w="0" w:type="dxa"/>
            <w:vAlign w:val="bottom"/>
          </w:tcPr>
          <w:p>
            <w:pPr>
              <w:spacing w:after="0"/>
              <w:rPr>
                <w:sz w:val="1"/>
                <w:szCs w:val="1"/>
                <w:color w:val="auto"/>
              </w:rPr>
            </w:pPr>
          </w:p>
        </w:tc>
      </w:tr>
      <w:tr>
        <w:trPr>
          <w:trHeight w:val="426"/>
        </w:trPr>
        <w:tc>
          <w:tcPr>
            <w:tcW w:w="2020" w:type="dxa"/>
            <w:vAlign w:val="bottom"/>
          </w:tcPr>
          <w:p>
            <w:pPr>
              <w:spacing w:after="0"/>
              <w:rPr>
                <w:sz w:val="24"/>
                <w:szCs w:val="24"/>
                <w:color w:val="auto"/>
              </w:rPr>
            </w:pPr>
          </w:p>
        </w:tc>
        <w:tc>
          <w:tcPr>
            <w:tcW w:w="8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760" w:type="dxa"/>
            <w:vAlign w:val="bottom"/>
            <w:tcBorders>
              <w:top w:val="single" w:sz="8" w:color="auto"/>
            </w:tcBorders>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APIC</w:t>
            </w:r>
          </w:p>
        </w:tc>
        <w:tc>
          <w:tcPr>
            <w:tcW w:w="82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AOCI</w:t>
            </w: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740" w:type="dxa"/>
            <w:vAlign w:val="bottom"/>
            <w:tcBorders>
              <w:top w:val="single" w:sz="8" w:color="auto"/>
            </w:tcBorders>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APIC</w:t>
            </w:r>
          </w:p>
        </w:tc>
        <w:tc>
          <w:tcPr>
            <w:tcW w:w="82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AOCI</w:t>
            </w: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earnings/(deficit)</w:t>
            </w:r>
          </w:p>
        </w:tc>
        <w:tc>
          <w:tcPr>
            <w:tcW w:w="12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earnings/(deficit)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71,491</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 (11,909)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68,457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69,550</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 (12,123)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30,861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$88,437</w:t>
            </w:r>
          </w:p>
        </w:tc>
        <w:tc>
          <w:tcPr>
            <w:tcW w:w="0" w:type="dxa"/>
            <w:vAlign w:val="bottom"/>
          </w:tcPr>
          <w:p>
            <w:pPr>
              <w:spacing w:after="0"/>
              <w:rPr>
                <w:sz w:val="1"/>
                <w:szCs w:val="1"/>
                <w:color w:val="auto"/>
              </w:rPr>
            </w:pPr>
          </w:p>
        </w:tc>
      </w:tr>
      <w:tr>
        <w:trPr>
          <w:trHeight w:val="198"/>
        </w:trPr>
        <w:tc>
          <w:tcPr>
            <w:tcW w:w="20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restricted/performance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w:t>
            </w: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734</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198"/>
        </w:trPr>
        <w:tc>
          <w:tcPr>
            <w:tcW w:w="20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in lieu</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of tax withholdings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income (loss)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(13,909)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(13,909)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0"/>
        </w:trPr>
        <w:tc>
          <w:tcPr>
            <w:tcW w:w="20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Balance, ending</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71,906</w:t>
            </w:r>
          </w:p>
        </w:tc>
        <w:tc>
          <w:tcPr>
            <w:tcW w:w="10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9"/>
              </w:rPr>
              <w:t>$ (12,339) $</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54,535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70,295</w:t>
            </w:r>
          </w:p>
        </w:tc>
        <w:tc>
          <w:tcPr>
            <w:tcW w:w="10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(11,579) $</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29,637</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88,505</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80" w:hanging="252"/>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paid-in capital (“APIC”)</w:t>
      </w:r>
    </w:p>
    <w:p>
      <w:pPr>
        <w:spacing w:after="0" w:line="27" w:lineRule="exact"/>
        <w:rPr>
          <w:rFonts w:ascii="Times New Roman" w:cs="Times New Roman" w:eastAsia="Times New Roman" w:hAnsi="Times New Roman"/>
          <w:sz w:val="18"/>
          <w:szCs w:val="18"/>
          <w:color w:val="auto"/>
        </w:rPr>
      </w:pPr>
    </w:p>
    <w:p>
      <w:pPr>
        <w:ind w:left="280" w:hanging="252"/>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Accumulated other comprehensive income (loss) (“AOCI”)</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42" w:lineRule="exact"/>
        <w:rPr>
          <w:sz w:val="20"/>
          <w:szCs w:val="20"/>
          <w:color w:val="auto"/>
        </w:rPr>
      </w:pPr>
    </w:p>
    <w:p>
      <w:pPr>
        <w:ind w:left="20"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twenty-six weeks ended August 1, 2020 and August 3, 2019 (in thousands):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1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 the twenty-six weeks ended August 1, 2020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1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 the twenty-six weeks ended August 3, 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40" w:type="dxa"/>
            <w:vAlign w:val="bottom"/>
          </w:tcPr>
          <w:p>
            <w:pPr>
              <w:spacing w:after="0"/>
              <w:rPr>
                <w:sz w:val="24"/>
                <w:szCs w:val="24"/>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APIC</w:t>
            </w:r>
          </w:p>
        </w:tc>
        <w:tc>
          <w:tcPr>
            <w:tcW w:w="60" w:type="dxa"/>
            <w:vAlign w:val="bottom"/>
          </w:tcPr>
          <w:p>
            <w:pPr>
              <w:spacing w:after="0"/>
              <w:rPr>
                <w:sz w:val="24"/>
                <w:szCs w:val="24"/>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AOCI</w:t>
            </w:r>
          </w:p>
        </w:tc>
        <w:tc>
          <w:tcPr>
            <w:tcW w:w="20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60" w:type="dxa"/>
            <w:vAlign w:val="bottom"/>
          </w:tcPr>
          <w:p>
            <w:pPr>
              <w:spacing w:after="0"/>
              <w:rPr>
                <w:sz w:val="24"/>
                <w:szCs w:val="24"/>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APIC</w:t>
            </w:r>
          </w:p>
        </w:tc>
        <w:tc>
          <w:tcPr>
            <w:tcW w:w="40" w:type="dxa"/>
            <w:vAlign w:val="bottom"/>
          </w:tcPr>
          <w:p>
            <w:pPr>
              <w:spacing w:after="0"/>
              <w:rPr>
                <w:sz w:val="24"/>
                <w:szCs w:val="24"/>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AOCI</w:t>
            </w:r>
          </w:p>
        </w:tc>
        <w:tc>
          <w:tcPr>
            <w:tcW w:w="20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earnings/(deficit)</w:t>
            </w:r>
          </w:p>
        </w:tc>
        <w:tc>
          <w:tcPr>
            <w:tcW w:w="6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7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earnings/(deficit)</w:t>
            </w:r>
          </w:p>
        </w:tc>
        <w:tc>
          <w:tcPr>
            <w:tcW w:w="6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$70,633</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(12,079)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29,925</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$ 88,631</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$69,088</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(12,018)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37,094</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$94,314</w:t>
            </w:r>
          </w:p>
        </w:tc>
        <w:tc>
          <w:tcPr>
            <w:tcW w:w="0" w:type="dxa"/>
            <w:vAlign w:val="bottom"/>
          </w:tcPr>
          <w:p>
            <w:pPr>
              <w:spacing w:after="0"/>
              <w:rPr>
                <w:sz w:val="1"/>
                <w:szCs w:val="1"/>
                <w:color w:val="auto"/>
              </w:rPr>
            </w:pPr>
          </w:p>
        </w:tc>
      </w:tr>
      <w:tr>
        <w:trPr>
          <w:trHeight w:val="198"/>
        </w:trPr>
        <w:tc>
          <w:tcPr>
            <w:tcW w:w="2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Adoption of new</w:t>
            </w:r>
          </w:p>
        </w:tc>
        <w:tc>
          <w:tcPr>
            <w:tcW w:w="120" w:type="dxa"/>
            <w:vAlign w:val="bottom"/>
          </w:tcPr>
          <w:p>
            <w:pPr>
              <w:spacing w:after="0"/>
              <w:rPr>
                <w:sz w:val="17"/>
                <w:szCs w:val="17"/>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(7,430)</w:t>
            </w:r>
          </w:p>
        </w:tc>
        <w:tc>
          <w:tcPr>
            <w:tcW w:w="7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(7,430)</w:t>
            </w:r>
          </w:p>
        </w:tc>
        <w:tc>
          <w:tcPr>
            <w:tcW w:w="0" w:type="dxa"/>
            <w:vAlign w:val="bottom"/>
          </w:tcPr>
          <w:p>
            <w:pPr>
              <w:spacing w:after="0"/>
              <w:rPr>
                <w:sz w:val="1"/>
                <w:szCs w:val="1"/>
                <w:color w:val="auto"/>
              </w:rPr>
            </w:pPr>
          </w:p>
        </w:tc>
      </w:tr>
      <w:tr>
        <w:trPr>
          <w:trHeight w:val="221"/>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standard</w:t>
            </w:r>
          </w:p>
        </w:tc>
        <w:tc>
          <w:tcPr>
            <w:tcW w:w="12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$70,633</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(12,079)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29,925</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$ 88,631</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$69,088</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(12,018)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29,664</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$86,884</w:t>
            </w:r>
          </w:p>
        </w:tc>
        <w:tc>
          <w:tcPr>
            <w:tcW w:w="0" w:type="dxa"/>
            <w:vAlign w:val="bottom"/>
          </w:tcPr>
          <w:p>
            <w:pPr>
              <w:spacing w:after="0"/>
              <w:rPr>
                <w:sz w:val="1"/>
                <w:szCs w:val="1"/>
                <w:color w:val="auto"/>
              </w:rPr>
            </w:pPr>
          </w:p>
        </w:tc>
      </w:tr>
      <w:tr>
        <w:trPr>
          <w:trHeight w:val="198"/>
        </w:trPr>
        <w:tc>
          <w:tcPr>
            <w:tcW w:w="2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restricted/performance</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198"/>
        </w:trPr>
        <w:tc>
          <w:tcPr>
            <w:tcW w:w="2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withheld in lieu</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tax withholdings</w:t>
            </w:r>
          </w:p>
        </w:tc>
        <w:tc>
          <w:tcPr>
            <w:tcW w:w="1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bl>
    <w:p>
      <w:pPr>
        <w:sectPr>
          <w:pgSz w:w="11900" w:h="16923" w:orient="portrait"/>
          <w:cols w:equalWidth="0" w:num="1">
            <w:col w:w="11260"/>
          </w:cols>
          <w:pgMar w:left="300" w:top="112" w:right="339"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income (loss)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(35,113)</w:t>
            </w: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(35,113)</w:t>
            </w:r>
          </w:p>
        </w:tc>
        <w:tc>
          <w:tcPr>
            <w:tcW w:w="2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Balance, ending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71,906</w:t>
            </w:r>
          </w:p>
        </w:tc>
        <w:tc>
          <w:tcPr>
            <w:tcW w:w="13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 (12,339)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$ 54,535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70,295</w:t>
            </w:r>
          </w:p>
        </w:tc>
        <w:tc>
          <w:tcPr>
            <w:tcW w:w="13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 (11,579)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29,637</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88,505</w:t>
            </w:r>
          </w:p>
        </w:tc>
      </w:tr>
      <w:tr>
        <w:trPr>
          <w:trHeight w:val="20"/>
        </w:trPr>
        <w:tc>
          <w:tcPr>
            <w:tcW w:w="2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Accumulated other comprehensive income (loss) (“AOCI”)</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August 2017, the Company’s Board of Directors authorized a share repurchase program of up to $20.0 million. From the date of such authorization through August 1, 2020, the Company had repurchased approximately 1.3 million shares at an average price of $8.75 per share for an aggregate amount of approximately $11.2 million, leaving approximately $8.8 million authorized under the program as of that date. The Company does not plan to utilize cash to resume share repurchases in fiscal 2020. In addition, the Company's ability to repurchase shares is limited by conditions set forth by its lender in its credit agreement, as described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per Share</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 in periods of net loss, no effect is given to the Company’s participating securities as they do not contractually participate in the losses of the Company:</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Net (loss) income before allocation of earnings to participating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(13,909)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(35,113)</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Less: Earnings allocated to participating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(13,909)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(35,113)</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14,999,786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14,726,678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14,936,541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20" w:type="dxa"/>
            <w:vAlign w:val="bottom"/>
            <w:shd w:val="clear" w:color="auto" w:fill="CCEEFF"/>
          </w:tcPr>
          <w:p>
            <w:pPr>
              <w:ind w:left="320"/>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14,999,786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14,726,678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14,936,541</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14,669,626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Borders>
              <w:bottom w:val="single" w:sz="8" w:color="CCEEFF"/>
            </w:tcBorders>
            <w:shd w:val="clear" w:color="auto" w:fill="CCEEFF"/>
          </w:tcPr>
          <w:p>
            <w:pPr>
              <w:ind w:left="320"/>
              <w:spacing w:after="0" w:line="194" w:lineRule="exact"/>
              <w:rPr>
                <w:sz w:val="20"/>
                <w:szCs w:val="20"/>
                <w:color w:val="auto"/>
              </w:rPr>
            </w:pPr>
            <w:r>
              <w:rPr>
                <w:rFonts w:ascii="Times New Roman" w:cs="Times New Roman" w:eastAsia="Times New Roman" w:hAnsi="Times New Roman"/>
                <w:sz w:val="18"/>
                <w:szCs w:val="18"/>
                <w:color w:val="auto"/>
              </w:rPr>
              <w:t>dilutive</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(loss) income per common share attributable to Build-A-Bear</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Workshop, Inc. stockholders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(loss) income per common share attributable to Build-A-Bear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Workshop, Inc. stockholders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(0.93)</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calculating the diluted income per share for the thirteen and twenty-six weeks ended August 1, 2020, options to purchase 833,353</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and 862,846 share of common stock, respectively, that were outstanding at the end of the period were not included in the computation of diluted income per share due to their anti-dilutive effect. For the thirteen and twenty-six weeks ended August 3, 2019, options to purchase 924,628 and 927,448 shares of common stock, respectively, that were outstanding at the end of the period were not included in the computation of diluted income per share due to their anti-dilutive effect.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Comprehensive Income (Loss)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income (loss) balance at August 1, 2020 and August 3, 2019 was comprised entirely of foreign currency translation. For the thirteen weeks ended August 1, 2020 and August 3, 2019, the Company had no reclassifications out of accumulated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 the U.S., Canada, China, Denmark, Ireland and the United Kingdom (“U.K.”), including the Company’s e-commerce sites and temporary stores.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Asia, Australia, Mexico,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w:t>
      </w:r>
    </w:p>
    <w:p>
      <w:pPr>
        <w:sectPr>
          <w:pgSz w:w="11900" w:h="16838" w:orient="portrait"/>
          <w:cols w:equalWidth="0" w:num="1">
            <w:col w:w="11240"/>
          </w:cols>
          <w:pgMar w:left="320" w:top="121" w:right="339" w:bottom="0" w:gutter="0" w:footer="0" w:header="0"/>
        </w:sectPr>
      </w:pPr>
    </w:p>
    <w:bookmarkStart w:id="13" w:name="page14"/>
    <w:bookmarkEnd w:id="13"/>
    <w:p>
      <w:pPr>
        <w:spacing w:after="0" w:line="7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Accordingly, the Company has determined that each of its operating segments represent a reportable segment. The three reportable segments follow the same accounting policies used for the Company’s consolidated financial statements.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reportable segments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Direct-to-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International</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Thirteen weeks ended August 1, 2020</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39,339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40,353</w:t>
            </w: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(13,983)</w:t>
            </w: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3,254</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Thirteen weeks ended August 3, 2019</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75,214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79,214</w:t>
            </w: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2,505</w:t>
            </w: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3,285</w:t>
            </w:r>
          </w:p>
        </w:tc>
      </w:tr>
      <w:tr>
        <w:trPr>
          <w:trHeight w:val="216"/>
        </w:trPr>
        <w:tc>
          <w:tcPr>
            <w:tcW w:w="4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Twenty-six weeks ended August 1, 2020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84,986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86,977</w:t>
            </w: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(32,647)</w:t>
            </w: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3,378</w:t>
            </w: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6,711</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Twenty-six weeks ended August 3, 2019</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156,262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163,576</w:t>
            </w: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1,668</w:t>
            </w: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4,945</w:t>
            </w: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6,797</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as of:</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August 1, 2020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253,684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7,727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268,263</w:t>
            </w:r>
          </w:p>
        </w:tc>
      </w:tr>
      <w:tr>
        <w:trPr>
          <w:trHeight w:val="234"/>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3, 2019</w:t>
            </w: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285,196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6,202</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299,194</w:t>
            </w:r>
          </w:p>
        </w:tc>
      </w:tr>
      <w:tr>
        <w:trPr>
          <w:trHeight w:val="630"/>
        </w:trPr>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4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3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America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Europe (2)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Other (3)</w:t>
            </w: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Thirteen weeks ended August 1, 2020</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34,985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40,353</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Thirteen weeks ended August 3, 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68,456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79,214</w:t>
            </w:r>
          </w:p>
        </w:tc>
      </w:tr>
      <w:tr>
        <w:trPr>
          <w:trHeight w:val="216"/>
        </w:trPr>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Twenty-six weeks ended August 1, 2020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74,636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86,977</w:t>
            </w: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53,735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58,085</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Twenty-six weeks ended August 3, 2019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141,397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163,576</w:t>
            </w:r>
          </w:p>
        </w:tc>
      </w:tr>
      <w:tr>
        <w:trPr>
          <w:trHeight w:val="216"/>
        </w:trPr>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64,191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300" w:hanging="292"/>
        <w:spacing w:after="0"/>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corporately managed locations in the United States, Canada, Puerto Rico.</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corporately managed locations in the U.K., Ireland, Denmark and franchise businesses in Europe</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franchise businesses outside of North America and Europe and includes a corporately-managed location in China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3"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Assessments made by the U.K. customs authority in 2012 were appealed by the Company, which has paid the disputed duty, strictly under protest, pending the outcome of the continuing dispute, and this is included in receivables, net in the DTC segment. The U. K. customs authority contested the Company's appeal. In November 2019, the first-tier tribunal issued a ruling that duty was due on some, but not all, of the products at issue. Both the Company and the U.K. customs authority have appealed that ruling. The Company currently expects that the appeal on the matter will be heard by the upper tribunal sometime during the first half of calendar year 2021. The Company maintains a provision against the related receivable, based on a current evaluation of collectability, using the latest facts available in the dispute. As of August 1, 2020, the Company had a gross receivable balance of $4.4 million</w:t>
      </w:r>
    </w:p>
    <w:p>
      <w:pPr>
        <w:sectPr>
          <w:pgSz w:w="11900" w:h="16916" w:orient="portrait"/>
          <w:cols w:equalWidth="0" w:num="1">
            <w:col w:w="11220"/>
          </w:cols>
          <w:pgMar w:left="320" w:top="121" w:right="359" w:bottom="0" w:gutter="0" w:footer="0" w:header="0"/>
        </w:sectPr>
      </w:pPr>
    </w:p>
    <w:bookmarkStart w:id="14" w:name="page15"/>
    <w:bookmarkEnd w:id="14"/>
    <w:p>
      <w:pPr>
        <w:ind w:left="20" w:right="280"/>
        <w:spacing w:after="0" w:line="282" w:lineRule="auto"/>
        <w:rPr>
          <w:sz w:val="20"/>
          <w:szCs w:val="20"/>
          <w:color w:val="auto"/>
        </w:rPr>
      </w:pPr>
      <w:r>
        <w:rPr>
          <w:rFonts w:ascii="Times New Roman" w:cs="Times New Roman" w:eastAsia="Times New Roman" w:hAnsi="Times New Roman"/>
          <w:sz w:val="18"/>
          <w:szCs w:val="18"/>
          <w:color w:val="auto"/>
        </w:rPr>
        <w:t>and a reserve of $3.6 million, leaving a net receivable of $0.8 million. The Company believes that the outcome of this dispute will not have a material adverse impact on its results of operations, liquidity or financial position.</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August 25, 2020, Build-A-Bear Workshop, Inc. entered into a Revolving Credit and Security Agreement among the Company, as borrowing agent; Build-A-Bear Retail Management, Inc., together with the Company, as borrowers; Build-A-Bear Workshop Franchise Holdings, Inc., Build-A-Bear Entertainment, LLC, Build-A-Bear Card Services LLC and Build-A-Bear Workshop Canada, Ltd.; the lenders party thereto; and PNC Bank, National Association, as agent for lenders.</w:t>
      </w:r>
    </w:p>
    <w:p>
      <w:pPr>
        <w:spacing w:after="0" w:line="1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00" w:top="121" w:right="499" w:bottom="1440" w:gutter="0" w:footer="0" w:header="0"/>
        </w:sectPr>
      </w:pPr>
    </w:p>
    <w:bookmarkStart w:id="15" w:name="page16"/>
    <w:bookmarkEnd w:id="15"/>
    <w:p>
      <w:pPr>
        <w:ind w:left="2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43"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18"/>
          <w:szCs w:val="18"/>
          <w:color w:val="auto"/>
        </w:rPr>
        <w:t>The agreement provides for a senior secured revolving loan in aggregate principal amount of up to $25,000,000 (subject to a borrowing base formula), which may be increased with the consent of the lenders by an amount not to exceed $25,000,000, subject to the conditions set forth in the agreement. The borrowing base under the agreement is based on specified percentages of eligible credit card receivables, eligible inventory and, under certain circumstances, eligible foreign in-transit inventory and, in the discretion of the agent, eligible receivables. The credit agreement provides for swingline loans of up to $5,000,000 and the issuance of standby or commercial letters of credit of up to $5,000,000. Proceeds of the advances under the agreement may be used to (a) repay existing indebtedness owed to U.S. Bank National Association ("U.S. Bank"), (b) pay fees and expenses relating to the transactions contemplated by the credit agreement, and (c) fund ongoing working capital, capital expenditures, permitted acquisitions and general corporate purposes, in each case to the extent permitted under, and as defined in, the agreement. Revolving advances under the agreement will be secured (subject to permitted liens and certain other exceptions) by a first priority lien on substantially all of the personal property of the Company and all of its U.S. and Canadian subsidiaries, including certain receivables (including receivables from the sale of inventory and credit card receivables but excluding certain franchise receivables), equipment and fixtures, intellectual property, inventory and equity interests held by the borrowers and the guarantors in their respective domestic and foreign subsidiaries. The agreement includes a negative covenant with respect to granting a lien on the Company's Ohio warehouse.</w:t>
      </w:r>
    </w:p>
    <w:p>
      <w:pPr>
        <w:spacing w:after="0" w:line="187" w:lineRule="exact"/>
        <w:rPr>
          <w:sz w:val="20"/>
          <w:szCs w:val="20"/>
          <w:color w:val="auto"/>
        </w:rPr>
      </w:pPr>
    </w:p>
    <w:p>
      <w:pPr>
        <w:ind w:right="300" w:firstLine="648"/>
        <w:spacing w:after="0" w:line="281" w:lineRule="auto"/>
        <w:rPr>
          <w:sz w:val="20"/>
          <w:szCs w:val="20"/>
          <w:color w:val="auto"/>
        </w:rPr>
      </w:pPr>
      <w:r>
        <w:rPr>
          <w:rFonts w:ascii="Times New Roman" w:cs="Times New Roman" w:eastAsia="Times New Roman" w:hAnsi="Times New Roman"/>
          <w:sz w:val="17"/>
          <w:szCs w:val="17"/>
          <w:color w:val="auto"/>
        </w:rPr>
        <w:t>Borrowings under the agreement bear interest at (a) a base rate determined under the agreement, or (b) the borrower’s option, at a rate based on LIBOR, plus in either case a margin based on the average undrawn availability as determined in accordance with the agreement. The agreement matures on August 25, 2025 (unless terminated earlier in accordance with the terms thereof) and requires compliance with conditions precedent that must be satisfied prior to any borrowing. The agreement also contains various representations, warranties and covenants that the Company considers customary.</w:t>
      </w:r>
    </w:p>
    <w:p>
      <w:pPr>
        <w:spacing w:after="0" w:line="164"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The agreement requires the Company to comply with one financial covenant, specifically, that the Company maintain availability (as determined in accordance with the agreement) at all times equal to or greater than the greater of (a) 12.5% of the loan cap and (b) $3,125,000 (subject to increase upon exercise of the increase option). The “loan cap” is the lesser of (1) $25,000,000 less the outstanding amount of loans and letters of credit under the agreement and (2) the borrowing base from time to time under the agreement. The agreement also contains various information and reporting requirements and provides for various fees customary for an asset-based lending facility. The Company anticipates the annual costs of maintaining the agreement, including interest and fees, will be between $500,000 and $600,000. The agreement contains customary events of default, including without limitation events of default based on payment obligations, material inaccuracies of representations and warranties, covenant defaults, final judgments and orders, unenforceability of the agreement, material ERISA events, change in control, insolvency proceedings, and defaults under certain other obligations. An event of default may cause the applicable interest rate and fees to increase by 2% until such event of default has been cured, waived, or amended. The agreement contains typical negative covenants, including, among other things, that the borrower will not incur indebtedness except for permitted indebtedness or make any investments except for permitted investments, declare dividends or repurchase its stock except as permitted, acquire any subsidiaries except in connection with a permitted acquisition, or merge or consolidate with any other entity or acquire all or substantially all of the assets of any other company outside the ordinary course of business.</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At the closing date of the agreement, the Company had no outstanding indebtedness under the agreement. An aggregate of slightly more than $10 million was available for borrowing under the agreement as of the closing date.</w:t>
      </w:r>
    </w:p>
    <w:p>
      <w:pPr>
        <w:spacing w:after="0" w:line="16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Additionally, on August 25, 2020, upon execution of the agreement with PNC Bank, the Company terminated its existing bank credit line with U.S. Bank, under the Company’s Fourth Amended and Restated Loan Agreement, as amended as of May 28, 2020. The former agreement with U.S. Bank provided for a maximum borrowing capacity of up to $10,000,000, subject to compliance with certain financial tests. The former credit agreement would have matured on September 30, 2020. At the time of termination, the Company did not have any outstanding borrowings under the agreement with U.S. Bank and was in compliance with the amended covenants set forth in the Former Credit Agreement. The Company’s outstanding $1.0 million letter of credit under the agreement with U.S. Bank will remain outstanding subject to cash collateralization provided by the Company to U.S. Bank.</w:t>
      </w:r>
    </w:p>
    <w:p>
      <w:pPr>
        <w:spacing w:after="0" w:line="187"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As part of obtaining the new credit agreement, the Company incurred various issuance costs and fees. As previously stated, the Company had no outstanding borrowings at the beginning of the facility, therefore these costs and fees will be recorded as a deferred asset within the Other assets, net line item within the Condensed Consolidated Balance Sheets and be amortized over the length of the five year agreement.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February 1, 2020, as filed with the SEC, and include the following:</w:t>
      </w:r>
    </w:p>
    <w:p>
      <w:pPr>
        <w:spacing w:after="0" w:line="180" w:lineRule="exact"/>
        <w:rPr>
          <w:sz w:val="20"/>
          <w:szCs w:val="20"/>
          <w:color w:val="auto"/>
        </w:rPr>
      </w:pPr>
    </w:p>
    <w:p>
      <w:pPr>
        <w:ind w:left="500" w:right="140" w:hanging="175"/>
        <w:spacing w:after="0" w:line="257"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financial results have been and will continue to be negatively affected by the COVID-19 pandemic, which presents uncertainty relating to our anticipated duration and scope and whether there will a second wave or periods of increases in the number of COVID-19 cases in areas in which we operate, as well the restrictions imposed by federal, state, and local governments in response to the pandemic;</w:t>
      </w:r>
    </w:p>
    <w:p>
      <w:pPr>
        <w:spacing w:after="0" w:line="1" w:lineRule="exact"/>
        <w:rPr>
          <w:rFonts w:ascii="Times New Roman" w:cs="Times New Roman" w:eastAsia="Times New Roman" w:hAnsi="Times New Roman"/>
          <w:sz w:val="18"/>
          <w:szCs w:val="18"/>
          <w:color w:val="auto"/>
        </w:rPr>
      </w:pPr>
    </w:p>
    <w:p>
      <w:pPr>
        <w:ind w:left="500" w:right="440" w:hanging="175"/>
        <w:spacing w:after="0" w:line="250"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sustained decline in general global economic conditions, caused by the COVID-19 pandemic or otherwise, could lead to disproportionately reduced consumer demand for our products, which represent relatively discretionary spending, and have an adverse effect on our liquidity and profitability;</w:t>
      </w:r>
    </w:p>
    <w:p>
      <w:pPr>
        <w:spacing w:after="0" w:line="1" w:lineRule="exact"/>
        <w:rPr>
          <w:rFonts w:ascii="Times New Roman" w:cs="Times New Roman" w:eastAsia="Times New Roman" w:hAnsi="Times New Roman"/>
          <w:sz w:val="18"/>
          <w:szCs w:val="18"/>
          <w:color w:val="auto"/>
        </w:rPr>
      </w:pPr>
    </w:p>
    <w:p>
      <w:pPr>
        <w:ind w:left="500" w:hanging="175"/>
        <w:spacing w:after="0" w:line="250"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shopping malls and tourist locations in which we are located to attract guests to our stores and a decline in consumer traffic, or if such consumer traffic does not return to levels that we saw prior to the COVID-19 pandemic, could adversely affect our financial performance and profitability;</w:t>
      </w:r>
    </w:p>
    <w:p>
      <w:pPr>
        <w:spacing w:after="0" w:line="1" w:lineRule="exact"/>
        <w:rPr>
          <w:rFonts w:ascii="Times New Roman" w:cs="Times New Roman" w:eastAsia="Times New Roman" w:hAnsi="Times New Roman"/>
          <w:sz w:val="18"/>
          <w:szCs w:val="18"/>
          <w:color w:val="auto"/>
        </w:rPr>
      </w:pPr>
    </w:p>
    <w:p>
      <w:pPr>
        <w:ind w:left="500" w:right="80" w:hanging="175"/>
        <w:spacing w:after="0" w:line="255"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reopening of our stores, we have modified our interactive shopping experience in order to comply with social distancing and sanitation practices. These modifications could have a negative impact on the appeal of our interactive shopping experience and reduce guest traffic to our stores. In addition, we are continuing to assess the impacts that such measures have on individual store performance due to the decreased</w:t>
      </w:r>
    </w:p>
    <w:p>
      <w:pPr>
        <w:sectPr>
          <w:pgSz w:w="11900" w:h="16838" w:orient="portrait"/>
          <w:cols w:equalWidth="0" w:num="1">
            <w:col w:w="11260"/>
          </w:cols>
          <w:pgMar w:left="300" w:top="112" w:right="339" w:bottom="0" w:gutter="0" w:footer="0" w:header="0"/>
        </w:sectPr>
      </w:pPr>
    </w:p>
    <w:bookmarkStart w:id="16" w:name="page17"/>
    <w:bookmarkEnd w:id="16"/>
    <w:p>
      <w:pPr>
        <w:ind w:left="480"/>
        <w:spacing w:after="0" w:line="261" w:lineRule="auto"/>
        <w:rPr>
          <w:sz w:val="20"/>
          <w:szCs w:val="20"/>
          <w:color w:val="auto"/>
        </w:rPr>
      </w:pPr>
      <w:r>
        <w:rPr>
          <w:rFonts w:ascii="Times New Roman" w:cs="Times New Roman" w:eastAsia="Times New Roman" w:hAnsi="Times New Roman"/>
          <w:sz w:val="18"/>
          <w:szCs w:val="18"/>
          <w:color w:val="auto"/>
        </w:rPr>
        <w:t>volume of guests that may be able to enjoy our interactive shopping experience, and such reduced guest volume could adversely impact our ability to operate our stores profitably;</w:t>
      </w:r>
    </w:p>
    <w:p>
      <w:pPr>
        <w:ind w:left="480" w:hanging="175"/>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store closures in shopping malls and tourist locations and other impacts to our business resulting from civil disturbances;</w:t>
      </w:r>
    </w:p>
    <w:p>
      <w:pPr>
        <w:spacing w:after="0" w:line="9" w:lineRule="exact"/>
        <w:rPr>
          <w:rFonts w:ascii="Times New Roman" w:cs="Times New Roman" w:eastAsia="Times New Roman" w:hAnsi="Times New Roman"/>
          <w:sz w:val="18"/>
          <w:szCs w:val="18"/>
          <w:color w:val="auto"/>
        </w:rPr>
      </w:pPr>
    </w:p>
    <w:p>
      <w:pPr>
        <w:jc w:val="both"/>
        <w:ind w:left="480" w:right="100" w:hanging="175"/>
        <w:spacing w:after="0" w:line="250"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hands-on and interactive nature of our store and high touch service model result in guests forming an emotional connection with our brand, which in turn contributes to the success of our ecommerce platform; if we are not able to offer the same experience in the short and medium-term, it may adversely affect the value of our brand;</w:t>
      </w:r>
    </w:p>
    <w:p>
      <w:pPr>
        <w:spacing w:after="0" w:line="1" w:lineRule="exact"/>
        <w:rPr>
          <w:rFonts w:ascii="Times New Roman" w:cs="Times New Roman" w:eastAsia="Times New Roman" w:hAnsi="Times New Roman"/>
          <w:sz w:val="18"/>
          <w:szCs w:val="18"/>
          <w:color w:val="auto"/>
        </w:rPr>
      </w:pPr>
    </w:p>
    <w:p>
      <w:pPr>
        <w:ind w:left="480" w:hanging="175"/>
        <w:spacing w:after="0" w:line="250"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birthdays and other special occasions have historically been a key driver for store traffic, and our guests’ willingness to hold such events at our stores may adversely affect store performance and our overall profitability;</w:t>
      </w:r>
    </w:p>
    <w:p>
      <w:pPr>
        <w:ind w:left="480" w:right="240" w:hanging="175"/>
        <w:spacing w:after="0" w:line="250"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part of our revenue and net income comes during the holiday selling season; if the COVID-19 pandemic adversely affects consumers spending during this year’s holiday season our financial condition and flexibility could be adversely affected;</w:t>
      </w:r>
    </w:p>
    <w:p>
      <w:pPr>
        <w:ind w:left="480" w:right="160" w:hanging="175"/>
        <w:spacing w:after="0" w:line="250"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interest in and demand for our interactive retail experience and products, including being able to adjust that experience consistent with our guests' expectations as the general retail economy emerges from the restrictions imposed by the COVID-19 pandemic, and to otherwise identify and respond to consumer preferences in a timely manner, our sales, financial condition and profitability could be adversely affected;</w:t>
      </w:r>
    </w:p>
    <w:p>
      <w:pPr>
        <w:spacing w:after="0" w:line="1" w:lineRule="exact"/>
        <w:rPr>
          <w:rFonts w:ascii="Times New Roman" w:cs="Times New Roman" w:eastAsia="Times New Roman" w:hAnsi="Times New Roman"/>
          <w:sz w:val="18"/>
          <w:szCs w:val="18"/>
          <w:color w:val="auto"/>
        </w:rPr>
      </w:pPr>
    </w:p>
    <w:p>
      <w:pPr>
        <w:ind w:left="480" w:right="480" w:hanging="175"/>
        <w:spacing w:after="0" w:line="250"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licensed products are based on feature films with planned theatrical launches, given that the COVID-19 pandemic has negatively impacted theaters and delayed movie releases, the portion of our business associated with these films could be negatively affected, particularly during the holiday season;</w:t>
      </w:r>
    </w:p>
    <w:p>
      <w:pPr>
        <w:spacing w:after="0" w:line="1" w:lineRule="exact"/>
        <w:rPr>
          <w:rFonts w:ascii="Times New Roman" w:cs="Times New Roman" w:eastAsia="Times New Roman" w:hAnsi="Times New Roman"/>
          <w:sz w:val="18"/>
          <w:szCs w:val="18"/>
          <w:color w:val="auto"/>
        </w:rPr>
      </w:pPr>
    </w:p>
    <w:p>
      <w:pPr>
        <w:jc w:val="both"/>
        <w:ind w:left="480" w:hanging="175"/>
        <w:spacing w:after="0" w:line="250"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leverage the flexibility within our existing real estate portfolio to capitalize on future real estate opportunities over the near and intermediate term as our leases come up for renewal, and there may be other costs and risks relating to a brick and mortar retail store model such as a lack of available retail store sites on terms acceptable to us as a result;</w:t>
      </w:r>
    </w:p>
    <w:p>
      <w:pPr>
        <w:spacing w:after="0" w:line="1" w:lineRule="exact"/>
        <w:rPr>
          <w:rFonts w:ascii="Times New Roman" w:cs="Times New Roman" w:eastAsia="Times New Roman" w:hAnsi="Times New Roman"/>
          <w:sz w:val="18"/>
          <w:szCs w:val="18"/>
          <w:color w:val="auto"/>
        </w:rPr>
      </w:pPr>
    </w:p>
    <w:p>
      <w:pPr>
        <w:ind w:left="480" w:right="220" w:hanging="175"/>
        <w:spacing w:after="0" w:line="250"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interests change rapidly and our success depends on the ongoing effectiveness of our marketing and online initiatives to build consumer affinity for our brand and drive consumer demand for key products and services;</w:t>
      </w:r>
    </w:p>
    <w:p>
      <w:pPr>
        <w:ind w:left="480" w:hanging="175"/>
        <w:spacing w:after="0" w:line="250"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related to disruptions, failures or security breaches of our information technology infrastructure. If we improperly obtain or are unable to protect our data or violate privacy or security laws such as the GDPR, the CCPA or the California Privacy Rights Act (if adopted), or expectations, we could be subject to liability as well as damage to our reputation;</w:t>
      </w:r>
    </w:p>
    <w:p>
      <w:pPr>
        <w:spacing w:after="0" w:line="1" w:lineRule="exact"/>
        <w:rPr>
          <w:rFonts w:ascii="Times New Roman" w:cs="Times New Roman" w:eastAsia="Times New Roman" w:hAnsi="Times New Roman"/>
          <w:sz w:val="18"/>
          <w:szCs w:val="18"/>
          <w:color w:val="auto"/>
        </w:rPr>
      </w:pPr>
    </w:p>
    <w:p>
      <w:pPr>
        <w:ind w:left="480" w:right="120" w:hanging="175"/>
        <w:spacing w:after="0" w:line="250"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lose key personnel, are unable to hire qualified additional personnel, or experience turnover of our management team;</w:t>
      </w:r>
    </w:p>
    <w:p>
      <w:pPr>
        <w:ind w:left="480" w:hanging="175"/>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ind w:left="500" w:right="160" w:hanging="195"/>
        <w:spacing w:after="0" w:line="257"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1" w:lineRule="exact"/>
        <w:rPr>
          <w:rFonts w:ascii="Times New Roman" w:cs="Times New Roman" w:eastAsia="Times New Roman" w:hAnsi="Times New Roman"/>
          <w:sz w:val="18"/>
          <w:szCs w:val="18"/>
          <w:color w:val="auto"/>
        </w:rPr>
      </w:pPr>
    </w:p>
    <w:p>
      <w:pPr>
        <w:ind w:left="500" w:right="20" w:hanging="195"/>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few global supply chain vendors to supply substantially all of our merchandise, and significant price increases or any disruption in their ability to deliver merchandise could harm our ability to source products and supply inventory to our stores;</w:t>
      </w:r>
    </w:p>
    <w:p>
      <w:pPr>
        <w:ind w:left="500" w:right="100" w:hanging="195"/>
        <w:spacing w:after="0" w:line="265" w:lineRule="auto"/>
        <w:tabs>
          <w:tab w:leader="none" w:pos="5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may operate inefficiently;</w:t>
      </w:r>
    </w:p>
    <w:p>
      <w:pPr>
        <w:jc w:val="both"/>
        <w:ind w:left="500" w:right="220" w:hanging="195"/>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tariffs and foreign currency fluctuations;</w:t>
      </w:r>
    </w:p>
    <w:p>
      <w:pPr>
        <w:spacing w:after="0" w:line="1" w:lineRule="exact"/>
        <w:rPr>
          <w:rFonts w:ascii="Times New Roman" w:cs="Times New Roman" w:eastAsia="Times New Roman" w:hAnsi="Times New Roman"/>
          <w:sz w:val="18"/>
          <w:szCs w:val="18"/>
          <w:color w:val="auto"/>
        </w:rPr>
      </w:pPr>
    </w:p>
    <w:p>
      <w:pPr>
        <w:ind w:left="500" w:right="420" w:hanging="195"/>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ind w:left="500" w:hanging="195"/>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corporately-managed locations profitably;</w:t>
      </w:r>
    </w:p>
    <w:p>
      <w:pPr>
        <w:spacing w:after="0" w:line="9" w:lineRule="exact"/>
        <w:rPr>
          <w:rFonts w:ascii="Times New Roman" w:cs="Times New Roman" w:eastAsia="Times New Roman" w:hAnsi="Times New Roman"/>
          <w:sz w:val="18"/>
          <w:szCs w:val="18"/>
          <w:color w:val="auto"/>
        </w:rPr>
      </w:pPr>
    </w:p>
    <w:p>
      <w:pPr>
        <w:ind w:left="500" w:hanging="195"/>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 w:lineRule="exact"/>
        <w:rPr>
          <w:rFonts w:ascii="Times New Roman" w:cs="Times New Roman" w:eastAsia="Times New Roman" w:hAnsi="Times New Roman"/>
          <w:sz w:val="18"/>
          <w:szCs w:val="18"/>
          <w:color w:val="auto"/>
        </w:rPr>
      </w:pPr>
    </w:p>
    <w:p>
      <w:pPr>
        <w:ind w:left="500" w:right="80" w:hanging="195"/>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500" w:hanging="195"/>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violate labor laws or engage in practices that consumers believe are unethical;</w:t>
      </w:r>
    </w:p>
    <w:p>
      <w:pPr>
        <w:ind w:left="500" w:hanging="195"/>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could be adversely affected by fluctuations in petroleum products prices;</w:t>
      </w:r>
    </w:p>
    <w:p>
      <w:pPr>
        <w:spacing w:after="0" w:line="9" w:lineRule="exact"/>
        <w:rPr>
          <w:rFonts w:ascii="Times New Roman" w:cs="Times New Roman" w:eastAsia="Times New Roman" w:hAnsi="Times New Roman"/>
          <w:sz w:val="18"/>
          <w:szCs w:val="18"/>
          <w:color w:val="auto"/>
        </w:rPr>
      </w:pPr>
    </w:p>
    <w:p>
      <w:pPr>
        <w:ind w:left="500" w:hanging="195"/>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impacted at any time by a significant variety of competitive threats;</w:t>
      </w:r>
    </w:p>
    <w:p>
      <w:pPr>
        <w:spacing w:after="0" w:line="9" w:lineRule="exact"/>
        <w:rPr>
          <w:rFonts w:ascii="Times New Roman" w:cs="Times New Roman" w:eastAsia="Times New Roman" w:hAnsi="Times New Roman"/>
          <w:sz w:val="18"/>
          <w:szCs w:val="18"/>
          <w:color w:val="auto"/>
        </w:rPr>
      </w:pPr>
    </w:p>
    <w:p>
      <w:pPr>
        <w:ind w:left="500" w:hanging="195"/>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500" w:hanging="195"/>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engaging in various strategic transactions, which may negatively affect our financial condition and profitability;</w:t>
      </w:r>
    </w:p>
    <w:p>
      <w:pPr>
        <w:spacing w:after="0" w:line="9" w:lineRule="exact"/>
        <w:rPr>
          <w:rFonts w:ascii="Times New Roman" w:cs="Times New Roman" w:eastAsia="Times New Roman" w:hAnsi="Times New Roman"/>
          <w:sz w:val="18"/>
          <w:szCs w:val="18"/>
          <w:color w:val="auto"/>
        </w:rPr>
      </w:pPr>
    </w:p>
    <w:p>
      <w:pPr>
        <w:ind w:left="500" w:right="620" w:hanging="195"/>
        <w:spacing w:after="0" w:line="25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our plan to not utilize cash to resume share repurchases while we continue to take measure to preserve our cash position may negatively impact our financial condition;</w:t>
      </w:r>
    </w:p>
    <w:p>
      <w:pPr>
        <w:ind w:left="500" w:hanging="195"/>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9" w:lineRule="exact"/>
        <w:rPr>
          <w:rFonts w:ascii="Times New Roman" w:cs="Times New Roman" w:eastAsia="Times New Roman" w:hAnsi="Times New Roman"/>
          <w:sz w:val="18"/>
          <w:szCs w:val="18"/>
          <w:color w:val="auto"/>
        </w:rPr>
      </w:pPr>
    </w:p>
    <w:p>
      <w:pPr>
        <w:ind w:left="500" w:hanging="195"/>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subject to volatility, which could in turn attract the interest of activist shareholders; and</w:t>
      </w:r>
    </w:p>
    <w:p>
      <w:pPr>
        <w:spacing w:after="0" w:line="9" w:lineRule="exact"/>
        <w:rPr>
          <w:rFonts w:ascii="Times New Roman" w:cs="Times New Roman" w:eastAsia="Times New Roman" w:hAnsi="Times New Roman"/>
          <w:sz w:val="18"/>
          <w:szCs w:val="18"/>
          <w:color w:val="auto"/>
        </w:rPr>
      </w:pPr>
    </w:p>
    <w:p>
      <w:pPr>
        <w:ind w:left="500" w:right="360" w:hanging="195"/>
        <w:spacing w:after="0" w:line="260"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the only global company that offers an interactive “make your own stuffed animal” retail entertainment experience under the Build-A-Bear Workshop brand, in which guests participate in the stuffing, dressing, accessorizing and naming of their own teddy bears and other stuffed animals. As of August 1, 2020, we had 359 corporately-managed stores globally and had 78 internationally franchised stores under the Build-A-Bear Workshop brand, with select locations temporarily closed due to restrictions brought on by the COVID-19 pandemic. In addition to our stores, we sell products on our company-owned e-commerce sites, our franchisees sell through sites that they manage and our third parties sell products on their sites under wholesale agreements.</w:t>
      </w:r>
    </w:p>
    <w:p>
      <w:pPr>
        <w:sectPr>
          <w:pgSz w:w="11900" w:h="16838" w:orient="portrait"/>
          <w:cols w:equalWidth="0" w:num="1">
            <w:col w:w="11220"/>
          </w:cols>
          <w:pgMar w:left="320" w:top="121" w:right="359" w:bottom="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17" w:name="page18"/>
    <w:bookmarkEnd w:id="17"/>
    <w:p>
      <w:pPr>
        <w:spacing w:after="0" w:line="39" w:lineRule="exact"/>
        <w:rPr>
          <w:sz w:val="20"/>
          <w:szCs w:val="20"/>
          <w:color w:val="auto"/>
        </w:rPr>
      </w:pPr>
    </w:p>
    <w:p>
      <w:pPr>
        <w:ind w:left="2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left="20" w:right="420" w:firstLine="648"/>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62" w:lineRule="exact"/>
        <w:rPr>
          <w:sz w:val="20"/>
          <w:szCs w:val="20"/>
          <w:color w:val="auto"/>
        </w:rPr>
      </w:pPr>
    </w:p>
    <w:p>
      <w:pPr>
        <w:ind w:left="500" w:right="200" w:hanging="162"/>
        <w:spacing w:after="0" w:line="261"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(“DTC”) – Corporately-managed retail stores located in the U.S., Canada, Puerto Rico, the U.K., Ireland, Denmark and China and two e-commerce sites;</w:t>
      </w:r>
    </w:p>
    <w:p>
      <w:pPr>
        <w:ind w:left="500" w:right="100" w:hanging="162"/>
        <w:spacing w:after="0" w:line="225" w:lineRule="auto"/>
        <w:tabs>
          <w:tab w:leader="none" w:pos="5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 Transactions with other businesses, mainly comprised of wholesale product sales to third-party retailers and licensing our intellectual property, including entertainment properties, for third-party use; and</w:t>
      </w:r>
    </w:p>
    <w:p>
      <w:pPr>
        <w:ind w:left="500" w:hanging="162"/>
        <w:spacing w:after="0" w:line="204" w:lineRule="auto"/>
        <w:tabs>
          <w:tab w:leader="none" w:pos="5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International franchising – Royalties as well as product and fixture sales from other international operations under franchise agreements.</w:t>
      </w:r>
    </w:p>
    <w:p>
      <w:pPr>
        <w:spacing w:after="0" w:line="226" w:lineRule="exact"/>
        <w:rPr>
          <w:sz w:val="20"/>
          <w:szCs w:val="20"/>
          <w:color w:val="auto"/>
        </w:rPr>
      </w:pPr>
    </w:p>
    <w:p>
      <w:pPr>
        <w:ind w:left="20"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and twenty-six weeks ended August 1, 2020 and August 3, 2019 are set forth in the notes to our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220" w:lineRule="exact"/>
        <w:rPr>
          <w:sz w:val="20"/>
          <w:szCs w:val="20"/>
          <w:color w:val="auto"/>
        </w:rPr>
      </w:pPr>
    </w:p>
    <w:p>
      <w:pPr>
        <w:ind w:left="20" w:right="140" w:firstLine="648"/>
        <w:spacing w:after="0" w:line="236" w:lineRule="auto"/>
        <w:rPr>
          <w:sz w:val="20"/>
          <w:szCs w:val="20"/>
          <w:color w:val="auto"/>
        </w:rPr>
      </w:pPr>
      <w:r>
        <w:rPr>
          <w:rFonts w:ascii="Times New Roman" w:cs="Times New Roman" w:eastAsia="Times New Roman" w:hAnsi="Times New Roman"/>
          <w:sz w:val="22"/>
          <w:szCs w:val="22"/>
          <w:color w:val="auto"/>
        </w:rPr>
        <w:t>Our results of operations for the thirteen and twenty-six weeks ended August 1, 2020, were significantly impacted by the effects of COVID-19, reflected by the 60% fewer operating days in the second quarter driven by the significant impact of temporary store closures. As of August 1, 2020, we had reopened approximately 90% of our corporately-managed store locations, many with shortened hours of operations and lower traffic levels. This drove consumer spending to our e-commerce site, which were fully operational throughout the quarter, and which experienced significant digital demand. We embraced this trend and worked to capitalize and leverage our investments to become a more digitally-focused organization:</w:t>
      </w:r>
    </w:p>
    <w:p>
      <w:pPr>
        <w:spacing w:after="0" w:line="235" w:lineRule="exact"/>
        <w:rPr>
          <w:sz w:val="20"/>
          <w:szCs w:val="20"/>
          <w:color w:val="auto"/>
        </w:rPr>
      </w:pPr>
    </w:p>
    <w:p>
      <w:pPr>
        <w:ind w:left="640" w:right="80" w:hanging="221"/>
        <w:spacing w:after="0" w:line="305" w:lineRule="auto"/>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accelerated our omni-channel competencies of "Buy Online, Ship From Store" and "Buy Online, Pick Up In Store" allowing currently operating stores to serve as "mini distribution centers", an efficient shift given the ongoing challenges in traditional retail traffic. Expanded omni-channel allows us to leverage the geographic proximity of stores as well as available labor to help fulfill the continuing strong e-commerce demand;</w:t>
      </w:r>
    </w:p>
    <w:p>
      <w:pPr>
        <w:ind w:left="640" w:right="360" w:hanging="221"/>
        <w:spacing w:after="0" w:line="275"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moved our National Teddy Bear Day event on September 9, 2020, which is a traditionally high traffic store event, to a primarily digital format featuring a live-streaming virtual-store event;</w:t>
      </w:r>
    </w:p>
    <w:p>
      <w:pPr>
        <w:spacing w:after="0" w:line="11" w:lineRule="exact"/>
        <w:rPr>
          <w:rFonts w:ascii="Times New Roman" w:cs="Times New Roman" w:eastAsia="Times New Roman" w:hAnsi="Times New Roman"/>
          <w:sz w:val="18"/>
          <w:szCs w:val="18"/>
          <w:color w:val="auto"/>
        </w:rPr>
      </w:pPr>
    </w:p>
    <w:p>
      <w:pPr>
        <w:ind w:left="640" w:right="380" w:hanging="221"/>
        <w:spacing w:after="0" w:line="316" w:lineRule="auto"/>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introduced our new at-home "Party in a Box" offering available online for families that want to celebrate special occasions - from birthdays to thanking the hero in their lives - with a curated product collection that simulates the party activity that had previously been a store-exclusive.</w:t>
      </w:r>
    </w:p>
    <w:p>
      <w:pPr>
        <w:spacing w:after="0" w:line="1" w:lineRule="exact"/>
        <w:rPr>
          <w:rFonts w:ascii="Times New Roman" w:cs="Times New Roman" w:eastAsia="Times New Roman" w:hAnsi="Times New Roman"/>
          <w:sz w:val="16"/>
          <w:szCs w:val="16"/>
          <w:color w:val="auto"/>
        </w:rPr>
      </w:pPr>
    </w:p>
    <w:p>
      <w:pPr>
        <w:ind w:left="640" w:right="60" w:hanging="221"/>
        <w:spacing w:after="0" w:line="275"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cancelled our highly popular annual in-store "Pay Your Age" promotion due to COVID-19 and replaced it with our first "NO LINE ONLINE Bear Building Sale!" event.</w:t>
      </w:r>
    </w:p>
    <w:p>
      <w:pPr>
        <w:spacing w:after="0" w:line="210" w:lineRule="exact"/>
        <w:rPr>
          <w:sz w:val="20"/>
          <w:szCs w:val="20"/>
          <w:color w:val="auto"/>
        </w:rPr>
      </w:pPr>
    </w:p>
    <w:p>
      <w:pPr>
        <w:ind w:left="20" w:right="40" w:firstLine="648"/>
        <w:spacing w:after="0" w:line="258" w:lineRule="auto"/>
        <w:rPr>
          <w:sz w:val="20"/>
          <w:szCs w:val="20"/>
          <w:color w:val="auto"/>
        </w:rPr>
      </w:pPr>
      <w:r>
        <w:rPr>
          <w:rFonts w:ascii="Times New Roman" w:cs="Times New Roman" w:eastAsia="Times New Roman" w:hAnsi="Times New Roman"/>
          <w:sz w:val="18"/>
          <w:szCs w:val="18"/>
          <w:color w:val="auto"/>
        </w:rPr>
        <w:t>In response to COVID-19, we continued our disciplined expense management and cash preservation across all areas of the business by continuing compensation reductions for all employees including our executive officers, continuing the delay of payment of bonuses and 401(k) contribution plans, and continuing to limit capital expenditures to maintenance levels. During the quarter, the we completed a long-planned corporate reorganization that aligned key functions and leadership roles with our strategic plan allowing us to operate as a leaner simpler organization as a result of attrition and position eliminations.</w:t>
      </w:r>
    </w:p>
    <w:p>
      <w:pPr>
        <w:spacing w:after="0" w:line="183" w:lineRule="exact"/>
        <w:rPr>
          <w:sz w:val="20"/>
          <w:szCs w:val="20"/>
          <w:color w:val="auto"/>
        </w:rPr>
      </w:pPr>
    </w:p>
    <w:p>
      <w:pPr>
        <w:ind w:left="20" w:right="40" w:firstLine="648"/>
        <w:spacing w:after="0" w:line="258" w:lineRule="auto"/>
        <w:rPr>
          <w:sz w:val="20"/>
          <w:szCs w:val="20"/>
          <w:color w:val="auto"/>
        </w:rPr>
      </w:pPr>
      <w:r>
        <w:rPr>
          <w:rFonts w:ascii="Times New Roman" w:cs="Times New Roman" w:eastAsia="Times New Roman" w:hAnsi="Times New Roman"/>
          <w:sz w:val="18"/>
          <w:szCs w:val="18"/>
          <w:color w:val="auto"/>
        </w:rPr>
        <w:t>During the quarter, due to our strong lease flexibility, we renegotiated approximately 95% of the leases within our store lease portfolio resulting in a combination of rent reductions, deferments, and abatements. After these negotiations, the we still maintain strong lease flexibility with over 70% of our leases still coming up for renewal in the next three years. In addition, these negotiations have increased the percentage of our leases with variable rent structures to one-third of our North American fleet, which is intended to increase flexibility in an environment with high sales volatility and provide a natural hedge against potential sales declines.</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Our supply chain experienced no significant disruptions during the quarter and we were able to receive deliveries in a timely manner.</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As disclosed in the “Liquidity and Capital Resources” section herein, as of August 1, 2020, we had total cash and cash equivalents of</w:t>
      </w:r>
    </w:p>
    <w:p>
      <w:pPr>
        <w:spacing w:after="0" w:line="27" w:lineRule="exact"/>
        <w:rPr>
          <w:sz w:val="20"/>
          <w:szCs w:val="20"/>
          <w:color w:val="auto"/>
        </w:rPr>
      </w:pPr>
    </w:p>
    <w:p>
      <w:pPr>
        <w:ind w:left="20" w:right="20"/>
        <w:spacing w:after="0" w:line="260" w:lineRule="auto"/>
        <w:rPr>
          <w:sz w:val="20"/>
          <w:szCs w:val="20"/>
          <w:color w:val="auto"/>
        </w:rPr>
      </w:pPr>
      <w:r>
        <w:rPr>
          <w:rFonts w:ascii="Times New Roman" w:cs="Times New Roman" w:eastAsia="Times New Roman" w:hAnsi="Times New Roman"/>
          <w:sz w:val="18"/>
          <w:szCs w:val="18"/>
          <w:color w:val="auto"/>
        </w:rPr>
        <w:t>$25.3 million and no borrowings under our prior credit agreement. We believe that the above measures we have taken to increase and maintain our liquidity have provided us with sufficient cash flows to operate our business for at least the next 12 months.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The ultimate health and economic impact of the COVID-19 pandemic remains highly uncertain, including the duration and severity of the COVID-19 outbreak, actions taken to contain its spread as well as its impact to consumer discretionary spending and the pace of economic recovery when the pandemic subsides. Therefore, we currently are not able to estimate the full impact of COVID-19 on our financial condition and future results of operations. In the near term, we expect that this situation will have an adverse effect on our reported results for the third fiscal quarter of 2020 and possibly beyond. We will continue to actively monitor the effects of COVID-19 on our business. Imposition of new shelter in place orders or quarantines resulting in periods of store closures, changes in consumer behaviors and reductions of consumer discretionary spending would require us to continue to evaluate our business assumptions and estimates. Such conditions would likely result in lower future net sales and cash flow, which could lead to impairment of our store and other assets, as well as increase the risks associated with excess inventory and bad debt.</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9" w:lineRule="exact"/>
        <w:rPr>
          <w:sz w:val="20"/>
          <w:szCs w:val="20"/>
          <w:color w:val="auto"/>
        </w:rPr>
      </w:pPr>
    </w:p>
    <w:p>
      <w:pPr>
        <w:ind w:left="20" w:right="1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Build-A-Bear Workshop corporately-managed stores in North America, Europe and Asia for the periods presented: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3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August 1, 2020</w:t>
            </w: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August 3, 2019</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2360" w:type="dxa"/>
            <w:vAlign w:val="bottom"/>
          </w:tcPr>
          <w:p>
            <w:pPr>
              <w:spacing w:after="0"/>
              <w:rPr>
                <w:sz w:val="16"/>
                <w:szCs w:val="16"/>
                <w:color w:val="auto"/>
              </w:rPr>
            </w:pPr>
          </w:p>
        </w:tc>
        <w:tc>
          <w:tcPr>
            <w:tcW w:w="110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North</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North</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3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220" w:type="dxa"/>
            <w:vAlign w:val="bottom"/>
          </w:tcPr>
          <w:p>
            <w:pPr>
              <w:spacing w:after="0"/>
              <w:rPr>
                <w:sz w:val="20"/>
                <w:szCs w:val="20"/>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Asia</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Asia</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r>
    </w:tbl>
    <w:p>
      <w:pPr>
        <w:sectPr>
          <w:pgSz w:w="11900" w:h="16878" w:orient="portrait"/>
          <w:cols w:equalWidth="0" w:num="1">
            <w:col w:w="11260"/>
          </w:cols>
          <w:pgMar w:left="300" w:top="112" w:right="339" w:bottom="0" w:gutter="0" w:footer="0" w:header="0"/>
        </w:sectPr>
      </w:pPr>
    </w:p>
    <w:bookmarkStart w:id="18" w:name="page19"/>
    <w:bookmarkEnd w:id="1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3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r>
      <w:tr>
        <w:trPr>
          <w:trHeight w:val="20"/>
        </w:trPr>
        <w:tc>
          <w:tcPr>
            <w:tcW w:w="2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20" w:firstLine="648"/>
        <w:spacing w:after="0" w:line="266" w:lineRule="auto"/>
        <w:rPr>
          <w:sz w:val="20"/>
          <w:szCs w:val="20"/>
          <w:color w:val="auto"/>
        </w:rPr>
      </w:pPr>
      <w:r>
        <w:rPr>
          <w:rFonts w:ascii="Times New Roman" w:cs="Times New Roman" w:eastAsia="Times New Roman" w:hAnsi="Times New Roman"/>
          <w:sz w:val="18"/>
          <w:szCs w:val="18"/>
          <w:color w:val="auto"/>
        </w:rPr>
        <w:t>As of August 1, 2020, 40% of our store base was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traditional malls.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Stores:</w:t>
      </w:r>
    </w:p>
    <w:p>
      <w:pPr>
        <w:spacing w:after="0" w:line="229" w:lineRule="exact"/>
        <w:rPr>
          <w:sz w:val="20"/>
          <w:szCs w:val="20"/>
          <w:color w:val="auto"/>
        </w:rPr>
      </w:pPr>
    </w:p>
    <w:p>
      <w:pPr>
        <w:jc w:val="both"/>
        <w:ind w:left="20" w:right="160" w:firstLine="648"/>
        <w:spacing w:after="0" w:line="266"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merchandise characteristics and guest experience as our corporately-managed stores. As of August 1, 2020, we had nine master franchise agreements, which typically grant franchise rights for a particular country or group of countries, covering an aggregate of 13 countries.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number of franchised stores opened and closed for the periods presented below are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10"/>
        </w:trPr>
        <w:tc>
          <w:tcPr>
            <w:tcW w:w="5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1, 2020</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3, 2019</w:t>
            </w:r>
          </w:p>
        </w:tc>
        <w:tc>
          <w:tcPr>
            <w:tcW w:w="80" w:type="dxa"/>
            <w:vAlign w:val="bottom"/>
          </w:tcPr>
          <w:p>
            <w:pPr>
              <w:spacing w:after="0"/>
              <w:rPr>
                <w:sz w:val="18"/>
                <w:szCs w:val="18"/>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6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5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18"/>
          <w:szCs w:val="18"/>
          <w:color w:val="auto"/>
        </w:rPr>
        <w:t>As of August 1, 2020, 62 franchised stores were operating and 16 remained temporarily closed due to COVID-19. In the ordinary course of business, we anticipate signing additional master franchise agreements in the future and terminating other such agreements. We believe there is a total market potential for approximately 300 international stores outside of the U.S., Canada, the U.K., Ireland and Denmark.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20"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29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8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187"/>
        </w:trPr>
        <w:tc>
          <w:tcPr>
            <w:tcW w:w="322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22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4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22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2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retail </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76.9</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55.9</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74.8</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Store asset impairment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1"/>
        </w:trPr>
        <w:tc>
          <w:tcPr>
            <w:tcW w:w="322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Cost of merchandise sold - commercial</w:t>
            </w:r>
          </w:p>
        </w:tc>
        <w:tc>
          <w:tcPr>
            <w:tcW w:w="1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44.7</w:t>
            </w:r>
          </w:p>
        </w:tc>
        <w:tc>
          <w:tcPr>
            <w:tcW w:w="1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37.9</w:t>
            </w:r>
          </w:p>
        </w:tc>
        <w:tc>
          <w:tcPr>
            <w:tcW w:w="1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44.0</w:t>
            </w: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190"/>
        </w:trPr>
        <w:tc>
          <w:tcPr>
            <w:tcW w:w="32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(1)</w:t>
            </w:r>
          </w:p>
        </w:tc>
        <w:tc>
          <w:tcPr>
            <w:tcW w:w="146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Cost of merchandise sold - international</w:t>
            </w: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7"/>
                <w:szCs w:val="17"/>
                <w:color w:val="auto"/>
              </w:rPr>
              <w:t xml:space="preserve">franchising </w:t>
            </w:r>
            <w:r>
              <w:rPr>
                <w:rFonts w:ascii="Times New Roman" w:cs="Times New Roman" w:eastAsia="Times New Roman" w:hAnsi="Times New Roman"/>
                <w:sz w:val="27"/>
                <w:szCs w:val="27"/>
                <w:color w:val="auto"/>
                <w:vertAlign w:val="superscript"/>
              </w:rPr>
              <w:t>(1)</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87.2</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125.9</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48.5</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16"/>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53.3</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55.5</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(34.7)</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income</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(40.4)</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Retail Gross Margin </w:t>
            </w:r>
            <w:r>
              <w:rPr>
                <w:rFonts w:ascii="Times New Roman" w:cs="Times New Roman" w:eastAsia="Times New Roman" w:hAnsi="Times New Roman"/>
                <w:sz w:val="29"/>
                <w:szCs w:val="29"/>
                <w:color w:val="auto"/>
                <w:vertAlign w:val="superscript"/>
              </w:rPr>
              <w:t>(2)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400" w:right="140" w:hanging="372"/>
        <w:spacing w:after="0" w:line="261" w:lineRule="auto"/>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400" w:right="500" w:hanging="372"/>
        <w:spacing w:after="0" w:line="260" w:lineRule="auto"/>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ectPr>
          <w:pgSz w:w="11900" w:h="16838" w:orient="portrait"/>
          <w:cols w:equalWidth="0" w:num="1">
            <w:col w:w="11260"/>
          </w:cols>
          <w:pgMar w:left="300" w:top="121" w:right="339" w:bottom="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August 1, 2020 compared to thirteen weeks ended August 3, 2019</w:t>
      </w:r>
    </w:p>
    <w:p>
      <w:pPr>
        <w:spacing w:after="0" w:line="227" w:lineRule="exact"/>
        <w:rPr>
          <w:sz w:val="20"/>
          <w:szCs w:val="20"/>
          <w:color w:val="auto"/>
        </w:rPr>
      </w:pPr>
    </w:p>
    <w:p>
      <w:pPr>
        <w:jc w:val="both"/>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decreased 49.1%, in cluding a 48.9% decrease in North America, a 49.6% decrease in Europe, partially offset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triple digit increase in consolidated e-commerce sales.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Net retail sales for the thirteen weeks ended August 1, 2020 were $39.3 million, compared to $75.2 million for the thirteen weeks ended August 3, 2019, a decrease of $35.9 million, or 47.7% compared to the prior year period. The components of this decrease are as follows (dollars in millions):</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Thirteen weeks</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4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August 1, 2020</w:t>
            </w:r>
          </w:p>
        </w:tc>
        <w:tc>
          <w:tcPr>
            <w:tcW w:w="0" w:type="dxa"/>
            <w:vAlign w:val="bottom"/>
          </w:tcPr>
          <w:p>
            <w:pPr>
              <w:spacing w:after="0"/>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 and e-commerce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(33,767)</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estimates</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(35,877)</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retail revenue decrease was the result of the continued temporary closure of our corporately-managed store locations which started in the first quarter. These locations slowly reopened as the second quarter progressed, resulting in less overall operating days compared to the same period in the prior year.</w:t>
      </w:r>
    </w:p>
    <w:p>
      <w:pPr>
        <w:spacing w:after="0" w:line="176"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Commercial revenue was $0.9 million for the thirteen weeks ended August 1, 2020 compared to $3.2 million for the thirteen weeks ended August 3, 2019. The $2.3 million decrease is the result of decreased sales volume from our commercial customers as a result of COVID-19, which we believe</w:t>
      </w:r>
    </w:p>
    <w:p>
      <w:pPr>
        <w:ind w:right="20"/>
        <w:spacing w:after="0" w:line="260" w:lineRule="auto"/>
        <w:rPr>
          <w:sz w:val="20"/>
          <w:szCs w:val="20"/>
          <w:color w:val="auto"/>
        </w:rPr>
      </w:pPr>
      <w:r>
        <w:rPr>
          <w:rFonts w:ascii="Times New Roman" w:cs="Times New Roman" w:eastAsia="Times New Roman" w:hAnsi="Times New Roman"/>
          <w:sz w:val="18"/>
          <w:szCs w:val="18"/>
          <w:color w:val="auto"/>
        </w:rPr>
        <w:t>is principally because the third-party retail locations serviced by our commercial customers were either closed or operated under restrictions for a portion or all of the second quarter.</w:t>
      </w:r>
    </w:p>
    <w:p>
      <w:pPr>
        <w:spacing w:after="0" w:line="181"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International franchising revenue was $0.1 million for the thirteen weeks ended August 1, 2020 compared to $0.8 million for the thirteen weeks ended August 3, 2019. The $0.7 million decrease is primarily due to closures of franchise locations due to the COVID-19 pandemic and a reduction in new store openings resulting in a lack of inventory and fixture purposes to support these openings.</w:t>
      </w:r>
    </w:p>
    <w:p>
      <w:pPr>
        <w:spacing w:after="0" w:line="17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decreased $24.1 million to $9.1 million compared to the thirteen weeks ended August 3,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retail gross margin rate decreased 2,099 basis points primarily driven by fixed occupancy costs recorded through the end of the second quarter despite temporary store closures beginning on March 18, 2020, increased warehouse and distribution costs, both partially offset by an increase in merchandise margin.</w:t>
      </w:r>
    </w:p>
    <w:p>
      <w:pPr>
        <w:spacing w:after="0" w:line="180"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 assets, including right-of-use assets. </w:t>
      </w:r>
      <w:r>
        <w:rPr>
          <w:rFonts w:ascii="Times New Roman" w:cs="Times New Roman" w:eastAsia="Times New Roman" w:hAnsi="Times New Roman"/>
          <w:sz w:val="18"/>
          <w:szCs w:val="18"/>
          <w:color w:val="auto"/>
        </w:rPr>
        <w:t>As a result of the COVID-19 pandemic, we experienced lower than projected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and identified indicators of impairment for our store fleet. We performed an undiscounted future cash flow analysis over the long-lived assets and right-of-use assets for the remaining useful life of the assets and determined that certain stores had long-lived and right-of-use assets with carrying values that exceeded their estimated undiscounted future cash flows. We estimated fair values of these long-lived assets based on our discounted future cash flows or market rent assessments. Our analysis indicated that the carrying values of our long-lived assets exceeded their respective fair values. As a result, we recognized an impairment charge of $2.1 million for the thirteen weeks ended August 1, 2020. with approximately $1.2 million for right-of-use operating lease assets and $0.9 million for fixed assets including leasehold improvements, fixtures, furniture and fixtures, machinery and equipment, and construction-in-progress. These charges are recorded in Store asset impairment within the Condensed Consolidated Statement of Operations and Comprehensive (Loss) Income for the respective periods. These impairment charges were primarily driven by lower than projected revenues and the effect of store closures as a result of the COVID-19 pandemic. The majority of the impairment was recorded for assets associated with stores in North America. For the thirteen weeks ended August 3, 2019, we recorded no impairment charges.</w:t>
      </w:r>
    </w:p>
    <w:p>
      <w:pPr>
        <w:spacing w:after="0" w:line="192"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$21.5 million for the thirteen weeks ended August 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decrease of $14.2 million compared to the thirteen weeks ended August 3, 2019. The decline was primarily due to lower labor costs resulting from temporary store closures and employee furloughs due to the COVID-19 pandemic, salary reductions, position eliminations, and reduced marketing costs.</w:t>
      </w:r>
    </w:p>
    <w:p>
      <w:pPr>
        <w:spacing w:after="0" w:line="17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expense was $7,000 for the thirteen weeks ended August 1, 2020 compared to interest income of $7,000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thirteen weeks ended August 3, 2019.</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Benefit/Provision for income taxes</w:t>
      </w:r>
      <w:r>
        <w:rPr>
          <w:rFonts w:ascii="Times New Roman" w:cs="Times New Roman" w:eastAsia="Times New Roman" w:hAnsi="Times New Roman"/>
          <w:sz w:val="18"/>
          <w:szCs w:val="18"/>
          <w:color w:val="auto"/>
        </w:rPr>
        <w:t>. Income tax provision was a benefit of less than $0.1 million with a tax rate of 0.5% for the thirteen weeks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August 1, 2020 as compared to income tax expense of $0.5 million with a tax rate of -65.1% for the thirteen weeks ended August 3, 2019. In the second quarter of fiscal 2020, the effective tax rate differed from the statutory rate of 21% primarily due to no tax benefit being recorded on the current period pretax loss as a full valuation allowance has now been recorded globally. In the second quarter of fiscal 2019, the effective tax rate differed from the statutory rate of 21% primarily due to the valuation allowance being recorded in certain foreign loss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Twenty-six weeks ended August 1, 2020 compared to twenty-six weeks ended August 3, 2019</w:t>
      </w:r>
    </w:p>
    <w:p>
      <w:pPr>
        <w:spacing w:after="0" w:line="227"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decreased 46.8%, including a 47.2% decrease in North America and a 44.0% decrease in Europe,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triple digit increase in consolidated e-commerce sales.</w:t>
      </w:r>
    </w:p>
    <w:p>
      <w:pPr>
        <w:sectPr>
          <w:pgSz w:w="11900" w:h="16838" w:orient="portrait"/>
          <w:cols w:equalWidth="0" w:num="1">
            <w:col w:w="11240"/>
          </w:cols>
          <w:pgMar w:left="320" w:top="117" w:right="339" w:bottom="0" w:gutter="0" w:footer="0" w:header="0"/>
        </w:sectPr>
      </w:pPr>
    </w:p>
    <w:bookmarkStart w:id="20" w:name="page21"/>
    <w:bookmarkEnd w:id="20"/>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retail sales for the twenty-six weeks ended August 1, 2020 were $85.0 million, compared to $156.3 million for the twenty-six 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2019, a decrease of $71.3 million, or 45.6%. The components of this decrease are as follows (dollars in millions):</w:t>
      </w:r>
    </w:p>
    <w:p>
      <w:pPr>
        <w:spacing w:after="0" w:line="203"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Twenty-six weeks</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00" w:type="dxa"/>
            <w:vAlign w:val="bottom"/>
          </w:tcPr>
          <w:p>
            <w:pPr>
              <w:spacing w:after="0"/>
              <w:rPr>
                <w:sz w:val="20"/>
                <w:szCs w:val="20"/>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August 1, 2020</w:t>
            </w:r>
          </w:p>
        </w:tc>
        <w:tc>
          <w:tcPr>
            <w:tcW w:w="0" w:type="dxa"/>
            <w:vAlign w:val="bottom"/>
          </w:tcPr>
          <w:p>
            <w:pPr>
              <w:spacing w:after="0"/>
              <w:rPr>
                <w:sz w:val="1"/>
                <w:szCs w:val="1"/>
                <w:color w:val="auto"/>
              </w:rPr>
            </w:pPr>
          </w:p>
        </w:tc>
      </w:tr>
      <w:tr>
        <w:trPr>
          <w:trHeight w:val="209"/>
        </w:trPr>
        <w:tc>
          <w:tcPr>
            <w:tcW w:w="79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 and e-commerce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(66,280)</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(3,966)</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estimates</w:t>
            </w:r>
          </w:p>
        </w:tc>
        <w:tc>
          <w:tcPr>
            <w:tcW w:w="1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(71,278)</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The retail revenue decrease was the result of the closure of all of our corporately managed stores beginning on March 18, 2020 with reopenings occurring throughout the second quarter resulting in less operating days over the first half of the fiscal year compared to the same period in prior year..</w:t>
      </w:r>
    </w:p>
    <w:p>
      <w:pPr>
        <w:spacing w:after="0" w:line="14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Commercial revenue was $1.2 million for the twenty-six weeks ended August 1, 2020 compared to $5.9 million for the twenty-six weeks ended August 3, 2019. The $4.7 million decrease is the result of decreased sales volume from our commercial customers as a result of COVID-19, which we believe is principally because the third-party retail locations serviced by our commercial customers were either closed or operated under restrictions for a portion of the first half of the fiscal year.</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$0.8 million for the twenty-six weeks ended August 1, 2020 compared to $1.4 million for the twenty-six weeks ended August 3, 2019. The $0.6 million decrease is primarily due to closures of franchise locations due to the COVID-19 pandemic.</w:t>
      </w:r>
    </w:p>
    <w:p>
      <w:pPr>
        <w:spacing w:after="0" w:line="160"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decreased $48.4 million to $21.4 million compared to the twenty-six weeks ended August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The retail gross margin rate decreased 1,950 basis points primarily driven by fixed occupancy costs recorded during the year despite store closures as well as a deleverage of warehouse and distribution costs.</w:t>
      </w:r>
    </w:p>
    <w:p>
      <w:pPr>
        <w:spacing w:after="0" w:line="17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 assets, including right-of-use assets. </w:t>
      </w:r>
      <w:r>
        <w:rPr>
          <w:rFonts w:ascii="Times New Roman" w:cs="Times New Roman" w:eastAsia="Times New Roman" w:hAnsi="Times New Roman"/>
          <w:sz w:val="18"/>
          <w:szCs w:val="18"/>
          <w:color w:val="auto"/>
        </w:rPr>
        <w:t>As a result of the COVID-19 pandemic, we experienced lower than projected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and identified indicators of impairment for our store fleet. We performed undiscounted future cash flow analysis over the long-lived assets and right-of-use assets for the remaining useful life of the asset and determined that certain stores had long-lived and right-of-use assets with carrying values that exceeded their estimated undiscounted future cash flows. We estimated fair values of these long-lived assets based on our discounted future cash flows or market rent assessments. Our analysis indicated that the carrying values of our long-lived assets exceeded their respective fair values. For the twenty-six weeks ended August 1, 2020 we recognized impairment charges totaling $6.9 million, with approximately $3.6 million for right-of-use operating lease assets and $3.3 million for fixed assets including leasehold improvements, fixtures, furniture and fixtures, machinery and equipment, and construction-in-progress. These charges are recorded in Store asset impairment within the Condensed Consolidated Statement of Operations and Comprehensive (Loss) Income for the respective periods. These impairment charges were primarily driven by lower than projected revenues and the effect of temporary store closures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result of the COVID-19 pandemic. The majority of the impairment was recorded for assets associated with stores in North America. For the twenty-six weeks ended August 3, 2019, impairment charges of $5.9 million on right-of-use assets were recorded into retained earnings as a result of the adoption of ASC 842 Leases.</w:t>
      </w:r>
    </w:p>
    <w:p>
      <w:pPr>
        <w:spacing w:after="0" w:line="17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$48.2 million for the twenty-six weeks ended August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 decrease of $23.3 million compared to the twenty-six weeks ended August 3, 2019. The decline was primarily due to lower labor costs resulting from temporary store closures, salary reductions and employee furloughs due to the COVID-19 pandemic, a corporate reorganization as well as a decrease in marketing spend and variable sales fees.</w:t>
      </w:r>
    </w:p>
    <w:p>
      <w:pPr>
        <w:spacing w:after="0" w:line="180"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income was $4,000 for the twenty-six weeks ended August 1, 2020 compared to interest expense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$14,000 for the twenty-six weeks ended August 3, 2019.</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Benefit/Provision for income taxes</w:t>
      </w:r>
      <w:r>
        <w:rPr>
          <w:rFonts w:ascii="Times New Roman" w:cs="Times New Roman" w:eastAsia="Times New Roman" w:hAnsi="Times New Roman"/>
          <w:sz w:val="18"/>
          <w:szCs w:val="18"/>
          <w:color w:val="auto"/>
        </w:rPr>
        <w:t>. Income tax expense was $2.5 million with a tax rate of -7.5% for the twenty-six weeks ended August 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income tax expense of $1.7 million with a tax rate of 101.7% for the twenty-six weeks ended August 3, 2019. In the first half of fiscal 2020, the effective tax rate differed from the statutory rate of 21% primarily due to no tax benefit being recorded on the current period pretax loss as a full valuation allowance has now been recorded globally. In addition, the first half of fiscal 2020 was impacted by the $3.3 million valuation allowance recorded on the beginning balance of the net deferred tax assets in certain jurisdictions. In the first half of fiscal 2019, the effective tax rate differed from the statutory rate of 21% primarily due to the valuation allowance being recorded in certain foreign loss companies and the $0.2 million tax impact of equity awards vesting.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7"/>
          <w:szCs w:val="17"/>
          <w:color w:val="auto"/>
        </w:rPr>
        <w:t>Our operating results for one period may not be indicative of results for other periods, and may fluctuate significantly because of a variety of factors, including, but not limited to: (1) changes in general economic conditions (including as a result of the COVID-19 pandemic and tariffs) and consumer spending patterns; (2) changes in store operations due to our continuing assessment of and response to the COVID-19 pandemic apart from its effect on the general economy, including temporary store closures or additional social distancing and sanitation practices recommended by federal, state or local authorities; (3) increases or decreases in our existing store and e-commerce sales; (4) fluctuations in the profitability of our stores; (5) the timing and frequency of the sales of licensed products tied to major theatrical releases,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w:t>
      </w:r>
    </w:p>
    <w:p>
      <w:pPr>
        <w:sectPr>
          <w:pgSz w:w="11900" w:h="16904" w:orient="portrait"/>
          <w:cols w:equalWidth="0" w:num="1">
            <w:col w:w="11240"/>
          </w:cols>
          <w:pgMar w:left="320" w:top="337" w:right="339" w:bottom="0" w:gutter="0" w:footer="0" w:header="0"/>
        </w:sectPr>
      </w:pPr>
    </w:p>
    <w:bookmarkStart w:id="21" w:name="page22"/>
    <w:bookmarkEnd w:id="21"/>
    <w:p>
      <w:pPr>
        <w:ind w:left="40" w:right="480"/>
        <w:spacing w:after="0" w:line="282" w:lineRule="auto"/>
        <w:rPr>
          <w:sz w:val="20"/>
          <w:szCs w:val="20"/>
          <w:color w:val="auto"/>
        </w:rPr>
      </w:pPr>
      <w:r>
        <w:rPr>
          <w:rFonts w:ascii="Times New Roman" w:cs="Times New Roman" w:eastAsia="Times New Roman" w:hAnsi="Times New Roman"/>
          <w:sz w:val="18"/>
          <w:szCs w:val="18"/>
          <w:color w:val="auto"/>
        </w:rPr>
        <w:t>tenants; (11) seasonal shopping patterns and holiday and vacation schedules; (12) disruptions in store operations due to civil unrest; and (13) weather conditions.</w:t>
      </w:r>
    </w:p>
    <w:p>
      <w:pPr>
        <w:spacing w:after="0" w:line="162" w:lineRule="exact"/>
        <w:rPr>
          <w:sz w:val="20"/>
          <w:szCs w:val="20"/>
          <w:color w:val="auto"/>
        </w:rPr>
      </w:pPr>
    </w:p>
    <w:p>
      <w:pPr>
        <w:ind w:left="40" w:right="80" w:firstLine="648"/>
        <w:spacing w:after="0" w:line="281" w:lineRule="auto"/>
        <w:rPr>
          <w:sz w:val="20"/>
          <w:szCs w:val="20"/>
          <w:color w:val="auto"/>
        </w:rPr>
      </w:pPr>
      <w:r>
        <w:rPr>
          <w:rFonts w:ascii="Times New Roman" w:cs="Times New Roman" w:eastAsia="Times New Roman" w:hAnsi="Times New Roman"/>
          <w:sz w:val="17"/>
          <w:szCs w:val="17"/>
          <w:color w:val="auto"/>
        </w:rPr>
        <w:t>The timing of store closures, relocations, remodels and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64" w:lineRule="exact"/>
        <w:rPr>
          <w:sz w:val="20"/>
          <w:szCs w:val="20"/>
          <w:color w:val="auto"/>
        </w:rPr>
      </w:pPr>
    </w:p>
    <w:p>
      <w:pPr>
        <w:ind w:left="40" w:right="60" w:firstLine="648"/>
        <w:spacing w:after="0" w:line="258" w:lineRule="auto"/>
        <w:rPr>
          <w:sz w:val="20"/>
          <w:szCs w:val="20"/>
          <w:color w:val="auto"/>
        </w:rPr>
      </w:pPr>
      <w:r>
        <w:rPr>
          <w:rFonts w:ascii="Times New Roman" w:cs="Times New Roman" w:eastAsia="Times New Roman" w:hAnsi="Times New Roman"/>
          <w:sz w:val="18"/>
          <w:szCs w:val="18"/>
          <w:color w:val="auto"/>
        </w:rPr>
        <w:t>Because our retail operations have toy products which have sales that historically peak in relation to the holiday season as part of our revenue model, our sales are highest in our fourth quarter. The timing of holidays and school vacations can impact our quarterly results. We cannot provide assurance that this will continue to be the case. We are also unable to assess whether the COVID-19 pandemic will significantly affect this trend during the upcoming holiday season. In addition, for accounting purposes, the quarters of each fiscal year consist of 13 weeks, although we will have a 14-week quarter approximately once every six years. For example, the 2014 fiscal fourth quarter had 14 weeks.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60" w:firstLine="648"/>
        <w:spacing w:after="0" w:line="261" w:lineRule="auto"/>
        <w:rPr>
          <w:sz w:val="20"/>
          <w:szCs w:val="20"/>
          <w:color w:val="auto"/>
        </w:rPr>
      </w:pPr>
      <w:r>
        <w:rPr>
          <w:rFonts w:ascii="Times New Roman" w:cs="Times New Roman" w:eastAsia="Times New Roman" w:hAnsi="Times New Roman"/>
          <w:sz w:val="18"/>
          <w:szCs w:val="18"/>
          <w:color w:val="auto"/>
        </w:rPr>
        <w:t>As of August 1, 2020, we had a consolidated cash balance of $25.3 million and approximately 82% of this balance was domiciled within the United States.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4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ind w:left="40" w:right="20" w:firstLine="648"/>
        <w:spacing w:after="0" w:line="252" w:lineRule="auto"/>
        <w:rPr>
          <w:sz w:val="20"/>
          <w:szCs w:val="20"/>
          <w:color w:val="auto"/>
        </w:rPr>
      </w:pPr>
      <w:r>
        <w:rPr>
          <w:rFonts w:ascii="Times New Roman" w:cs="Times New Roman" w:eastAsia="Times New Roman" w:hAnsi="Times New Roman"/>
          <w:sz w:val="18"/>
          <w:szCs w:val="18"/>
          <w:color w:val="auto"/>
        </w:rPr>
        <w:t>On August 25, 2020, we entered into a Revolving Credit and Security Agreement with PNC Bank, National Association, as agent. The agreement provides for a senior secured revolving loan in aggregate principal amount of up to $25,000,000 (subject to a borrowing base formula), which may be increased with the consent of the lenders by an amount not to exceed $25,000,000. Borrowings under the agreement bear interest at (a) a base rate determined under the agreement, or (b) the borrower's option, at a rate based on LIBOR, plus in either case a margin based on average undrawn availability as determined in accordance with the agreement. The agreement matures on August 25, 2025 (unless terminated earlier in accordance with its terms) and requires compliance with conditions precedent that must be satisfied prior to any borrowing. The agreement also contains various representations, warranties and covenants that we consider customary for an asset-based credit facility. The agreement requires us to comply with one financial covenant, specifically, that we maintain availability (as determined in accordance with the agreement) at all times equal to or greater than the greater of (a) 12.5% of the loan cap and (b) $3,125,000 (subject to increase upon exercise of the increase option). The “loan cap” is the lesser of (1) $25,000,000 less the outstanding amount of loans and letters of credit under the agreement and (2) the borrowing base from time to time under the agreement. The agreement also contains various information and reporting requirements and provides for various fees customary for an asset-based lending facility. We anticipate the annual costs of maintaining the agreement, including interest and fees, will be between $500,000 and $600,000. The agreement contains customary events of default, including without limitation events of default based on payment obligations, material inaccuracies of representations and warranties, covenant defaults, final judgments and orders, unenforceability of the agreement, material ERISA events, change in control, insolvency proceedings, and defaults under certain other obligations.</w:t>
      </w:r>
    </w:p>
    <w:p>
      <w:pPr>
        <w:spacing w:after="0" w:line="196" w:lineRule="exact"/>
        <w:rPr>
          <w:sz w:val="20"/>
          <w:szCs w:val="20"/>
          <w:color w:val="auto"/>
        </w:rPr>
      </w:pPr>
    </w:p>
    <w:p>
      <w:pPr>
        <w:ind w:left="40" w:right="220" w:firstLine="648"/>
        <w:spacing w:after="0" w:line="258" w:lineRule="auto"/>
        <w:rPr>
          <w:sz w:val="20"/>
          <w:szCs w:val="20"/>
          <w:color w:val="auto"/>
        </w:rPr>
      </w:pPr>
      <w:r>
        <w:rPr>
          <w:rFonts w:ascii="Times New Roman" w:cs="Times New Roman" w:eastAsia="Times New Roman" w:hAnsi="Times New Roman"/>
          <w:sz w:val="18"/>
          <w:szCs w:val="18"/>
          <w:color w:val="auto"/>
        </w:rPr>
        <w:t>An event of default may cause the applicable interest rate and fees to increase by 2% until such event of default has been cured, waived, or amended. The agreement contains typical negative covenants, including, among other things, that the borrower will not incur indebtedness except for permitted indebtedness or make any investments except for permitted investments, declare dividends or repurchase its stock except as permitted, acquire any subsidiaries except in connection with a permitted acquisition, or merge or consolidate with any other entity or acquire all or substantially all of the assets of any other company outside the ordinary course of business.</w:t>
      </w:r>
    </w:p>
    <w:p>
      <w:pPr>
        <w:spacing w:after="0" w:line="183" w:lineRule="exact"/>
        <w:rPr>
          <w:sz w:val="20"/>
          <w:szCs w:val="20"/>
          <w:color w:val="auto"/>
        </w:rPr>
      </w:pPr>
    </w:p>
    <w:p>
      <w:pPr>
        <w:ind w:left="40" w:right="160" w:firstLine="648"/>
        <w:spacing w:after="0" w:line="282" w:lineRule="auto"/>
        <w:rPr>
          <w:sz w:val="20"/>
          <w:szCs w:val="20"/>
          <w:color w:val="auto"/>
        </w:rPr>
      </w:pPr>
      <w:r>
        <w:rPr>
          <w:rFonts w:ascii="Times New Roman" w:cs="Times New Roman" w:eastAsia="Times New Roman" w:hAnsi="Times New Roman"/>
          <w:sz w:val="18"/>
          <w:szCs w:val="18"/>
          <w:color w:val="auto"/>
        </w:rPr>
        <w:t>At the closing date of the credit agreement, we had no outstanding indebtedness under the Credit Agreement. An aggregate of slightly more than $10 million was available for borrowing under the agreement as of the closing date.</w:t>
      </w:r>
    </w:p>
    <w:p>
      <w:pPr>
        <w:spacing w:after="0" w:line="162" w:lineRule="exact"/>
        <w:rPr>
          <w:sz w:val="20"/>
          <w:szCs w:val="20"/>
          <w:color w:val="auto"/>
        </w:rPr>
      </w:pPr>
    </w:p>
    <w:p>
      <w:pPr>
        <w:ind w:left="40" w:firstLine="648"/>
        <w:spacing w:after="0" w:line="256" w:lineRule="auto"/>
        <w:rPr>
          <w:sz w:val="20"/>
          <w:szCs w:val="20"/>
          <w:color w:val="auto"/>
        </w:rPr>
      </w:pPr>
      <w:r>
        <w:rPr>
          <w:rFonts w:ascii="Times New Roman" w:cs="Times New Roman" w:eastAsia="Times New Roman" w:hAnsi="Times New Roman"/>
          <w:sz w:val="18"/>
          <w:szCs w:val="18"/>
          <w:color w:val="auto"/>
        </w:rPr>
        <w:t>Additionally, on August 25, 2020, upon execution of the agreement with PNC Bank, we terminated our existing bank credit line with U.S. Bank, under the Fourth Amended and Restated Loan Agreement, as amended as of May 28, 2020. The former agreement with U.S. Bank provided for a maximum borrowing capacity of up to $10,000,000, subject to compliance with certain financial tests. The former credit agreement would have matured on September 30, 2020. At the time of termination, we did not have any outstanding borrowings under the agreement with U.S. Bank and was in compliance with the amended covenants set forth in the former credit agreement. Our outstanding $1.0 million letter of credit under the agreement with U.S. Bank will remain outstanding subject to cash collateralization provided by us to U.S. Bank.</w:t>
      </w:r>
    </w:p>
    <w:p>
      <w:pPr>
        <w:spacing w:after="0" w:line="187" w:lineRule="exact"/>
        <w:rPr>
          <w:sz w:val="20"/>
          <w:szCs w:val="20"/>
          <w:color w:val="auto"/>
        </w:rPr>
      </w:pPr>
    </w:p>
    <w:p>
      <w:pPr>
        <w:ind w:right="260"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foregoing, in response to the COVID-19 pandemic, we have taken other actions to preserve and fortify our liquidity, including reducing and deferring various operating and other expenses, temporarily furloughing employees, position eliminations, or reducing employee salaries, engaging in discussions with our landlords to negotiate better lease terms, reducing planned capital expenditures, and entering into a new revolving credit facility. In addition, we do not plan to utilize our cash to repurchase shares in fiscal 2020 in order to preserve our cash position. Our ability to repurchase shares is limited by conditions set forth by our lender in our credit agreement, as described above. We believe that the above measures taken to increase and maintain our liquidity, including the new revolving credit agreement, together with cash generated from operations will be sufficient to fund our working capital and other cash flow requirements for at least the next 12 months. We continue to explore other options to access alternative liquidity sources which may include various government assistance programs and monetization of existing assets, and we will continue to consider other actions to improve our cash position, including but not limited to implementing further Selling, general and administrative expense reductions and foregoing or delaying capital expenditures.</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4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is shown in the following table (dollars in thousands):</w:t>
      </w:r>
    </w:p>
    <w:p>
      <w:pPr>
        <w:sectPr>
          <w:pgSz w:w="11900" w:h="16838" w:orient="portrait"/>
          <w:cols w:equalWidth="0" w:num="1">
            <w:col w:w="11260"/>
          </w:cols>
          <w:pgMar w:left="280" w:top="121" w:right="359"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b w:val="1"/>
          <w:bCs w:val="1"/>
          <w:color w:val="auto"/>
        </w:rPr>
        <w:t>Twenty-six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27305</wp:posOffset>
            </wp:positionV>
            <wp:extent cx="21774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ectPr>
          <w:pgSz w:w="11900" w:h="16838" w:orient="portrait"/>
          <w:cols w:equalWidth="0" w:num="1">
            <w:col w:w="11260"/>
          </w:cols>
          <w:pgMar w:left="280" w:top="121" w:right="359" w:bottom="0" w:gutter="0" w:footer="0" w:header="0"/>
          <w:type w:val="continuous"/>
        </w:sectPr>
      </w:pPr>
    </w:p>
    <w:bookmarkStart w:id="22" w:name="page23"/>
    <w:bookmarkEnd w:id="22"/>
    <w:p>
      <w:pPr>
        <w:spacing w:after="0" w:line="35"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August 1,</w:t>
            </w:r>
          </w:p>
        </w:tc>
        <w:tc>
          <w:tcPr>
            <w:tcW w:w="28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August 3,</w:t>
            </w:r>
          </w:p>
        </w:tc>
      </w:tr>
      <w:tr>
        <w:trPr>
          <w:trHeight w:val="238"/>
        </w:trPr>
        <w:tc>
          <w:tcPr>
            <w:tcW w:w="6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(3,378)</w:t>
            </w:r>
          </w:p>
        </w:tc>
        <w:tc>
          <w:tcPr>
            <w:tcW w:w="2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(4,945)</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r>
      <w:tr>
        <w:trPr>
          <w:trHeight w:val="20"/>
        </w:trPr>
        <w:tc>
          <w:tcPr>
            <w:tcW w:w="6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(2,990)</w:t>
            </w:r>
          </w:p>
        </w:tc>
      </w:tr>
    </w:tbl>
    <w:p>
      <w:pPr>
        <w:spacing w:after="0" w:line="196" w:lineRule="exact"/>
        <w:rPr>
          <w:sz w:val="20"/>
          <w:szCs w:val="20"/>
          <w:color w:val="auto"/>
        </w:rPr>
      </w:pPr>
    </w:p>
    <w:p>
      <w:pPr>
        <w:ind w:left="20"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increased $0.6 million for the twenty-six weeks ended August 1, 2020,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twenty-six weeks ended August 3, 2019. This increase in cash from operating activities was primarily driven by a focus on working capital management resulting in less inventory purchases compared to the same period in the prior year, reduced marketing spend and the temporary extension of payment terms with vendors and landlords.</w:t>
      </w:r>
    </w:p>
    <w:p>
      <w:pPr>
        <w:spacing w:after="0" w:line="180" w:lineRule="exact"/>
        <w:rPr>
          <w:sz w:val="20"/>
          <w:szCs w:val="20"/>
          <w:color w:val="auto"/>
        </w:rPr>
      </w:pPr>
    </w:p>
    <w:p>
      <w:pPr>
        <w:ind w:left="20" w:righ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decreased $1.6 million for the twenty-six weeks ended August 1, 2020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twenty-six weeks ended August 3, 2019. This decrease in cash from investing activities was primarily driven by reductions in planned capital expenditure as a result of the COVID-19 pandemic.</w:t>
      </w:r>
    </w:p>
    <w:p>
      <w:pPr>
        <w:spacing w:after="0" w:line="173" w:lineRule="exact"/>
        <w:rPr>
          <w:sz w:val="20"/>
          <w:szCs w:val="20"/>
          <w:color w:val="auto"/>
        </w:rPr>
      </w:pPr>
    </w:p>
    <w:p>
      <w:pPr>
        <w:jc w:val="both"/>
        <w:ind w:left="20"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decreased $0.1 million for the twenty-six weeks ended August 1, 2020,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twenty-six weeks ended August 3, 2019. This decrease in cash from financing activities was driven by less stock-based compensation vesting year-to-date in fiscal 2020 compared the same period in prior year resulting in the need for less shares withheld for taxes.</w:t>
      </w:r>
    </w:p>
    <w:p>
      <w:pPr>
        <w:spacing w:after="0" w:line="173" w:lineRule="exact"/>
        <w:rPr>
          <w:sz w:val="20"/>
          <w:szCs w:val="20"/>
          <w:color w:val="auto"/>
        </w:rPr>
      </w:pPr>
    </w:p>
    <w:p>
      <w:pPr>
        <w:ind w:left="20" w:right="3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As noted above, as of August 1, 2020, we had a consolidated cash balance of $25.3 million and approximately 82%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was domiciled within the United States. On August 25, 2020, Build-A-Bear Workshop, Inc. entered into a Revolving Credit and Security Agreement with PNC Bank, National Association, as agent, unlocking additional capital resources for our use . Refer to foregoing sections for further discussion of this new facility.</w:t>
      </w:r>
    </w:p>
    <w:p>
      <w:pPr>
        <w:spacing w:after="0" w:line="18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Most of our retail stores are located within shopping malls and all are operated under leases classified as operating leases. Our leases in North America have shifted to shorter term leases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new leases contain incentives to help defray the cost of construction of a new store. Typically, a portion of the incentive must be repaid to the landlord if we choose to terminate the lease before the end of its initial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9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Real estate taxes also change according to government time schedules to reflect current market rental rates for the locations we lease. However, for fiscal 2020, business rates have been forgiven by the U.K. government through March 2021. Rents are invoiced monthly or quarterly and paid in advance.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ind w:left="20"/>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ind w:left="20" w:right="260" w:firstLine="648"/>
        <w:spacing w:after="0" w:line="266" w:lineRule="auto"/>
        <w:rPr>
          <w:sz w:val="20"/>
          <w:szCs w:val="20"/>
          <w:color w:val="auto"/>
        </w:rPr>
      </w:pPr>
      <w:r>
        <w:rPr>
          <w:rFonts w:ascii="Times New Roman" w:cs="Times New Roman" w:eastAsia="Times New Roman" w:hAnsi="Times New Roman"/>
          <w:sz w:val="18"/>
          <w:szCs w:val="18"/>
          <w:color w:val="auto"/>
        </w:rPr>
        <w:t>Capital spending through the twenty-six weeks ended August 1, 2020 totaled $3.4 million, which reflects previously committed investments in infrastructure to support our digital initiatives. In response to the COVID-19 pandemic, we have reduced future planned capital expenditures in fiscal 2020 to maintenance levels.</w:t>
      </w:r>
    </w:p>
    <w:p>
      <w:pPr>
        <w:spacing w:after="0" w:line="176" w:lineRule="exact"/>
        <w:rPr>
          <w:sz w:val="20"/>
          <w:szCs w:val="20"/>
          <w:color w:val="auto"/>
        </w:rPr>
      </w:pPr>
    </w:p>
    <w:p>
      <w:pPr>
        <w:ind w:left="20" w:firstLine="648"/>
        <w:spacing w:after="0" w:line="258" w:lineRule="auto"/>
        <w:rPr>
          <w:sz w:val="20"/>
          <w:szCs w:val="20"/>
          <w:color w:val="auto"/>
        </w:rPr>
      </w:pPr>
      <w:r>
        <w:rPr>
          <w:rFonts w:ascii="Times New Roman" w:cs="Times New Roman" w:eastAsia="Times New Roman" w:hAnsi="Times New Roman"/>
          <w:sz w:val="18"/>
          <w:szCs w:val="18"/>
          <w:color w:val="auto"/>
        </w:rPr>
        <w:t>In August 2017, our Board of Directors adopted a share repurchase program authorizing the repurchase of up to $20 million of our common stock. From the date of the program approval through August 1, 2020, we repurchased a total of 1.3 million shares at an average price of $8.75 per share for an aggregate amount of $11.2 million. Although we had $8.8 million of availability under the 2017 Share Repurchase Program as of May 2, 2020, currently we do not plan to utilize our cash to resume share repurchases in fiscal 2020. In addition, our ability to repurchase shares is limited by conditions set forth by our lender in our credit agreement, as described above.</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20" w:right="260" w:firstLine="648"/>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20" w:right="4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left="20"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76" w:lineRule="exact"/>
        <w:rPr>
          <w:sz w:val="20"/>
          <w:szCs w:val="20"/>
          <w:color w:val="auto"/>
        </w:rPr>
      </w:pPr>
    </w:p>
    <w:p>
      <w:pPr>
        <w:ind w:left="20" w:right="220" w:firstLine="648"/>
        <w:spacing w:after="0" w:line="282" w:lineRule="auto"/>
        <w:rPr>
          <w:sz w:val="20"/>
          <w:szCs w:val="20"/>
          <w:color w:val="auto"/>
        </w:rPr>
      </w:pPr>
      <w:r>
        <w:rPr>
          <w:rFonts w:ascii="Times New Roman" w:cs="Times New Roman" w:eastAsia="Times New Roman" w:hAnsi="Times New Roman"/>
          <w:sz w:val="18"/>
          <w:szCs w:val="18"/>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w:t>
      </w:r>
    </w:p>
    <w:p>
      <w:pPr>
        <w:sectPr>
          <w:pgSz w:w="11900" w:h="16873" w:orient="portrait"/>
          <w:cols w:equalWidth="0" w:num="1">
            <w:col w:w="11220"/>
          </w:cols>
          <w:pgMar w:left="300" w:top="117" w:right="379" w:bottom="0" w:gutter="0" w:footer="0" w:header="0"/>
        </w:sectPr>
      </w:pPr>
    </w:p>
    <w:bookmarkStart w:id="23" w:name="page24"/>
    <w:bookmarkEnd w:id="23"/>
    <w:p>
      <w:pPr>
        <w:ind w:right="160"/>
        <w:spacing w:after="0" w:line="282" w:lineRule="auto"/>
        <w:rPr>
          <w:sz w:val="20"/>
          <w:szCs w:val="20"/>
          <w:color w:val="auto"/>
        </w:rPr>
      </w:pPr>
      <w:r>
        <w:rPr>
          <w:rFonts w:ascii="Times New Roman" w:cs="Times New Roman" w:eastAsia="Times New Roman" w:hAnsi="Times New Roman"/>
          <w:sz w:val="18"/>
          <w:szCs w:val="18"/>
          <w:color w:val="auto"/>
        </w:rPr>
        <w:t>Report on Form 10-K, as filed with the Securities and Exchange Commission (SEC) on April 16, 2020, which includes audited consolidated financial statements for our 2019 and 2018 fiscal years. There have been no material changes to the critical accounting estimates disclosed in the 2019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 Basis of Presentation — Recent Accounting Pronouncements – Adopted in the Current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Annual Report on Form 10-K for the year ended February 1, 2020 as filed with the SEC on April 16, 2020.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August 1, 2020, the end of the period covered by this Quarterly Report.</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has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disclosed in our Annual Report on Form 10-K for the year ended February 1, 2020 as filed with the SEC on April 16, 2020.</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 Total Number of</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 Maximum Number (or</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100" w:type="dxa"/>
            <w:vAlign w:val="bottom"/>
          </w:tcPr>
          <w:p>
            <w:pPr>
              <w:spacing w:after="0"/>
              <w:rPr>
                <w:sz w:val="18"/>
                <w:szCs w:val="18"/>
                <w:color w:val="auto"/>
              </w:rPr>
            </w:pPr>
          </w:p>
        </w:tc>
        <w:tc>
          <w:tcPr>
            <w:tcW w:w="2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of Shares (or Units) that</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Per</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(or Unit)</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 (2)</w:t>
            </w:r>
          </w:p>
        </w:tc>
        <w:tc>
          <w:tcPr>
            <w:tcW w:w="60" w:type="dxa"/>
            <w:vAlign w:val="bottom"/>
          </w:tcPr>
          <w:p>
            <w:pPr>
              <w:spacing w:after="0"/>
              <w:rPr>
                <w:sz w:val="20"/>
                <w:szCs w:val="20"/>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2020 - May 30, 2020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$8,795,529</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May 31, 2020 - July 4, 2020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8,795,529</w:t>
            </w:r>
          </w:p>
        </w:tc>
        <w:tc>
          <w:tcPr>
            <w:tcW w:w="60" w:type="dxa"/>
            <w:vAlign w:val="bottom"/>
          </w:tcPr>
          <w:p>
            <w:pPr>
              <w:spacing w:after="0"/>
              <w:rPr>
                <w:sz w:val="18"/>
                <w:szCs w:val="18"/>
                <w:color w:val="auto"/>
              </w:rPr>
            </w:pPr>
          </w:p>
        </w:tc>
      </w:tr>
      <w:tr>
        <w:trPr>
          <w:trHeight w:val="216"/>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5, 2020 - Aug. 1, 2020</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8,795,529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9"/>
        </w:trPr>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2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$8,795,529</w:t>
            </w:r>
          </w:p>
        </w:tc>
        <w:tc>
          <w:tcPr>
            <w:tcW w:w="6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20"/>
          </w:cols>
          <w:pgMar w:left="320" w:top="121" w:right="359" w:bottom="0" w:gutter="0" w:footer="0" w:header="0"/>
        </w:sectPr>
      </w:pPr>
    </w:p>
    <w:p>
      <w:pPr>
        <w:ind w:left="38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sectPr>
          <w:pgSz w:w="11900" w:h="16838" w:orient="portrait"/>
          <w:cols w:equalWidth="0" w:num="1">
            <w:col w:w="11220"/>
          </w:cols>
          <w:pgMar w:left="320" w:top="121" w:right="359" w:bottom="0" w:gutter="0" w:footer="0" w:header="0"/>
          <w:type w:val="continuous"/>
        </w:sectPr>
      </w:pPr>
    </w:p>
    <w:bookmarkStart w:id="24" w:name="page25"/>
    <w:bookmarkEnd w:id="24"/>
    <w:p>
      <w:pPr>
        <w:ind w:left="380" w:right="40" w:hanging="372"/>
        <w:spacing w:after="0" w:line="25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2017, the Board of Directors adopted a share repurchase program authorizing the repurchase of up to $20 million of our common stock. This program authorizes the Company to repurchase shares through September 30, 2020, does not require the Company to repurchase any specific number of shares, and may be modified, suspended or terminated at any time without prior notice. Shares repurchased under the program will be subsequently retired. Although we had $8.8 million of availability under this program as of May 2, 2020, we do not plan to utilize our cash to resume share repurchases in fiscal 2020. In addition, our ability to repurchase shares is limited by conditions set forth by our lender in our credit agreement, as described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11"/>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Agreement and Plan of Merger dated April 3, 2000 between Build-A-Bear Workshop, L.L.C. and the Registrant (incorporated by reference</w:t>
              </w:r>
            </w:hyperlink>
          </w:p>
        </w:tc>
        <w:tc>
          <w:tcPr>
            <w:tcW w:w="200" w:type="dxa"/>
            <w:vAlign w:val="bottom"/>
            <w:gridSpan w:val="4"/>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7"/>
          </w:tcPr>
          <w:p>
            <w:pPr>
              <w:spacing w:after="0"/>
              <w:rPr>
                <w:rFonts w:ascii="Times New Roman" w:cs="Times New Roman" w:eastAsia="Times New Roman" w:hAnsi="Times New Roman"/>
                <w:sz w:val="18"/>
                <w:szCs w:val="18"/>
                <w:u w:val="single" w:color="auto"/>
                <w:color w:val="0000EE"/>
              </w:rPr>
            </w:pPr>
            <w:hyperlink r:id="rId59">
              <w:r>
                <w:rPr>
                  <w:rFonts w:ascii="Times New Roman" w:cs="Times New Roman" w:eastAsia="Times New Roman" w:hAnsi="Times New Roman"/>
                  <w:sz w:val="18"/>
                  <w:szCs w:val="18"/>
                  <w:u w:val="single" w:color="auto"/>
                  <w:color w:val="0000EE"/>
                </w:rPr>
                <w:t>from Exhibit 2.1 to our Registration Statement on Form S-1, filed on August 12, 2004, Registration No. 333-118142)</w:t>
              </w:r>
            </w:hyperlink>
          </w:p>
        </w:tc>
      </w:tr>
      <w:tr>
        <w:trPr>
          <w:trHeight w:val="3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220" w:type="dxa"/>
            <w:vAlign w:val="bottom"/>
            <w:gridSpan w:val="17"/>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Third Amended and Restated Certificate of Incorporation (incorporated by reference from Exhibit 3.1 of our Current Report on Form 8-K,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filed on November 11, 2004)</w:t>
              </w:r>
            </w:hyperlink>
          </w:p>
        </w:tc>
        <w:tc>
          <w:tcPr>
            <w:tcW w:w="260" w:type="dxa"/>
            <w:vAlign w:val="bottom"/>
            <w:gridSpan w:val="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220" w:type="dxa"/>
            <w:vAlign w:val="bottom"/>
            <w:gridSpan w:val="17"/>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Amended and Restated Bylaws, as amended through February 23, 2016 (incorporated by reference from Exhibit 3.1 of our Current Report on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Form 8-K, filed on February 24, 2016)</w:t>
              </w:r>
            </w:hyperlink>
          </w:p>
        </w:tc>
        <w:tc>
          <w:tcPr>
            <w:tcW w:w="4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220" w:type="dxa"/>
            <w:vAlign w:val="bottom"/>
            <w:gridSpan w:val="17"/>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Specimen Stock Certificate (incorporated by reference from Exhibit 4.1 to Amendment No. 3 to our Registration Statement on Form S-1,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filed on October 1, 2004, Registration No. 333-118142)</w:t>
              </w:r>
            </w:hyperlink>
          </w:p>
        </w:tc>
        <w:tc>
          <w:tcPr>
            <w:tcW w:w="5860" w:type="dxa"/>
            <w:vAlign w:val="bottom"/>
            <w:tcBorders>
              <w:top w:val="single" w:sz="8" w:color="0000EE"/>
            </w:tcBorders>
            <w:gridSpan w:val="5"/>
          </w:tcPr>
          <w:p>
            <w:pPr>
              <w:spacing w:after="0"/>
              <w:rPr>
                <w:sz w:val="17"/>
                <w:szCs w:val="17"/>
                <w:color w:val="auto"/>
              </w:rPr>
            </w:pPr>
          </w:p>
        </w:tc>
        <w:tc>
          <w:tcPr>
            <w:tcW w:w="340" w:type="dxa"/>
            <w:vAlign w:val="bottom"/>
            <w:gridSpan w:val="6"/>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220" w:type="dxa"/>
            <w:vAlign w:val="bottom"/>
            <w:gridSpan w:val="17"/>
          </w:tcPr>
          <w:p>
            <w:pPr>
              <w:spacing w:after="0"/>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Revolving Credit and Security Agreement dated as of August 25, 2020 among the Company and Build-A-Bear Retail Management, Inc., as</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borrowers; Build-A-Bear Workshop Franchise Holdings, Inc., Build-A-Bear Entertainment, LLC, Build-A-Bear Card Services LLC</w:t>
              </w:r>
            </w:hyperlink>
          </w:p>
        </w:tc>
        <w:tc>
          <w:tcPr>
            <w:tcW w:w="540" w:type="dxa"/>
            <w:vAlign w:val="bottom"/>
            <w:tcBorders>
              <w:top w:val="single" w:sz="8" w:color="0000EE"/>
            </w:tcBorders>
            <w:gridSpan w:val="6"/>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and Build-A-Bear Workshop Canada, Ltd., as guarantors; the lenders party thereto; and PNC Bank, National Association, as agent for lenders</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(incorporated by reference from Exhibit 10.1 of our Current Report on Form 8-K, filed on August 31, 2020).</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160" w:type="dxa"/>
            <w:vAlign w:val="bottom"/>
            <w:gridSpan w:val="4"/>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02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Build-A-Bear Workshop, Inc. 2020 Omnibus Incentive Plan (incorporated by reference from Exhibit 101 of our Current Report on Form 8-K,</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7"/>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filed on June 12, 2020)</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220" w:type="dxa"/>
            <w:vAlign w:val="bottom"/>
            <w:gridSpan w:val="17"/>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Rule 13a-14(a)/15d-14(a) certification (pursuant to Section 302 of the Sarbanes-Oxley Act of 2002, executed by the President and Chief</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Executive Officer)</w:t>
              </w:r>
            </w:hyperlink>
          </w:p>
        </w:tc>
        <w:tc>
          <w:tcPr>
            <w:tcW w:w="420" w:type="dxa"/>
            <w:vAlign w:val="bottom"/>
            <w:gridSpan w:val="7"/>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380" w:type="dxa"/>
            <w:vAlign w:val="bottom"/>
            <w:gridSpan w:val="7"/>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220" w:type="dxa"/>
            <w:vAlign w:val="bottom"/>
            <w:gridSpan w:val="17"/>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Rule 13a-14(a)/15d-14(a) certification (pursuant to Section 302 of the Sarbanes-Oxley Act of 2002, executed by the Chief Financial Officer)</w:t>
              </w:r>
            </w:hyperlink>
          </w:p>
        </w:tc>
      </w:tr>
      <w:tr>
        <w:trPr>
          <w:trHeight w:val="3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Section 1350 Certification (pursuant to Section 906 of the Sarbanes-Oxley Act of 2002, executed by the President and Chief Executive</w:t>
              </w:r>
            </w:hyperlink>
          </w:p>
        </w:tc>
        <w:tc>
          <w:tcPr>
            <w:tcW w:w="50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29">
              <w:r>
                <w:rPr>
                  <w:rFonts w:ascii="Times New Roman" w:cs="Times New Roman" w:eastAsia="Times New Roman" w:hAnsi="Times New Roman"/>
                  <w:sz w:val="18"/>
                  <w:szCs w:val="18"/>
                  <w:color w:val="0000EE"/>
                  <w:w w:val="96"/>
                </w:rPr>
                <w:t>Officer)</w:t>
              </w:r>
            </w:hyperlink>
          </w:p>
        </w:tc>
        <w:tc>
          <w:tcPr>
            <w:tcW w:w="9640" w:type="dxa"/>
            <w:vAlign w:val="bottom"/>
            <w:gridSpan w:val="16"/>
          </w:tcPr>
          <w:p>
            <w:pPr>
              <w:spacing w:after="0"/>
              <w:rPr>
                <w:sz w:val="17"/>
                <w:szCs w:val="17"/>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220" w:type="dxa"/>
            <w:vAlign w:val="bottom"/>
            <w:gridSpan w:val="17"/>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Section 1350 Certification (pursuant to Section 906 of the Sarbanes-Oxley Act of 2002, executed by the Chief Financial Officer)</w:t>
              </w:r>
            </w:hyperlink>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20" w:type="dxa"/>
            <w:vAlign w:val="bottom"/>
          </w:tcPr>
          <w:p>
            <w:pPr>
              <w:spacing w:after="0"/>
              <w:rPr>
                <w:sz w:val="24"/>
                <w:szCs w:val="24"/>
                <w:color w:val="auto"/>
              </w:rPr>
            </w:pPr>
          </w:p>
        </w:tc>
        <w:tc>
          <w:tcPr>
            <w:tcW w:w="7920" w:type="dxa"/>
            <w:vAlign w:val="bottom"/>
            <w:gridSpan w:val="8"/>
          </w:tcPr>
          <w:p>
            <w:pPr>
              <w:jc w:val="right"/>
              <w:ind w:right="3030"/>
              <w:spacing w:after="0"/>
              <w:rPr>
                <w:sz w:val="20"/>
                <w:szCs w:val="20"/>
                <w:color w:val="auto"/>
              </w:rPr>
            </w:pPr>
            <w:r>
              <w:rPr>
                <w:rFonts w:ascii="Times New Roman" w:cs="Times New Roman" w:eastAsia="Times New Roman" w:hAnsi="Times New Roman"/>
                <w:sz w:val="18"/>
                <w:szCs w:val="18"/>
                <w:color w:val="auto"/>
              </w:rPr>
              <w:t>33</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gridSpan w:val="2"/>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r>
        <w:trPr>
          <w:trHeight w:val="363"/>
        </w:trPr>
        <w:tc>
          <w:tcPr>
            <w:tcW w:w="11240" w:type="dxa"/>
            <w:vAlign w:val="bottom"/>
            <w:gridSpan w:val="19"/>
          </w:tcPr>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tc>
      </w:tr>
      <w:tr>
        <w:trPr>
          <w:trHeight w:val="63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2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-1464945</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78" w:lineRule="exact"/>
        <w:rPr>
          <w:sz w:val="20"/>
          <w:szCs w:val="20"/>
          <w:color w:val="auto"/>
        </w:rPr>
      </w:pPr>
    </w:p>
    <w:p>
      <w:pPr>
        <w:ind w:left="140" w:right="3680" w:hanging="132"/>
        <w:spacing w:after="0" w:line="500" w:lineRule="auto"/>
        <w:tabs>
          <w:tab w:leader="none" w:pos="10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ectPr>
          <w:pgSz w:w="11900" w:h="16838" w:orient="portrait"/>
          <w:cols w:equalWidth="0" w:num="1">
            <w:col w:w="11240"/>
          </w:cols>
          <w:pgMar w:left="320" w:top="121" w:right="339" w:bottom="6"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2020</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registrant and as principal executive officer)</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(on behalf of the registrant and as principal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680" w:right="80" w:hanging="498"/>
        <w:spacing w:after="0" w:line="282" w:lineRule="auto"/>
        <w:tabs>
          <w:tab w:leader="none" w:pos="16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680" w:right="360" w:hanging="498"/>
        <w:spacing w:after="0" w:line="282" w:lineRule="auto"/>
        <w:tabs>
          <w:tab w:leader="none" w:pos="16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2020</w:t>
      </w:r>
    </w:p>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2020</w:t>
      </w:r>
    </w:p>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August 1, 2020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2020</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August 1, 2020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2020</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
      <w:numFmt w:val="bullet"/>
      <w:start w:val="1"/>
    </w:lvl>
  </w:abstractNum>
  <w:abstractNum w:abstractNumId="3">
    <w:nsid w:val="DED7263"/>
    <w:multiLevelType w:val="hybridMultilevel"/>
    <w:lvl w:ilvl="0">
      <w:lvlJc w:val="left"/>
      <w:lvlText w:val="●"/>
      <w:numFmt w:val="bullet"/>
      <w:start w:val="1"/>
    </w:lvl>
    <w:lvl w:ilvl="1">
      <w:lvlJc w:val="left"/>
      <w:lvlText w:val="●"/>
      <w:numFmt w:val="bullet"/>
      <w:start w:val="1"/>
    </w:lvl>
  </w:abstractNum>
  <w:abstractNum w:abstractNumId="4">
    <w:nsid w:val="7FDCC233"/>
    <w:multiLevelType w:val="hybridMultilevel"/>
    <w:lvl w:ilvl="0">
      <w:lvlJc w:val="left"/>
      <w:lvlText w:val="%1"/>
      <w:numFmt w:val="decimal"/>
      <w:start w:val="1"/>
    </w:lvl>
    <w:lvl w:ilvl="1">
      <w:lvlJc w:val="left"/>
      <w:lvlText w:val="(%2)"/>
      <w:numFmt w:val="decimal"/>
      <w:start w:val="1"/>
    </w:lvl>
  </w:abstractNum>
  <w:abstractNum w:abstractNumId="5">
    <w:nsid w:val="1BEFD79F"/>
    <w:multiLevelType w:val="hybridMultilevel"/>
    <w:lvl w:ilvl="0">
      <w:lvlJc w:val="left"/>
      <w:lvlText w:val="%1."/>
      <w:numFmt w:val="decimal"/>
      <w:start w:val="5"/>
    </w:lvl>
    <w:lvl w:ilvl="1">
      <w:lvlJc w:val="left"/>
      <w:lvlText w:val="%2"/>
      <w:numFmt w:val="decimal"/>
      <w:start w:val="1"/>
    </w:lvl>
  </w:abstractNum>
  <w:abstractNum w:abstractNumId="6">
    <w:nsid w:val="41A7C4C9"/>
    <w:multiLevelType w:val="hybridMultilevel"/>
    <w:lvl w:ilvl="0">
      <w:lvlJc w:val="left"/>
      <w:lvlText w:val="%1"/>
      <w:numFmt w:val="decimal"/>
      <w:start w:val="1"/>
    </w:lvl>
    <w:lvl w:ilvl="1">
      <w:lvlJc w:val="left"/>
      <w:lvlText w:val="(%2)"/>
      <w:numFmt w:val="decimal"/>
      <w:start w:val="1"/>
    </w:lvl>
  </w:abstractNum>
  <w:abstractNum w:abstractNumId="7">
    <w:nsid w:val="6B68079A"/>
    <w:multiLevelType w:val="hybridMultilevel"/>
    <w:lvl w:ilvl="0">
      <w:lvlJc w:val="left"/>
      <w:lvlText w:val="%1."/>
      <w:numFmt w:val="decimal"/>
      <w:start w:val="6"/>
    </w:lvl>
    <w:lvl w:ilvl="1">
      <w:lvlJc w:val="left"/>
      <w:lvlText w:val="%2"/>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2"/>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59" Type="http://schemas.openxmlformats.org/officeDocument/2006/relationships/hyperlink" Target="http://www.sec.gov/Archives/edgar/data/1113809/000095013704006634/c86750exv2w1.txt" TargetMode="External"/><Relationship Id="rId60" Type="http://schemas.openxmlformats.org/officeDocument/2006/relationships/hyperlink" Target="http://www.sec.gov/Archives/edgar/data/1113809/000095013804000748/exh3-1.htm" TargetMode="External"/><Relationship Id="rId61" Type="http://schemas.openxmlformats.org/officeDocument/2006/relationships/hyperlink" Target="http://www.sec.gov/Archives/edgar/data/1113809/000115752316004713/a51286063ex3_1.htm" TargetMode="External"/><Relationship Id="rId62" Type="http://schemas.openxmlformats.org/officeDocument/2006/relationships/hyperlink" Target="http://www.sec.gov/Archives/edgar/data/1113809/000095013704008227/c86750a3exv4w1.txt" TargetMode="External"/><Relationship Id="rId63" Type="http://schemas.openxmlformats.org/officeDocument/2006/relationships/hyperlink" Target="http://www.sec.gov/Archives/edgar/data/1113809/000143774920019030/ex_201997.htm" TargetMode="External"/><Relationship Id="rId64" Type="http://schemas.openxmlformats.org/officeDocument/2006/relationships/hyperlink" Target="http://www.sec.gov/Archives/edgar/data/1113809/000143774920013031/ex_19016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2020-09-10T15:10:49Z</dcterms:created>
  <dcterms:modified xsi:type="dcterms:W3CDTF">2020-09-10T15:10:49Z</dcterms:modified>
</cp:coreProperties>
</file>